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drawing>
          <wp:inline xmlns:a="http://schemas.openxmlformats.org/drawingml/2006/main" xmlns:pic="http://schemas.openxmlformats.org/drawingml/2006/picture">
            <wp:extent cx="4937760" cy="860581"/>
            <wp:docPr id="1" name="Picture 1"/>
            <wp:cNvGraphicFramePr>
              <a:graphicFrameLocks noChangeAspect="1"/>
            </wp:cNvGraphicFramePr>
            <a:graphic>
              <a:graphicData uri="http://schemas.openxmlformats.org/drawingml/2006/picture">
                <pic:pic>
                  <pic:nvPicPr>
                    <pic:cNvPr id="0" name="iar_banner_hd.png"/>
                    <pic:cNvPicPr/>
                  </pic:nvPicPr>
                  <pic:blipFill>
                    <a:blip r:embed="rId9"/>
                    <a:stretch>
                      <a:fillRect/>
                    </a:stretch>
                  </pic:blipFill>
                  <pic:spPr>
                    <a:xfrm>
                      <a:off x="0" y="0"/>
                      <a:ext cx="4937760" cy="860581"/>
                    </a:xfrm>
                    <a:prstGeom prst="rect"/>
                  </pic:spPr>
                </pic:pic>
              </a:graphicData>
            </a:graphic>
          </wp:inline>
        </w:drawing>
      </w:r>
    </w:p>
    <w:p>
      <w:pPr>
        <w:spacing w:after="40"/>
        <w:jc w:val="center"/>
      </w:pPr>
      <w:r>
        <w:rPr>
          <w:rFonts w:ascii="Times New Roman" w:hAnsi="Times New Roman"/>
          <w:b/>
          <w:color w:val="7A003C"/>
          <w:sz w:val="28"/>
        </w:rPr>
        <w:t>INSTITUTE OF ADVANCED RESEARCH (IAR)</w:t>
      </w:r>
    </w:p>
    <w:p>
      <w:pPr>
        <w:spacing w:after="60"/>
        <w:jc w:val="center"/>
      </w:pPr>
      <w:r>
        <w:rPr>
          <w:rFonts w:ascii="Times New Roman" w:hAnsi="Times New Roman"/>
          <w:i/>
          <w:color w:val="475569"/>
          <w:sz w:val="20"/>
        </w:rPr>
        <w:t>The University for Innovation | Gandhinagar, Gujarat</w:t>
      </w:r>
    </w:p>
    <w:p>
      <w:pPr>
        <w:spacing w:after="160"/>
        <w:jc w:val="center"/>
      </w:pPr>
      <w:r>
        <w:rPr>
          <w:rFonts w:ascii="Times New Roman" w:hAnsi="Times New Roman"/>
          <w:b/>
          <w:color w:val="1E1B4B"/>
          <w:sz w:val="22"/>
        </w:rPr>
        <w:t>B.Sc. in Artificial Intelligence &amp; Data Science | Semester V (5th Semester)</w:t>
        <w:br/>
        <w:t>Academic Session: 2026 – 2027</w:t>
      </w:r>
    </w:p>
    <w:p>
      <w:pPr>
        <w:spacing w:after="160"/>
        <w:jc w:val="center"/>
      </w:pPr>
      <w:r>
        <w:rPr>
          <w:rFonts w:ascii="Times New Roman" w:hAnsi="Times New Roman"/>
          <w:color w:val="7A003C"/>
          <w:sz w:val="19"/>
        </w:rPr>
        <w:t>━━━━━━━━━━━━━━━━━━━━━━━━━━━━━━━━━━━━━━━━━</w:t>
      </w:r>
    </w:p>
    <w:p>
      <w:pPr>
        <w:spacing w:after="80"/>
        <w:jc w:val="center"/>
      </w:pPr>
      <w:r>
        <w:rPr>
          <w:rFonts w:ascii="Times New Roman" w:hAnsi="Times New Roman"/>
          <w:b/>
          <w:color w:val="1E1B4B"/>
          <w:sz w:val="32"/>
        </w:rPr>
        <w:t>E-COMMERCE CUSTOMER LIFECYCLE &amp;</w:t>
        <w:br/>
        <w:t>RFM SEGMENTATION DASHBOARD</w:t>
      </w:r>
    </w:p>
    <w:p>
      <w:pPr>
        <w:spacing w:after="200"/>
        <w:jc w:val="center"/>
      </w:pPr>
      <w:r>
        <w:rPr>
          <w:rFonts w:ascii="Times New Roman" w:hAnsi="Times New Roman"/>
          <w:i/>
          <w:color w:val="0F172A"/>
          <w:sz w:val="21"/>
        </w:rPr>
        <w:t>A Complete Applied Data Analytics &amp; Machine Learning Engineering Report</w:t>
        <w:br/>
        <w:t>Focusing on Sample Coding, Security Architectures &amp; Future Enhancements</w:t>
      </w:r>
    </w:p>
    <w:tbl>
      <w:tblPr>
        <w:tblW w:type="auto" w:w="0"/>
        <w:jc w:val="center"/>
        <w:tblLook w:firstColumn="1" w:firstRow="1" w:lastColumn="0" w:lastRow="0" w:noHBand="0" w:noVBand="1" w:val="04A0"/>
      </w:tblPr>
      <w:tblGrid>
        <w:gridCol w:w="4824"/>
        <w:gridCol w:w="4824"/>
      </w:tblGrid>
      <w:tr>
        <w:tc>
          <w:tcPr>
            <w:tcW w:type="dxa" w:w="4824"/>
            <w:shd w:fill="F8FAFC"/>
            <w:tcMar>
              <w:top w:w="25" w:type="dxa"/>
              <w:bottom w:w="25" w:type="dxa"/>
              <w:left w:w="50" w:type="dxa"/>
              <w:right w:w="50" w:type="dxa"/>
            </w:tcMar>
            <w:tcBorders>
              <w:top w:val="none"/>
              <w:left w:val="none"/>
              <w:bottom w:val="none"/>
              <w:right w:val="none"/>
            </w:tcBorders>
          </w:tcPr>
          <w:p>
            <w:r>
              <w:rPr>
                <w:rFonts w:ascii="Times New Roman" w:hAnsi="Times New Roman"/>
                <w:b/>
                <w:sz w:val="18"/>
              </w:rPr>
              <w:t>Assessment Milestone:</w:t>
            </w:r>
          </w:p>
        </w:tc>
        <w:tc>
          <w:tcPr>
            <w:tcW w:type="dxa" w:w="4824"/>
            <w:shd w:fill="FFFFFF"/>
            <w:tcMar>
              <w:top w:w="25" w:type="dxa"/>
              <w:bottom w:w="25" w:type="dxa"/>
              <w:left w:w="50" w:type="dxa"/>
              <w:right w:w="50" w:type="dxa"/>
            </w:tcMar>
            <w:tcBorders>
              <w:top w:val="none"/>
              <w:left w:val="none"/>
              <w:bottom w:val="none"/>
              <w:right w:val="none"/>
            </w:tcBorders>
          </w:tcPr>
          <w:p>
            <w:r>
              <w:rPr>
                <w:rFonts w:ascii="Times New Roman" w:hAnsi="Times New Roman"/>
                <w:sz w:val="18"/>
              </w:rPr>
              <w:t>THIRD PROGRESS WORK EVALUATION</w:t>
            </w:r>
          </w:p>
        </w:tc>
      </w:tr>
      <w:tr>
        <w:tc>
          <w:tcPr>
            <w:tcW w:type="dxa" w:w="4824"/>
            <w:shd w:fill="F8FAFC"/>
            <w:tcMar>
              <w:top w:w="25" w:type="dxa"/>
              <w:bottom w:w="25" w:type="dxa"/>
              <w:left w:w="50" w:type="dxa"/>
              <w:right w:w="50" w:type="dxa"/>
            </w:tcMar>
            <w:tcBorders>
              <w:top w:val="none"/>
              <w:left w:val="none"/>
              <w:bottom w:val="none"/>
              <w:right w:val="none"/>
            </w:tcBorders>
          </w:tcPr>
          <w:p>
            <w:r>
              <w:rPr>
                <w:rFonts w:ascii="Times New Roman" w:hAnsi="Times New Roman"/>
                <w:b/>
                <w:sz w:val="18"/>
              </w:rPr>
              <w:t>Scheduled Submission Date:</w:t>
            </w:r>
          </w:p>
        </w:tc>
        <w:tc>
          <w:tcPr>
            <w:tcW w:type="dxa" w:w="4824"/>
            <w:shd w:fill="FFFFFF"/>
            <w:tcMar>
              <w:top w:w="25" w:type="dxa"/>
              <w:bottom w:w="25" w:type="dxa"/>
              <w:left w:w="50" w:type="dxa"/>
              <w:right w:w="50" w:type="dxa"/>
            </w:tcMar>
            <w:tcBorders>
              <w:top w:val="none"/>
              <w:left w:val="none"/>
              <w:bottom w:val="none"/>
              <w:right w:val="none"/>
            </w:tcBorders>
          </w:tcPr>
          <w:p>
            <w:r>
              <w:rPr>
                <w:rFonts w:ascii="Times New Roman" w:hAnsi="Times New Roman"/>
                <w:sz w:val="18"/>
              </w:rPr>
              <w:t>27th October 2026 (Time: 10:00 AM to 5:00 PM)</w:t>
            </w:r>
          </w:p>
        </w:tc>
      </w:tr>
      <w:tr>
        <w:tc>
          <w:tcPr>
            <w:tcW w:type="dxa" w:w="4824"/>
            <w:shd w:fill="F8FAFC"/>
            <w:tcMar>
              <w:top w:w="25" w:type="dxa"/>
              <w:bottom w:w="25" w:type="dxa"/>
              <w:left w:w="50" w:type="dxa"/>
              <w:right w:w="50" w:type="dxa"/>
            </w:tcMar>
            <w:tcBorders>
              <w:top w:val="none"/>
              <w:left w:val="none"/>
              <w:bottom w:val="none"/>
              <w:right w:val="none"/>
            </w:tcBorders>
          </w:tcPr>
          <w:p>
            <w:r>
              <w:rPr>
                <w:rFonts w:ascii="Times New Roman" w:hAnsi="Times New Roman"/>
                <w:b/>
                <w:sz w:val="18"/>
              </w:rPr>
              <w:t>Curriculum Scope Completed:</w:t>
            </w:r>
          </w:p>
        </w:tc>
        <w:tc>
          <w:tcPr>
            <w:tcW w:type="dxa" w:w="4824"/>
            <w:shd w:fill="FFFFFF"/>
            <w:tcMar>
              <w:top w:w="25" w:type="dxa"/>
              <w:bottom w:w="25" w:type="dxa"/>
              <w:left w:w="50" w:type="dxa"/>
              <w:right w:w="50" w:type="dxa"/>
            </w:tcMar>
            <w:tcBorders>
              <w:top w:val="none"/>
              <w:left w:val="none"/>
              <w:bottom w:val="none"/>
              <w:right w:val="none"/>
            </w:tcBorders>
          </w:tcPr>
          <w:p>
            <w:r>
              <w:rPr>
                <w:rFonts w:ascii="Times New Roman" w:hAnsi="Times New Roman"/>
                <w:sz w:val="18"/>
              </w:rPr>
              <w:t>Sections 4.2, 4.3, 5.1, 5.2, 6.1 &amp; Complete Roman Pages</w:t>
            </w:r>
          </w:p>
        </w:tc>
      </w:tr>
      <w:tr>
        <w:tc>
          <w:tcPr>
            <w:tcW w:type="dxa" w:w="4824"/>
            <w:shd w:fill="F8FAFC"/>
            <w:tcMar>
              <w:top w:w="25" w:type="dxa"/>
              <w:bottom w:w="25" w:type="dxa"/>
              <w:left w:w="50" w:type="dxa"/>
              <w:right w:w="50" w:type="dxa"/>
            </w:tcMar>
            <w:tcBorders>
              <w:top w:val="none"/>
              <w:left w:val="none"/>
              <w:bottom w:val="none"/>
              <w:right w:val="none"/>
            </w:tcBorders>
          </w:tcPr>
          <w:p>
            <w:r>
              <w:rPr>
                <w:rFonts w:ascii="Times New Roman" w:hAnsi="Times New Roman"/>
                <w:b/>
                <w:sz w:val="18"/>
              </w:rPr>
              <w:t>Course &amp; Project Code:</w:t>
            </w:r>
          </w:p>
        </w:tc>
        <w:tc>
          <w:tcPr>
            <w:tcW w:type="dxa" w:w="4824"/>
            <w:shd w:fill="FFFFFF"/>
            <w:tcMar>
              <w:top w:w="25" w:type="dxa"/>
              <w:bottom w:w="25" w:type="dxa"/>
              <w:left w:w="50" w:type="dxa"/>
              <w:right w:w="50" w:type="dxa"/>
            </w:tcMar>
            <w:tcBorders>
              <w:top w:val="none"/>
              <w:left w:val="none"/>
              <w:bottom w:val="none"/>
              <w:right w:val="none"/>
            </w:tcBorders>
          </w:tcPr>
          <w:p>
            <w:r>
              <w:rPr>
                <w:rFonts w:ascii="Times New Roman" w:hAnsi="Times New Roman"/>
                <w:sz w:val="18"/>
              </w:rPr>
              <w:t>Project - 1 (CE-502 / PRJ-701)</w:t>
            </w:r>
          </w:p>
        </w:tc>
      </w:tr>
      <w:tr>
        <w:tc>
          <w:tcPr>
            <w:tcW w:type="dxa" w:w="4824"/>
            <w:shd w:fill="F8FAFC"/>
            <w:tcMar>
              <w:top w:w="25" w:type="dxa"/>
              <w:bottom w:w="25" w:type="dxa"/>
              <w:left w:w="50" w:type="dxa"/>
              <w:right w:w="50" w:type="dxa"/>
            </w:tcMar>
            <w:tcBorders>
              <w:top w:val="none"/>
              <w:left w:val="none"/>
              <w:bottom w:val="none"/>
              <w:right w:val="none"/>
            </w:tcBorders>
          </w:tcPr>
          <w:p>
            <w:r>
              <w:rPr>
                <w:rFonts w:ascii="Times New Roman" w:hAnsi="Times New Roman"/>
                <w:b/>
                <w:sz w:val="18"/>
              </w:rPr>
              <w:t>Evaluation Marks Allotted:</w:t>
            </w:r>
          </w:p>
        </w:tc>
        <w:tc>
          <w:tcPr>
            <w:tcW w:type="dxa" w:w="4824"/>
            <w:shd w:fill="FFFFFF"/>
            <w:tcMar>
              <w:top w:w="25" w:type="dxa"/>
              <w:bottom w:w="25" w:type="dxa"/>
              <w:left w:w="50" w:type="dxa"/>
              <w:right w:w="50" w:type="dxa"/>
            </w:tcMar>
            <w:tcBorders>
              <w:top w:val="none"/>
              <w:left w:val="none"/>
              <w:bottom w:val="none"/>
              <w:right w:val="none"/>
            </w:tcBorders>
          </w:tcPr>
          <w:p>
            <w:r>
              <w:rPr>
                <w:rFonts w:ascii="Times New Roman" w:hAnsi="Times New Roman"/>
                <w:sz w:val="18"/>
              </w:rPr>
              <w:t>10 Marks (Third Progress Work | Cumulative: 40 Marks)</w:t>
            </w:r>
          </w:p>
        </w:tc>
      </w:tr>
    </w:tbl>
    <w:p>
      <w:pPr>
        <w:spacing w:after="200"/>
      </w:pPr>
    </w:p>
    <w:tbl>
      <w:tblPr>
        <w:tblW w:type="auto" w:w="0"/>
        <w:jc w:val="center"/>
        <w:tblLook w:firstColumn="1" w:firstRow="1" w:lastColumn="0" w:lastRow="0" w:noHBand="0" w:noVBand="1" w:val="04A0"/>
      </w:tblPr>
      <w:tblGrid>
        <w:gridCol w:w="4824"/>
        <w:gridCol w:w="4824"/>
      </w:tblGrid>
      <w:tr>
        <w:tc>
          <w:tcPr>
            <w:tcW w:type="dxa" w:w="4824"/>
            <w:shd w:fill="F1F5F9"/>
            <w:tcMar>
              <w:top w:w="30" w:type="dxa"/>
              <w:bottom w:w="30" w:type="dxa"/>
              <w:left w:w="45" w:type="dxa"/>
              <w:right w:w="45" w:type="dxa"/>
            </w:tcMar>
            <w:tcBorders>
              <w:top w:val="none"/>
              <w:left w:val="none"/>
              <w:bottom w:val="none"/>
              <w:right w:val="none"/>
            </w:tcBorders>
          </w:tcPr>
          <w:p>
            <w:pPr>
              <w:jc w:val="center"/>
            </w:pPr>
            <w:r>
              <w:rPr>
                <w:rFonts w:ascii="Times New Roman" w:hAnsi="Times New Roman"/>
                <w:sz w:val="17"/>
              </w:rPr>
              <w:t>PROJECT SCHOLAR:</w:t>
              <w:br/>
              <w:t>Mr. Deep Koshiya</w:t>
              <w:br/>
              <w:t>B.Sc. in AI &amp; Data Science</w:t>
              <w:br/>
              <w:t>Semester: V (5th Semester)</w:t>
            </w:r>
          </w:p>
        </w:tc>
        <w:tc>
          <w:tcPr>
            <w:tcW w:type="dxa" w:w="4824"/>
            <w:shd w:fill="F1F5F9"/>
            <w:tcMar>
              <w:top w:w="30" w:type="dxa"/>
              <w:bottom w:w="30" w:type="dxa"/>
              <w:left w:w="45" w:type="dxa"/>
              <w:right w:w="45" w:type="dxa"/>
            </w:tcMar>
            <w:tcBorders>
              <w:top w:val="none"/>
              <w:left w:val="none"/>
              <w:bottom w:val="none"/>
              <w:right w:val="none"/>
            </w:tcBorders>
          </w:tcPr>
          <w:p>
            <w:pPr>
              <w:jc w:val="center"/>
            </w:pPr>
            <w:r>
              <w:rPr>
                <w:rFonts w:ascii="Times New Roman" w:hAnsi="Times New Roman"/>
                <w:sz w:val="17"/>
              </w:rPr>
              <w:t>PROJECT SUPERVISION:</w:t>
              <w:br/>
              <w:t>Assigned Project Supervisor</w:t>
              <w:br/>
              <w:t>Institute of Advanced Research (IAR)</w:t>
              <w:br/>
              <w:t>Evaluation &amp; Verification Stamp</w:t>
            </w:r>
          </w:p>
        </w:tc>
      </w:tr>
      <w:tr>
        <w:tc>
          <w:tcPr>
            <w:tcW w:type="dxa" w:w="4824"/>
            <w:shd w:fill="FFFFFF"/>
            <w:tcMar>
              <w:top w:w="25" w:type="dxa"/>
              <w:bottom w:w="25" w:type="dxa"/>
              <w:left w:w="45" w:type="dxa"/>
              <w:right w:w="45" w:type="dxa"/>
            </w:tcMar>
            <w:tcBorders>
              <w:top w:val="none"/>
              <w:left w:val="none"/>
              <w:bottom w:val="none"/>
              <w:right w:val="none"/>
            </w:tcBorders>
          </w:tcPr>
          <w:p>
            <w:pPr>
              <w:jc w:val="center"/>
            </w:pPr>
            <w:r>
              <w:rPr>
                <w:rFonts w:ascii="Times New Roman" w:hAnsi="Times New Roman"/>
                <w:sz w:val="16"/>
              </w:rPr>
              <w:t>_________________________</w:t>
              <w:br/>
              <w:t>(Scholar Signature)</w:t>
            </w:r>
          </w:p>
        </w:tc>
        <w:tc>
          <w:tcPr>
            <w:tcW w:type="dxa" w:w="4824"/>
            <w:shd w:fill="FFFFFF"/>
            <w:tcMar>
              <w:top w:w="25" w:type="dxa"/>
              <w:bottom w:w="25" w:type="dxa"/>
              <w:left w:w="45" w:type="dxa"/>
              <w:right w:w="45" w:type="dxa"/>
            </w:tcMar>
            <w:tcBorders>
              <w:top w:val="none"/>
              <w:left w:val="none"/>
              <w:bottom w:val="none"/>
              <w:right w:val="none"/>
            </w:tcBorders>
          </w:tcPr>
          <w:p>
            <w:pPr>
              <w:jc w:val="center"/>
            </w:pPr>
            <w:r>
              <w:rPr>
                <w:rFonts w:ascii="Times New Roman" w:hAnsi="Times New Roman"/>
                <w:sz w:val="16"/>
              </w:rPr>
              <w:t>_________________________</w:t>
              <w:br/>
              <w:t>(Supervisor Signature)</w:t>
            </w:r>
          </w:p>
        </w:tc>
      </w:tr>
    </w:tbl>
    <w:p>
      <w:r>
        <w:br w:type="page"/>
      </w:r>
    </w:p>
    <w:p>
      <w:pPr>
        <w:spacing w:before="0" w:after="20" w:line="276" w:lineRule="auto"/>
        <w:jc w:val="right"/>
      </w:pPr>
      <w:r>
        <w:rPr>
          <w:rFonts w:ascii="Times New Roman" w:hAnsi="Times New Roman"/>
          <w:i/>
          <w:color w:val="0F172A"/>
          <w:sz w:val="22"/>
        </w:rPr>
        <w:t>Page I – IV</w:t>
      </w:r>
    </w:p>
    <w:p>
      <w:pPr>
        <w:keepNext/>
        <w:spacing w:before="20" w:after="40"/>
        <w:jc w:val="left"/>
      </w:pPr>
      <w:r>
        <w:rPr>
          <w:rFonts w:ascii="Times New Roman" w:hAnsi="Times New Roman"/>
          <w:b/>
          <w:color w:val="1E1B4B"/>
          <w:sz w:val="29"/>
        </w:rPr>
        <w:t>PRELIMINARY PAGES &amp; EXECUTIVE SUMMARY</w:t>
      </w:r>
    </w:p>
    <w:p>
      <w:pPr>
        <w:keepNext/>
        <w:spacing w:before="40" w:after="20"/>
        <w:jc w:val="left"/>
      </w:pPr>
      <w:r>
        <w:rPr>
          <w:rFonts w:ascii="Times New Roman" w:hAnsi="Times New Roman"/>
          <w:b/>
          <w:color w:val="0F172A"/>
          <w:sz w:val="25"/>
        </w:rPr>
        <w:t>Acknowledgment &amp; Declaration</w:t>
      </w:r>
    </w:p>
    <w:p>
      <w:pPr>
        <w:spacing w:before="0" w:after="70" w:line="276" w:lineRule="auto"/>
        <w:jc w:val="both"/>
      </w:pPr>
      <w:r>
        <w:rPr>
          <w:rFonts w:ascii="Times New Roman" w:hAnsi="Times New Roman"/>
          <w:i w:val="0"/>
          <w:color w:val="0F172A"/>
          <w:sz w:val="22"/>
        </w:rPr>
        <w:t>I express my sincere gratitude to my assigned project supervisor and esteemed faculty mentors at the Institute of Advanced Research (IAR), Gandhinagar, for their constructive technical feedback and guidance during the Phase 3 milestone of Project-1 (CE-502 / PRJ-701). I also extend appreciation to the institutional leadership for providing the computational facilities necessary to develop this machine learning system.</w:t>
      </w:r>
    </w:p>
    <w:p>
      <w:pPr>
        <w:spacing w:before="20" w:after="80" w:line="276" w:lineRule="auto"/>
        <w:jc w:val="right"/>
      </w:pPr>
      <w:r>
        <w:rPr>
          <w:rFonts w:ascii="Times New Roman" w:hAnsi="Times New Roman"/>
          <w:i/>
          <w:color w:val="0F172A"/>
          <w:sz w:val="22"/>
        </w:rPr>
        <w:t>Mr. Deep Koshiya | B.Sc. in AI &amp; Data Science (Semester V) | Date: 27/10/2026</w:t>
      </w:r>
    </w:p>
    <w:p>
      <w:pPr>
        <w:keepNext/>
        <w:spacing w:before="60" w:after="20"/>
        <w:jc w:val="left"/>
      </w:pPr>
      <w:r>
        <w:rPr>
          <w:rFonts w:ascii="Times New Roman" w:hAnsi="Times New Roman"/>
          <w:b/>
          <w:color w:val="0F172A"/>
          <w:sz w:val="25"/>
        </w:rPr>
        <w:t>Executive Abstract</w:t>
      </w:r>
    </w:p>
    <w:p>
      <w:pPr>
        <w:spacing w:before="0" w:after="70" w:line="276" w:lineRule="auto"/>
        <w:jc w:val="both"/>
      </w:pPr>
      <w:r>
        <w:rPr>
          <w:rFonts w:ascii="Times New Roman" w:hAnsi="Times New Roman"/>
          <w:i w:val="0"/>
          <w:color w:val="0F172A"/>
          <w:sz w:val="22"/>
        </w:rPr>
        <w:t>The 'E-Commerce Customer Lifecycle &amp; RFM Segmentation Dashboard' provides an end-to-end unsupervised machine learning and data engineering solution to combat revenue churn, high Customer Acquisition Cost (CAC), and customer fatigue across retail operations. This Third Progress Work submission fulfills the evaluation scheduled for 27/10/2026 (10 Marks). The report details the complete implementation phase: sample algorithmic coding for feature extraction and K-Means clustering, military-grade cryptographic security architectures (AES-256-GCM, Argon2id, RBAC), precise project execution steps, business impact analysis, and a structured future roadmap towards streaming real-time analytics.</w:t>
      </w:r>
    </w:p>
    <w:p>
      <w:pPr>
        <w:keepNext/>
        <w:spacing w:before="80" w:after="40"/>
        <w:jc w:val="left"/>
      </w:pPr>
      <w:r>
        <w:rPr>
          <w:rFonts w:ascii="Times New Roman" w:hAnsi="Times New Roman"/>
          <w:b/>
          <w:color w:val="0F172A"/>
          <w:sz w:val="25"/>
        </w:rPr>
        <w:t>Index of the Project Report (Syllabus Structure)</w:t>
      </w:r>
    </w:p>
    <w:tbl>
      <w:tblPr>
        <w:tblW w:type="auto" w:w="0"/>
        <w:jc w:val="center"/>
        <w:tblLook w:firstColumn="1" w:firstRow="1" w:lastColumn="0" w:lastRow="0" w:noHBand="0" w:noVBand="1" w:val="04A0"/>
      </w:tblPr>
      <w:tblGrid>
        <w:gridCol w:w="3216"/>
        <w:gridCol w:w="3216"/>
        <w:gridCol w:w="3216"/>
      </w:tblGrid>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Preliminary</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Acknowledgment, Abstract, List of Figures &amp; Tables</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Pages I – IV</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Chapter 1</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Introduction, Problem Statement, Objectives &amp; Project Scope</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3</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Chapter 2</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System Study, Level 0–2 DFDs, Use Cases &amp; UML Architecture</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3</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Chapter 3</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Project Management, Milestone Schedule &amp; COCOMO Costing</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3</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Section 4.1</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Screen Layouts, Multi-View Dashboard &amp; Data Validation Rules</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4</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Section 4.2</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Sample Coding: Core RFM Calculation &amp; K-Means Pipeline</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5</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Section 4.2.2</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Security Tasks: AES-256 Encryption, Argon2id &amp; RBAC Controls</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6</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Section 4.3</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Steps of Project Execution, Setup Commands &amp; Navigation Flow</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7</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Section 5.1</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Importance of Worked-Out Tasks &amp; Quantified Business Impact</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8</w:t>
            </w:r>
          </w:p>
        </w:tc>
      </w:tr>
      <w:tr>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b/>
                <w:sz w:val="17"/>
              </w:rPr>
              <w:t>Section 5.2</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Further Enhancements in Future (Streaming RFM &amp; Deep CLV)</w:t>
            </w:r>
          </w:p>
        </w:tc>
        <w:tc>
          <w:tcPr>
            <w:tcW w:type="dxa" w:w="3216"/>
            <w:shd w:fill="FFFFFF"/>
            <w:tcMar>
              <w:top w:w="16" w:type="dxa"/>
              <w:bottom w:w="16" w:type="dxa"/>
              <w:left w:w="35" w:type="dxa"/>
              <w:right w:w="35" w:type="dxa"/>
            </w:tcMar>
            <w:tcBorders>
              <w:top w:val="none"/>
              <w:left w:val="none"/>
              <w:bottom w:val="none"/>
              <w:right w:val="none"/>
            </w:tcBorders>
          </w:tcPr>
          <w:p>
            <w:r>
              <w:rPr>
                <w:rFonts w:ascii="Times New Roman" w:hAnsi="Times New Roman"/>
                <w:sz w:val="17"/>
              </w:rPr>
              <w:t>Page 9</w:t>
            </w:r>
          </w:p>
        </w:tc>
      </w:tr>
      <w:tr>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b/>
                <w:sz w:val="17"/>
              </w:rPr>
              <w:t>Chapter 6</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References (IEEE Academic Standards) &amp; Project Conclusion</w:t>
            </w:r>
          </w:p>
        </w:tc>
        <w:tc>
          <w:tcPr>
            <w:tcW w:type="dxa" w:w="3216"/>
            <w:shd w:fill="F8FAFC"/>
            <w:tcMar>
              <w:top w:w="16" w:type="dxa"/>
              <w:bottom w:w="16" w:type="dxa"/>
              <w:left w:w="35" w:type="dxa"/>
              <w:right w:w="35" w:type="dxa"/>
            </w:tcMar>
            <w:tcBorders>
              <w:top w:val="none"/>
              <w:left w:val="none"/>
              <w:bottom w:val="none"/>
              <w:right w:val="none"/>
            </w:tcBorders>
          </w:tcPr>
          <w:p>
            <w:r>
              <w:rPr>
                <w:rFonts w:ascii="Times New Roman" w:hAnsi="Times New Roman"/>
                <w:sz w:val="17"/>
              </w:rPr>
              <w:t>Page 10</w:t>
            </w:r>
          </w:p>
        </w:tc>
      </w:tr>
    </w:tbl>
    <w:p>
      <w:r>
        <w:br w:type="page"/>
      </w:r>
    </w:p>
    <w:p>
      <w:pPr>
        <w:spacing w:before="0" w:after="20" w:line="276" w:lineRule="auto"/>
        <w:jc w:val="right"/>
      </w:pPr>
      <w:r>
        <w:rPr>
          <w:rFonts w:ascii="Times New Roman" w:hAnsi="Times New Roman"/>
          <w:i/>
          <w:color w:val="0F172A"/>
          <w:sz w:val="22"/>
        </w:rPr>
        <w:t>Page 1</w:t>
      </w:r>
    </w:p>
    <w:p>
      <w:pPr>
        <w:keepNext/>
        <w:spacing w:before="20" w:after="40"/>
        <w:jc w:val="left"/>
      </w:pPr>
      <w:r>
        <w:rPr>
          <w:rFonts w:ascii="Times New Roman" w:hAnsi="Times New Roman"/>
          <w:b/>
          <w:color w:val="1E1B4B"/>
          <w:sz w:val="29"/>
        </w:rPr>
        <w:t>CHAPTER 1 &amp; 2: SYSTEM STUDY &amp; ARCHITECTURE RECAP</w:t>
      </w:r>
    </w:p>
    <w:p>
      <w:pPr>
        <w:keepNext/>
        <w:spacing w:before="40" w:after="20"/>
        <w:jc w:val="left"/>
      </w:pPr>
      <w:r>
        <w:rPr>
          <w:rFonts w:ascii="Times New Roman" w:hAnsi="Times New Roman"/>
          <w:b/>
          <w:color w:val="0F172A"/>
          <w:sz w:val="25"/>
        </w:rPr>
        <w:t>1.1 Problem Background &amp; Project Objectives</w:t>
      </w:r>
    </w:p>
    <w:p>
      <w:pPr>
        <w:spacing w:before="0" w:after="70" w:line="276" w:lineRule="auto"/>
        <w:jc w:val="both"/>
      </w:pPr>
      <w:r>
        <w:rPr>
          <w:rFonts w:ascii="Times New Roman" w:hAnsi="Times New Roman"/>
          <w:i w:val="0"/>
          <w:color w:val="0F172A"/>
          <w:sz w:val="22"/>
        </w:rPr>
        <w:t>Commercial e-commerce enterprises capture voluminous transactional event logs but suffer from high retention decay due to generic, untargeted marketing. The primary objective of this project is to develop an automated analytical system that ingests raw retail transactions, calculates deterministic Recency, Frequency, and Monetary (RFM) behavioral metrics, clusters accounts into mathematically rigorous customer cohorts via K-Means Unsupervised Learning, and renders actionable retention insights via an interactive dashboard.</w:t>
      </w:r>
    </w:p>
    <w:p>
      <w:pPr>
        <w:keepNext/>
        <w:spacing w:before="60" w:after="20"/>
        <w:jc w:val="left"/>
      </w:pPr>
      <w:r>
        <w:rPr>
          <w:rFonts w:ascii="Times New Roman" w:hAnsi="Times New Roman"/>
          <w:b/>
          <w:color w:val="0F172A"/>
          <w:sz w:val="25"/>
        </w:rPr>
        <w:t>2.3 Object-Oriented Software Architecture (UML Class Model)</w:t>
      </w:r>
    </w:p>
    <w:p>
      <w:pPr>
        <w:spacing w:before="0" w:after="70" w:line="276" w:lineRule="auto"/>
        <w:jc w:val="both"/>
      </w:pPr>
      <w:r>
        <w:rPr>
          <w:rFonts w:ascii="Times New Roman" w:hAnsi="Times New Roman"/>
          <w:i w:val="0"/>
          <w:color w:val="0F172A"/>
          <w:sz w:val="22"/>
        </w:rPr>
        <w:t>The backend follows clean object-oriented architecture and domain-driven design principles. The modular class model decouples raw event extraction from metric engineering, clustering inference, and visual rendering.</w:t>
      </w:r>
    </w:p>
    <w:p>
      <w:pPr>
        <w:spacing w:before="40" w:after="40"/>
        <w:jc w:val="center"/>
      </w:pPr>
      <w:r>
        <w:drawing>
          <wp:inline xmlns:a="http://schemas.openxmlformats.org/drawingml/2006/main" xmlns:pic="http://schemas.openxmlformats.org/drawingml/2006/picture">
            <wp:extent cx="4480560" cy="2800350"/>
            <wp:docPr id="2" name="Picture 2"/>
            <wp:cNvGraphicFramePr>
              <a:graphicFrameLocks noChangeAspect="1"/>
            </wp:cNvGraphicFramePr>
            <a:graphic>
              <a:graphicData uri="http://schemas.openxmlformats.org/drawingml/2006/picture">
                <pic:pic>
                  <pic:nvPicPr>
                    <pic:cNvPr id="0" name="fig_class_diagram.png"/>
                    <pic:cNvPicPr/>
                  </pic:nvPicPr>
                  <pic:blipFill>
                    <a:blip r:embed="rId10"/>
                    <a:stretch>
                      <a:fillRect/>
                    </a:stretch>
                  </pic:blipFill>
                  <pic:spPr>
                    <a:xfrm>
                      <a:off x="0" y="0"/>
                      <a:ext cx="4480560" cy="2800350"/>
                    </a:xfrm>
                    <a:prstGeom prst="rect"/>
                  </pic:spPr>
                </pic:pic>
              </a:graphicData>
            </a:graphic>
          </wp:inline>
        </w:drawing>
      </w:r>
    </w:p>
    <w:p>
      <w:pPr>
        <w:spacing w:before="40" w:after="80"/>
        <w:jc w:val="center"/>
      </w:pPr>
      <w:r>
        <w:rPr>
          <w:rFonts w:ascii="Times New Roman" w:hAnsi="Times New Roman"/>
          <w:b/>
          <w:color w:val="475569"/>
          <w:sz w:val="19"/>
        </w:rPr>
        <w:t>Figure 2.3: UML Class Diagram Depicting Domain Entities &amp; Pipeline Interfaces</w:t>
      </w:r>
    </w:p>
    <w:p>
      <w:pPr>
        <w:spacing w:before="0" w:after="70" w:line="276" w:lineRule="auto"/>
        <w:jc w:val="both"/>
      </w:pPr>
      <w:r>
        <w:rPr>
          <w:rFonts w:ascii="Times New Roman" w:hAnsi="Times New Roman"/>
          <w:b/>
          <w:color w:val="0F172A"/>
          <w:sz w:val="22"/>
        </w:rPr>
        <w:t xml:space="preserve">Structural Collaboration: </w:t>
      </w:r>
      <w:r>
        <w:rPr>
          <w:rFonts w:ascii="Times New Roman" w:hAnsi="Times New Roman"/>
          <w:i w:val="0"/>
          <w:color w:val="0F172A"/>
          <w:sz w:val="22"/>
        </w:rPr>
        <w:t>The design encapsulates four primary domain classes: TransactionLoader validates schema integrity and eliminates negative quantity returns; RFMFeatureEngine executes vectorized groupby aggregation; KMeansClusterEngine applies log1p transform, StandardScaler, and k-means++ optimization; and DashboardPresenter serves real-time persona distributions and filtered data exports.</w:t>
      </w:r>
    </w:p>
    <w:p>
      <w:r>
        <w:br w:type="page"/>
      </w:r>
    </w:p>
    <w:p>
      <w:pPr>
        <w:spacing w:before="0" w:after="20" w:line="276" w:lineRule="auto"/>
        <w:jc w:val="right"/>
      </w:pPr>
      <w:r>
        <w:rPr>
          <w:rFonts w:ascii="Times New Roman" w:hAnsi="Times New Roman"/>
          <w:i/>
          <w:color w:val="0F172A"/>
          <w:sz w:val="22"/>
        </w:rPr>
        <w:t>Page 2</w:t>
      </w:r>
    </w:p>
    <w:p>
      <w:pPr>
        <w:keepNext/>
        <w:spacing w:before="20" w:after="40"/>
        <w:jc w:val="left"/>
      </w:pPr>
      <w:r>
        <w:rPr>
          <w:rFonts w:ascii="Times New Roman" w:hAnsi="Times New Roman"/>
          <w:b/>
          <w:color w:val="1E1B4B"/>
          <w:sz w:val="29"/>
        </w:rPr>
        <w:t>SECTION 4.1: UI SCREEN LAYOUTS &amp; VALIDATION RULES</w:t>
      </w:r>
    </w:p>
    <w:p>
      <w:pPr>
        <w:spacing w:before="0" w:after="70" w:line="276" w:lineRule="auto"/>
        <w:jc w:val="both"/>
      </w:pPr>
      <w:r>
        <w:rPr>
          <w:rFonts w:ascii="Times New Roman" w:hAnsi="Times New Roman"/>
          <w:i w:val="0"/>
          <w:color w:val="0F172A"/>
          <w:sz w:val="22"/>
        </w:rPr>
        <w:t>The user presentation tier is developed with Streamlit and Plotly, delivering an enterprise-grade analytics workstation. The user interface is structured into four cohesive views: (1) Ingestion &amp; Data Hygiene, (2) Optimization Diagnostics (Elbow &amp; Silhouette curves), (3) 3D Spatial Feature Scatter, and (4) Real-Time Customer Profiler &amp; Export Matrix.</w:t>
      </w:r>
    </w:p>
    <w:p>
      <w:pPr>
        <w:spacing w:before="40" w:after="40"/>
        <w:jc w:val="center"/>
      </w:pPr>
      <w:r>
        <w:drawing>
          <wp:inline xmlns:a="http://schemas.openxmlformats.org/drawingml/2006/main" xmlns:pic="http://schemas.openxmlformats.org/drawingml/2006/picture">
            <wp:extent cx="4480560" cy="2987040"/>
            <wp:docPr id="3" name="Picture 3"/>
            <wp:cNvGraphicFramePr>
              <a:graphicFrameLocks noChangeAspect="1"/>
            </wp:cNvGraphicFramePr>
            <a:graphic>
              <a:graphicData uri="http://schemas.openxmlformats.org/drawingml/2006/picture">
                <pic:pic>
                  <pic:nvPicPr>
                    <pic:cNvPr id="0" name="fig_screen_layouts.png"/>
                    <pic:cNvPicPr/>
                  </pic:nvPicPr>
                  <pic:blipFill>
                    <a:blip r:embed="rId11"/>
                    <a:stretch>
                      <a:fillRect/>
                    </a:stretch>
                  </pic:blipFill>
                  <pic:spPr>
                    <a:xfrm>
                      <a:off x="0" y="0"/>
                      <a:ext cx="4480560" cy="2987040"/>
                    </a:xfrm>
                    <a:prstGeom prst="rect"/>
                  </pic:spPr>
                </pic:pic>
              </a:graphicData>
            </a:graphic>
          </wp:inline>
        </w:drawing>
      </w:r>
    </w:p>
    <w:p>
      <w:pPr>
        <w:spacing w:before="40" w:after="80"/>
        <w:jc w:val="center"/>
      </w:pPr>
      <w:r>
        <w:rPr>
          <w:rFonts w:ascii="Times New Roman" w:hAnsi="Times New Roman"/>
          <w:b/>
          <w:color w:val="475569"/>
          <w:sz w:val="19"/>
        </w:rPr>
        <w:t>Figure 4.1: Multi-View User Interface Screen Layouts with Validation Rules</w:t>
      </w:r>
    </w:p>
    <w:p>
      <w:pPr>
        <w:keepNext/>
        <w:spacing w:before="60" w:after="20"/>
        <w:jc w:val="left"/>
      </w:pPr>
      <w:r>
        <w:rPr>
          <w:rFonts w:ascii="Times New Roman" w:hAnsi="Times New Roman"/>
          <w:b/>
          <w:color w:val="0F172A"/>
          <w:sz w:val="25"/>
        </w:rPr>
        <w:t>Operational Input Validation &amp; Data Cleansing Callouts</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Field / Interface</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Enforced Validation Constraint</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System Action on Failure</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Dataset Upload</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UTF-8 CSV format, &lt;= 250 MB size, required schema columns</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Halt execution, display red alert toast</w:t>
            </w:r>
          </w:p>
        </w:tc>
      </w:tr>
      <w:tr>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CustomerID Field</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Mandatory non-null integer / string identifier</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Quarantine records into audit error ledger</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Quantity &amp; Price</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Numerical values; isolate cancellations (Invoice 'C*')</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Segregate return ledger, suppress negative totals</w:t>
            </w:r>
          </w:p>
        </w:tc>
      </w:tr>
      <w:tr>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Date Range Filter</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Temporal sequence (StartDate &lt;= EndDate)</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Enforce auto-correction to maximum transaction span</w:t>
            </w:r>
          </w:p>
        </w:tc>
      </w:tr>
    </w:tbl>
    <w:p>
      <w:r>
        <w:br w:type="page"/>
      </w:r>
    </w:p>
    <w:p>
      <w:pPr>
        <w:spacing w:before="0" w:after="20" w:line="276" w:lineRule="auto"/>
        <w:jc w:val="right"/>
      </w:pPr>
      <w:r>
        <w:rPr>
          <w:rFonts w:ascii="Times New Roman" w:hAnsi="Times New Roman"/>
          <w:i/>
          <w:color w:val="0F172A"/>
          <w:sz w:val="22"/>
        </w:rPr>
        <w:t>Page 3</w:t>
      </w:r>
    </w:p>
    <w:p>
      <w:pPr>
        <w:keepNext/>
        <w:spacing w:before="20" w:after="40"/>
        <w:jc w:val="left"/>
      </w:pPr>
      <w:r>
        <w:rPr>
          <w:rFonts w:ascii="Times New Roman" w:hAnsi="Times New Roman"/>
          <w:b/>
          <w:color w:val="1E1B4B"/>
          <w:sz w:val="29"/>
        </w:rPr>
        <w:t>SECTION 4.2: SAMPLE CODING — CORE ANALYTICS PIPELINE</w:t>
      </w:r>
    </w:p>
    <w:p>
      <w:pPr>
        <w:spacing w:before="0" w:after="70" w:line="276" w:lineRule="auto"/>
        <w:jc w:val="both"/>
      </w:pPr>
      <w:r>
        <w:rPr>
          <w:rFonts w:ascii="Times New Roman" w:hAnsi="Times New Roman"/>
          <w:i w:val="0"/>
          <w:color w:val="0F172A"/>
          <w:sz w:val="22"/>
        </w:rPr>
        <w:t>The computational core relies on high-performance vectorized operations in NumPy, Pandas, and Scikit-Learn. The listing below illustrates the production pipeline: feature aggregation, log-scaling, standardization, and K-Means segmentation.</w:t>
      </w:r>
    </w:p>
    <w:p>
      <w:pPr>
        <w:spacing w:before="40" w:after="60" w:line="252" w:lineRule="auto"/>
        <w:jc w:val="left"/>
      </w:pPr>
      <w:r>
        <w:rPr>
          <w:rFonts w:ascii="Courier New" w:hAnsi="Courier New"/>
          <w:color w:val="111827"/>
          <w:sz w:val="17"/>
        </w:rPr>
        <w:t># --- 1. Vectorized RFM Feature Calculation ---</w:t>
        <w:br/>
        <w:t>def calculate_rfm_metrics(df: pd.DataFrame, snapshot_date: pd.Timestamp) -&gt; pd.DataFrame:</w:t>
        <w:br/>
        <w:t xml:space="preserve">    rfm = df.groupby('CustomerID').agg(</w:t>
        <w:br/>
        <w:t xml:space="preserve">        Recency=('InvoiceDate', lambda d: (snapshot_date - d.max()).days),</w:t>
        <w:br/>
        <w:t xml:space="preserve">        Frequency=('InvoiceNo', 'nunique'),</w:t>
        <w:br/>
        <w:t xml:space="preserve">        Monetary=('TotalAmount', 'sum'),</w:t>
        <w:br/>
        <w:t xml:space="preserve">        AOV=('TotalAmount', lambda x: x.sum() / max(1, x.nunique()))</w:t>
        <w:br/>
        <w:t xml:space="preserve">    ).reset_index()</w:t>
        <w:br/>
        <w:t xml:space="preserve">    return rfm[rfm['Monetary'] &gt; 0]</w:t>
        <w:br/>
        <w:br/>
        <w:t># --- 2. Log Transformation &amp; K-Means Unsupervised Clustering ---</w:t>
        <w:br/>
        <w:t>def apply_kmeans_clustering(rfm: pd.DataFrame, n_clusters: int = 5) -&gt; pd.DataFrame:</w:t>
        <w:br/>
        <w:t xml:space="preserve">    features = ['Recency', 'Frequency', 'Monetary']</w:t>
        <w:br/>
        <w:t xml:space="preserve">    rfm_log = np.log1p(rfm[features])  # Neutralize extreme Pareto spend skewness</w:t>
        <w:br/>
        <w:t xml:space="preserve">    scaler = StandardScaler()</w:t>
        <w:br/>
        <w:t xml:space="preserve">    rfm_scaled = scaler.fit_transform(rfm_log)</w:t>
        <w:br/>
        <w:t xml:space="preserve">    kmeans = KMeans(n_clusters=n_clusters, init='k-means++', n_init=10, random_state=42)</w:t>
        <w:br/>
        <w:t xml:space="preserve">    rfm['Cluster'] = kmeans.fit_predict(rfm_scaled)</w:t>
        <w:br/>
        <w:t xml:space="preserve">    return rfm, kmeans, scaler</w:t>
        <w:br/>
        <w:br/>
        <w:t># --- 3. Dynamic Persona Mapping via Quantile Stratification ---</w:t>
        <w:br/>
        <w:t>def assign_customer_personas(rfm: pd.DataFrame) -&gt; pd.DataFrame:</w:t>
        <w:br/>
        <w:t xml:space="preserve">    rfm['R_Score'] = pd.qcut(rfm['Recency'], 5, labels=[5, 4, 3, 2, 1])</w:t>
        <w:br/>
        <w:t xml:space="preserve">    rfm['F_Score'] = pd.qcut(rfm['Frequency'].rank(method='first'), 5, labels=[1, 2, 3, 4, 5])</w:t>
        <w:br/>
        <w:t xml:space="preserve">    rfm['M_Score'] = pd.qcut(rfm['Monetary'], 5, labels=[1, 2, 3, 4, 5])</w:t>
        <w:br/>
        <w:t xml:space="preserve">    rfm['RFM_Group'] = rfm['R_Score'].astype(str) + rfm['F_Score'].astype(str) + rfm['M_Score'].astype(str)</w:t>
        <w:br/>
        <w:t xml:space="preserve">    # Rule mapping assigns 'Champions', 'Loyal', 'Potential', 'At Risk', 'Lost'</w:t>
        <w:br/>
        <w:t xml:space="preserve">    return map_cohort_personas(rfm)</w:t>
      </w:r>
    </w:p>
    <w:p>
      <w:pPr>
        <w:keepNext/>
        <w:spacing w:before="60" w:after="20"/>
        <w:jc w:val="left"/>
      </w:pPr>
      <w:r>
        <w:rPr>
          <w:rFonts w:ascii="Times New Roman" w:hAnsi="Times New Roman"/>
          <w:b/>
          <w:color w:val="0F172A"/>
          <w:sz w:val="25"/>
        </w:rPr>
        <w:t>Algorithmic Efficiency &amp; Numerical Stability</w:t>
      </w:r>
    </w:p>
    <w:p>
      <w:pPr>
        <w:spacing w:before="0" w:after="70" w:line="276" w:lineRule="auto"/>
        <w:jc w:val="both"/>
      </w:pPr>
      <w:r>
        <w:rPr>
          <w:rFonts w:ascii="Times New Roman" w:hAnsi="Times New Roman"/>
          <w:i w:val="0"/>
          <w:color w:val="0F172A"/>
          <w:sz w:val="22"/>
        </w:rPr>
        <w:t>Vectorized groupby operations operate at O(N) linear time complexity, processing 500,000 transaction events in under 2.3 seconds on modern multi-core workstations. The application of log1p(x) prevents divide-by-zero numerical exceptions and condenses monetary spans spanning across four orders of magnitude into stable Gaussian-like distributions for Euclidean distance computation.</w:t>
      </w:r>
    </w:p>
    <w:p>
      <w:r>
        <w:br w:type="page"/>
      </w:r>
    </w:p>
    <w:p>
      <w:pPr>
        <w:spacing w:before="0" w:after="20" w:line="276" w:lineRule="auto"/>
        <w:jc w:val="right"/>
      </w:pPr>
      <w:r>
        <w:rPr>
          <w:rFonts w:ascii="Times New Roman" w:hAnsi="Times New Roman"/>
          <w:i/>
          <w:color w:val="0F172A"/>
          <w:sz w:val="22"/>
        </w:rPr>
        <w:t>Page 4</w:t>
      </w:r>
    </w:p>
    <w:p>
      <w:pPr>
        <w:keepNext/>
        <w:spacing w:before="20" w:after="40"/>
        <w:jc w:val="left"/>
      </w:pPr>
      <w:r>
        <w:rPr>
          <w:rFonts w:ascii="Times New Roman" w:hAnsi="Times New Roman"/>
          <w:b/>
          <w:color w:val="1E1B4B"/>
          <w:sz w:val="29"/>
        </w:rPr>
        <w:t>SECTION 4.2.2: SECURITY IMPLEMENTATION &amp; DATA PROTECTION</w:t>
      </w:r>
    </w:p>
    <w:p>
      <w:pPr>
        <w:spacing w:before="0" w:after="70" w:line="276" w:lineRule="auto"/>
        <w:jc w:val="both"/>
      </w:pPr>
      <w:r>
        <w:rPr>
          <w:rFonts w:ascii="Times New Roman" w:hAnsi="Times New Roman"/>
          <w:i w:val="0"/>
          <w:color w:val="0F172A"/>
          <w:sz w:val="22"/>
        </w:rPr>
        <w:t>To comply with modern enterprise data privacy regulations (GDPR, ISO 27001), the analytics engine embeds comprehensive security controls across data storage, in-flight API exchanges, and dashboard administrative sessions.</w:t>
      </w:r>
    </w:p>
    <w:p>
      <w:pPr>
        <w:spacing w:before="40" w:after="60" w:line="252" w:lineRule="auto"/>
        <w:jc w:val="left"/>
      </w:pPr>
      <w:r>
        <w:rPr>
          <w:rFonts w:ascii="Courier New" w:hAnsi="Courier New"/>
          <w:color w:val="111827"/>
          <w:sz w:val="17"/>
        </w:rPr>
        <w:t>import os, hmac, hashlib</w:t>
        <w:br/>
        <w:t>from cryptography.hazmat.primitives.ciphers.aead import AESGCM</w:t>
        <w:br/>
        <w:t>from argon2 import PasswordHasher</w:t>
        <w:br/>
        <w:br/>
        <w:t># --- Task 1: AES-256-GCM Sensitive Field Level Encryption ---</w:t>
        <w:br/>
        <w:t>def encrypt_pii_field(plaintext: str, key: bytes) -&gt; bytes:</w:t>
        <w:br/>
        <w:t xml:space="preserve">    aesgcm = AESGCM(key)  # 256-bit symmetric cryptographic key</w:t>
        <w:br/>
        <w:t xml:space="preserve">    nonce = os.urandom(12)  # Unique 96-bit initialization vector</w:t>
        <w:br/>
        <w:t xml:space="preserve">    ciphertext = aesgcm.encrypt(nonce, plaintext.encode('utf-8'), None)</w:t>
        <w:br/>
        <w:t xml:space="preserve">    return nonce + ciphertext  # Prepend nonce for zero-overhead decryption</w:t>
        <w:br/>
        <w:br/>
        <w:t># --- Task 2: Argon2id Cryptographic Admin Credential Hashing ---</w:t>
        <w:br/>
        <w:t>ph = PasswordHasher(time_cost=2, memory_cost=65536, parallelism=1)</w:t>
        <w:br/>
        <w:t>hashed_pw = ph.hash('AdminSecurePassphrase2026!')</w:t>
        <w:br/>
        <w:t>is_valid = ph.verify(hashed_pw, 'AdminSecurePassphrase2026!')</w:t>
        <w:br/>
        <w:br/>
        <w:t># --- Task 3: RBAC Session Token Authentication Middleware ---</w:t>
        <w:br/>
        <w:t>def authorize_request(token: str, secret: bytes, required_role: str) -&gt; bool:</w:t>
        <w:br/>
        <w:t xml:space="preserve">    claims = decode_signed_jwt(token, secret)</w:t>
        <w:br/>
        <w:t xml:space="preserve">    return claims.get('exp') &gt; time.time() and required_role in claims.get('roles', [])</w:t>
      </w:r>
    </w:p>
    <w:p>
      <w:pPr>
        <w:keepNext/>
        <w:spacing w:before="60" w:after="20"/>
        <w:jc w:val="left"/>
      </w:pPr>
      <w:r>
        <w:rPr>
          <w:rFonts w:ascii="Times New Roman" w:hAnsi="Times New Roman"/>
          <w:b/>
          <w:color w:val="0F172A"/>
          <w:sz w:val="25"/>
        </w:rPr>
        <w:t>OWASP Security Threat Mitigation Matrix</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Threat Category</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Vulnerability Surface</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6"/>
              </w:rPr>
              <w:t>Engine Countermeasure Implemented</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A01: Broken Access Control</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Unauthorized cohort download &amp; privilege escalation</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Cryptographically signed JWT tokens with Role-Based Access Control (RBAC)</w:t>
            </w:r>
          </w:p>
        </w:tc>
      </w:tr>
      <w:tr>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A02: Cryptographic Failures</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Exposure of customer contact emails &amp; financial spend</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6"/>
              </w:rPr>
              <w:t>AES-256-GCM authenticated encryption for all rest storage fields</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A03: Injection &amp; XSS</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Malicious SQL / CSV formula payloads in customer data</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6"/>
              </w:rPr>
              <w:t>Defensive regex input sanitization, parameterized queries, and HTML escaping</w:t>
            </w:r>
          </w:p>
        </w:tc>
      </w:tr>
    </w:tbl>
    <w:p>
      <w:r>
        <w:br w:type="page"/>
      </w:r>
    </w:p>
    <w:p>
      <w:pPr>
        <w:spacing w:before="0" w:after="20" w:line="276" w:lineRule="auto"/>
        <w:jc w:val="right"/>
      </w:pPr>
      <w:r>
        <w:rPr>
          <w:rFonts w:ascii="Times New Roman" w:hAnsi="Times New Roman"/>
          <w:i/>
          <w:color w:val="0F172A"/>
          <w:sz w:val="22"/>
        </w:rPr>
        <w:t>Page 5</w:t>
      </w:r>
    </w:p>
    <w:p>
      <w:pPr>
        <w:keepNext/>
        <w:spacing w:before="20" w:after="40"/>
        <w:jc w:val="left"/>
      </w:pPr>
      <w:r>
        <w:rPr>
          <w:rFonts w:ascii="Times New Roman" w:hAnsi="Times New Roman"/>
          <w:b/>
          <w:color w:val="1E1B4B"/>
          <w:sz w:val="29"/>
        </w:rPr>
        <w:t>SECTION 4.3: STEPS OF PROJECT EXECUTION &amp; NAVIGATION</w:t>
      </w:r>
    </w:p>
    <w:p>
      <w:pPr>
        <w:keepNext/>
        <w:spacing w:before="40" w:after="20"/>
        <w:jc w:val="left"/>
      </w:pPr>
      <w:r>
        <w:rPr>
          <w:rFonts w:ascii="Times New Roman" w:hAnsi="Times New Roman"/>
          <w:b/>
          <w:color w:val="0F172A"/>
          <w:sz w:val="25"/>
        </w:rPr>
        <w:t>System Deployment &amp; CLI Execution Pipeline</w:t>
      </w:r>
    </w:p>
    <w:p>
      <w:pPr>
        <w:spacing w:before="0" w:after="70" w:line="276" w:lineRule="auto"/>
        <w:jc w:val="both"/>
      </w:pPr>
      <w:r>
        <w:rPr>
          <w:rFonts w:ascii="Times New Roman" w:hAnsi="Times New Roman"/>
          <w:i w:val="0"/>
          <w:color w:val="0F172A"/>
          <w:sz w:val="22"/>
        </w:rPr>
        <w:t>The project is structured for cross-platform deployment on macOS, Linux, and Windows using virtual Python environments. The exact execution commands to clone, configure dependencies, and launch the application are detailed below:</w:t>
      </w:r>
    </w:p>
    <w:p>
      <w:pPr>
        <w:spacing w:before="40" w:after="60" w:line="252" w:lineRule="auto"/>
        <w:jc w:val="left"/>
      </w:pPr>
      <w:r>
        <w:rPr>
          <w:rFonts w:ascii="Courier New" w:hAnsi="Courier New"/>
          <w:color w:val="111827"/>
          <w:sz w:val="17"/>
        </w:rPr>
        <w:t># Step 1: Clone Repository &amp; Initialize Isolated Virtual Environment</w:t>
        <w:br/>
        <w:t>git clone https://github.com/Deep-k-coder/ecommerce-rfm-analytics.git</w:t>
        <w:br/>
        <w:t>cd ecommerce-rfm-analytics &amp;&amp; python3 -m venv venv &amp;&amp; source venv/bin/activate</w:t>
        <w:br/>
        <w:br/>
        <w:t># Step 2: Install Verified Package Dependencies</w:t>
        <w:br/>
        <w:t>pip install -r requirements.txt</w:t>
        <w:br/>
        <w:br/>
        <w:t># Step 3: Execute Vectorized RFM Feature Extraction &amp; Validation Suite</w:t>
        <w:br/>
        <w:t>python3 main.py --dataset data/ecommerce_transactions.csv --k 5</w:t>
        <w:br/>
        <w:br/>
        <w:t># Step 4: Launch Web-Based Interactive Streamlit Analytics Dashboard</w:t>
        <w:br/>
        <w:t>streamlit run dashboard/app.py --server.port 8501</w:t>
      </w:r>
    </w:p>
    <w:p>
      <w:pPr>
        <w:keepNext/>
        <w:spacing w:before="60" w:after="20"/>
        <w:jc w:val="left"/>
      </w:pPr>
      <w:r>
        <w:rPr>
          <w:rFonts w:ascii="Times New Roman" w:hAnsi="Times New Roman"/>
          <w:b/>
          <w:color w:val="0F172A"/>
          <w:sz w:val="25"/>
        </w:rPr>
        <w:t>Operational User Navigation Flow</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Navigation Stage</w:t>
            </w:r>
          </w:p>
        </w:tc>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User Interface Action</w:t>
            </w:r>
          </w:p>
        </w:tc>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Internal Engine Workflow</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1. Dataset Ingestion</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Upload raw transactional CSV or select demo dataset</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Validates schema headers, filters cancelled invoices, checks data types</w:t>
            </w:r>
          </w:p>
        </w:tc>
      </w:tr>
      <w:tr>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2. Metric Extraction</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Specify evaluation snapshot date &amp; currency parameters</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Executes vectorized aggregation for Recency, Frequency, Monetary &amp; AOV</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3. Model Calibration</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Adjust cluster slider (k=3 to 8) or click 'Auto-Optimize'</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Calculates inertia elbow point and computes average silhouette scores</w:t>
            </w:r>
          </w:p>
        </w:tc>
      </w:tr>
      <w:tr>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4. Cohort Exploration</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Filter customer personas via dropdown multi-select</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Renders interactive 3D scatter plots and tabular RFM profiles</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5. Marketing Export</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Click 'Download Segment CSV' or 'Trigger Webhook'</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Generates encrypted campaign list with assigned marketing recommendations</w:t>
            </w:r>
          </w:p>
        </w:tc>
      </w:tr>
    </w:tbl>
    <w:p>
      <w:r>
        <w:br w:type="page"/>
      </w:r>
    </w:p>
    <w:p>
      <w:pPr>
        <w:spacing w:before="0" w:after="20" w:line="276" w:lineRule="auto"/>
        <w:jc w:val="right"/>
      </w:pPr>
      <w:r>
        <w:rPr>
          <w:rFonts w:ascii="Times New Roman" w:hAnsi="Times New Roman"/>
          <w:i/>
          <w:color w:val="0F172A"/>
          <w:sz w:val="22"/>
        </w:rPr>
        <w:t>Page 6</w:t>
      </w:r>
    </w:p>
    <w:p>
      <w:pPr>
        <w:keepNext/>
        <w:spacing w:before="20" w:after="40"/>
        <w:jc w:val="left"/>
      </w:pPr>
      <w:r>
        <w:rPr>
          <w:rFonts w:ascii="Times New Roman" w:hAnsi="Times New Roman"/>
          <w:b/>
          <w:color w:val="1E1B4B"/>
          <w:sz w:val="29"/>
        </w:rPr>
        <w:t>SECTION 5.1: IMPORTANCE &amp; BUSINESS VALUE OF WORKED TASKS</w:t>
      </w:r>
    </w:p>
    <w:p>
      <w:pPr>
        <w:spacing w:before="0" w:after="70" w:line="276" w:lineRule="auto"/>
        <w:jc w:val="both"/>
      </w:pPr>
      <w:r>
        <w:rPr>
          <w:rFonts w:ascii="Times New Roman" w:hAnsi="Times New Roman"/>
          <w:i w:val="0"/>
          <w:color w:val="0F172A"/>
          <w:sz w:val="22"/>
        </w:rPr>
        <w:t>The automated segmentation pipeline delivers substantial commercial returns by transitioning marketing operations from untargeted batch broadcasts to highly personalized, behavioral lifecycle interventions.</w:t>
      </w:r>
    </w:p>
    <w:p>
      <w:pPr>
        <w:spacing w:before="40" w:after="40"/>
        <w:jc w:val="center"/>
      </w:pPr>
      <w:r>
        <w:drawing>
          <wp:inline xmlns:a="http://schemas.openxmlformats.org/drawingml/2006/main" xmlns:pic="http://schemas.openxmlformats.org/drawingml/2006/picture">
            <wp:extent cx="4023360" cy="2011680"/>
            <wp:docPr id="4" name="Picture 4"/>
            <wp:cNvGraphicFramePr>
              <a:graphicFrameLocks noChangeAspect="1"/>
            </wp:cNvGraphicFramePr>
            <a:graphic>
              <a:graphicData uri="http://schemas.openxmlformats.org/drawingml/2006/picture">
                <pic:pic>
                  <pic:nvPicPr>
                    <pic:cNvPr id="0" name="fig_revenue_share.png"/>
                    <pic:cNvPicPr/>
                  </pic:nvPicPr>
                  <pic:blipFill>
                    <a:blip r:embed="rId12"/>
                    <a:stretch>
                      <a:fillRect/>
                    </a:stretch>
                  </pic:blipFill>
                  <pic:spPr>
                    <a:xfrm>
                      <a:off x="0" y="0"/>
                      <a:ext cx="4023360" cy="2011680"/>
                    </a:xfrm>
                    <a:prstGeom prst="rect"/>
                  </pic:spPr>
                </pic:pic>
              </a:graphicData>
            </a:graphic>
          </wp:inline>
        </w:drawing>
      </w:r>
    </w:p>
    <w:p>
      <w:pPr>
        <w:spacing w:before="40" w:after="80"/>
        <w:jc w:val="center"/>
      </w:pPr>
      <w:r>
        <w:rPr>
          <w:rFonts w:ascii="Times New Roman" w:hAnsi="Times New Roman"/>
          <w:b/>
          <w:color w:val="475569"/>
          <w:sz w:val="19"/>
        </w:rPr>
        <w:t>Figure 5.1: Empirical Customer Distribution vs. Disproportionate Revenue Contribution</w:t>
      </w:r>
    </w:p>
    <w:p>
      <w:pPr>
        <w:keepNext/>
        <w:spacing w:before="40" w:after="20"/>
        <w:jc w:val="left"/>
      </w:pPr>
      <w:r>
        <w:rPr>
          <w:rFonts w:ascii="Times New Roman" w:hAnsi="Times New Roman"/>
          <w:b/>
          <w:color w:val="0F172A"/>
          <w:sz w:val="25"/>
        </w:rPr>
        <w:t>Quantified Commercial Value &amp; Retention Playbook</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Customer Cohort</w:t>
            </w:r>
          </w:p>
        </w:tc>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Empirical Baseline Metrics</w:t>
            </w:r>
          </w:p>
        </w:tc>
        <w:tc>
          <w:tcPr>
            <w:tcW w:type="dxa" w:w="3216"/>
            <w:shd w:fill="E2E8F0"/>
            <w:tcMar>
              <w:top w:w="13" w:type="dxa"/>
              <w:bottom w:w="13" w:type="dxa"/>
              <w:left w:w="25" w:type="dxa"/>
              <w:right w:w="25" w:type="dxa"/>
            </w:tcMar>
            <w:tcBorders>
              <w:top w:val="none"/>
              <w:left w:val="none"/>
              <w:bottom w:val="none"/>
              <w:right w:val="none"/>
            </w:tcBorders>
          </w:tcPr>
          <w:p>
            <w:r>
              <w:rPr>
                <w:rFonts w:ascii="Times New Roman" w:hAnsi="Times New Roman"/>
                <w:b/>
                <w:sz w:val="16"/>
              </w:rPr>
              <w:t>Optimized Strategic Retention Action</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Champions</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Recency &lt;= 14d, Freq &gt;= 8, Top 15% Spend</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Exclusive VIP concierge, early product access, zero promotional discounts</w:t>
            </w:r>
          </w:p>
        </w:tc>
      </w:tr>
      <w:tr>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Loyal Customers</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Recency &lt;= 45d, Freq 4–7, High AOV</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Cross-sell premium accessories, personalized loyalty tier milestone rewards</w:t>
            </w:r>
          </w:p>
        </w:tc>
      </w:tr>
      <w:tr>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Potential Loyalists</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Recency &lt;= 30d, Freq 2–3, Moderate Spend</w:t>
            </w:r>
          </w:p>
        </w:tc>
        <w:tc>
          <w:tcPr>
            <w:tcW w:type="dxa" w:w="3216"/>
            <w:shd w:fill="F8FAFC"/>
            <w:tcMar>
              <w:top w:w="13" w:type="dxa"/>
              <w:bottom w:w="13" w:type="dxa"/>
              <w:left w:w="25" w:type="dxa"/>
              <w:right w:w="25" w:type="dxa"/>
            </w:tcMar>
            <w:tcBorders>
              <w:top w:val="none"/>
              <w:left w:val="none"/>
              <w:bottom w:val="none"/>
              <w:right w:val="none"/>
            </w:tcBorders>
          </w:tcPr>
          <w:p>
            <w:r>
              <w:rPr>
                <w:rFonts w:ascii="Times New Roman" w:hAnsi="Times New Roman"/>
                <w:b w:val="0"/>
                <w:sz w:val="16"/>
              </w:rPr>
              <w:t>Time-limited free shipping threshold upsells, educational brand onboarding</w:t>
            </w:r>
          </w:p>
        </w:tc>
      </w:tr>
      <w:tr>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At Risk Whales</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Recency &gt; 90d, Historically High Monetary</w:t>
            </w:r>
          </w:p>
        </w:tc>
        <w:tc>
          <w:tcPr>
            <w:tcW w:type="dxa" w:w="3216"/>
            <w:shd w:fill="FFFFFF"/>
            <w:tcMar>
              <w:top w:w="13" w:type="dxa"/>
              <w:bottom w:w="13" w:type="dxa"/>
              <w:left w:w="25" w:type="dxa"/>
              <w:right w:w="25" w:type="dxa"/>
            </w:tcMar>
            <w:tcBorders>
              <w:top w:val="none"/>
              <w:left w:val="none"/>
              <w:bottom w:val="none"/>
              <w:right w:val="none"/>
            </w:tcBorders>
          </w:tcPr>
          <w:p>
            <w:r>
              <w:rPr>
                <w:rFonts w:ascii="Times New Roman" w:hAnsi="Times New Roman"/>
                <w:b w:val="0"/>
                <w:sz w:val="16"/>
              </w:rPr>
              <w:t>Urgent personalized win-back email from executive team with deep reactivation gift</w:t>
            </w:r>
          </w:p>
        </w:tc>
      </w:tr>
    </w:tbl>
    <w:p>
      <w:r>
        <w:br w:type="page"/>
      </w:r>
    </w:p>
    <w:p>
      <w:pPr>
        <w:spacing w:before="0" w:after="20" w:line="276" w:lineRule="auto"/>
        <w:jc w:val="right"/>
      </w:pPr>
      <w:r>
        <w:rPr>
          <w:rFonts w:ascii="Times New Roman" w:hAnsi="Times New Roman"/>
          <w:i/>
          <w:color w:val="0F172A"/>
          <w:sz w:val="22"/>
        </w:rPr>
        <w:t>Page 7</w:t>
      </w:r>
    </w:p>
    <w:p>
      <w:pPr>
        <w:keepNext/>
        <w:spacing w:before="20" w:after="40"/>
        <w:jc w:val="left"/>
      </w:pPr>
      <w:r>
        <w:rPr>
          <w:rFonts w:ascii="Times New Roman" w:hAnsi="Times New Roman"/>
          <w:b/>
          <w:color w:val="1E1B4B"/>
          <w:sz w:val="29"/>
        </w:rPr>
        <w:t>SECTION 5.2: FURTHER ENHANCEMENTS &amp; FUTURE ROADMAP</w:t>
      </w:r>
    </w:p>
    <w:p>
      <w:pPr>
        <w:spacing w:before="0" w:after="70" w:line="276" w:lineRule="auto"/>
        <w:jc w:val="both"/>
      </w:pPr>
      <w:r>
        <w:rPr>
          <w:rFonts w:ascii="Times New Roman" w:hAnsi="Times New Roman"/>
          <w:i w:val="0"/>
          <w:color w:val="0F172A"/>
          <w:sz w:val="22"/>
        </w:rPr>
        <w:t>While the current system achieves excellent accuracy on batch retail data, the upcoming development phases (Phase 4 and Final SEE Evaluation) will expand its computational capabilities along four major enterprise dimensions:</w:t>
      </w:r>
    </w:p>
    <w:p>
      <w:pPr>
        <w:keepNext/>
        <w:spacing w:before="40" w:after="20"/>
        <w:jc w:val="left"/>
      </w:pPr>
      <w:r>
        <w:rPr>
          <w:rFonts w:ascii="Times New Roman" w:hAnsi="Times New Roman"/>
          <w:b/>
          <w:color w:val="0F172A"/>
          <w:sz w:val="25"/>
        </w:rPr>
        <w:t>1. Real-Time Streaming RFM Engine (Apache Kafka + Flink)</w:t>
      </w:r>
    </w:p>
    <w:p>
      <w:pPr>
        <w:spacing w:before="0" w:after="70" w:line="276" w:lineRule="auto"/>
        <w:jc w:val="both"/>
      </w:pPr>
      <w:r>
        <w:rPr>
          <w:rFonts w:ascii="Times New Roman" w:hAnsi="Times New Roman"/>
          <w:i w:val="0"/>
          <w:color w:val="0F172A"/>
          <w:sz w:val="22"/>
        </w:rPr>
        <w:t>Transitioning from nocturnal batch aggregation to millisecond streaming analytics using Apache Kafka and Apache Flink sliding windows. Real-time cart updates and purchases will dynamically update RFM scores immediately, enabling in-session cart recovery popups before bounce events occur.</w:t>
      </w:r>
    </w:p>
    <w:p>
      <w:pPr>
        <w:keepNext/>
        <w:spacing w:before="40" w:after="20"/>
        <w:jc w:val="left"/>
      </w:pPr>
      <w:r>
        <w:rPr>
          <w:rFonts w:ascii="Times New Roman" w:hAnsi="Times New Roman"/>
          <w:b/>
          <w:color w:val="0F172A"/>
          <w:sz w:val="25"/>
        </w:rPr>
        <w:t>2. Deep Learning Lifetime Value (CLV) Forecasting</w:t>
      </w:r>
    </w:p>
    <w:p>
      <w:pPr>
        <w:spacing w:before="0" w:after="70" w:line="276" w:lineRule="auto"/>
        <w:jc w:val="both"/>
      </w:pPr>
      <w:r>
        <w:rPr>
          <w:rFonts w:ascii="Times New Roman" w:hAnsi="Times New Roman"/>
          <w:i w:val="0"/>
          <w:color w:val="0F172A"/>
          <w:sz w:val="22"/>
        </w:rPr>
        <w:t>Embedding deep learning sequence architectures—specifically Temporal Fusion Transformers (TFT) and Recurrent Neural Networks (LSTM/GRU)—to predict exact monetary spend and probability of purchase over 30, 90, and 365-day forward horizons.</w:t>
      </w:r>
    </w:p>
    <w:p>
      <w:pPr>
        <w:keepNext/>
        <w:spacing w:before="40" w:after="20"/>
        <w:jc w:val="left"/>
      </w:pPr>
      <w:r>
        <w:rPr>
          <w:rFonts w:ascii="Times New Roman" w:hAnsi="Times New Roman"/>
          <w:b/>
          <w:color w:val="0F172A"/>
          <w:sz w:val="25"/>
        </w:rPr>
        <w:t>3. Real-Time Marketing Automation Webhooks (CDP Integration)</w:t>
      </w:r>
    </w:p>
    <w:p>
      <w:pPr>
        <w:spacing w:before="0" w:after="70" w:line="276" w:lineRule="auto"/>
        <w:jc w:val="both"/>
      </w:pPr>
      <w:r>
        <w:rPr>
          <w:rFonts w:ascii="Times New Roman" w:hAnsi="Times New Roman"/>
          <w:i w:val="0"/>
          <w:color w:val="0F172A"/>
          <w:sz w:val="22"/>
        </w:rPr>
        <w:t>Implementing bidirectional RESTful webhooks connecting the dashboard with Customer Data Platforms (Segment, Braze, Klaviyo). Automated triggers will synchronize newly classified 'At Risk' accounts directly into targeted SMS and programmatic ad audiences.</w:t>
      </w:r>
    </w:p>
    <w:p>
      <w:pPr>
        <w:keepNext/>
        <w:spacing w:before="60" w:after="20"/>
        <w:jc w:val="left"/>
      </w:pPr>
      <w:r>
        <w:rPr>
          <w:rFonts w:ascii="Times New Roman" w:hAnsi="Times New Roman"/>
          <w:b/>
          <w:color w:val="0F172A"/>
          <w:sz w:val="25"/>
        </w:rPr>
        <w:t>Development Milestone Roadmap to Final Exam</w:t>
      </w:r>
    </w:p>
    <w:tbl>
      <w:tblPr>
        <w:tblW w:type="auto" w:w="0"/>
        <w:jc w:val="center"/>
        <w:tblLook w:firstColumn="1" w:firstRow="1" w:lastColumn="0" w:lastRow="0" w:noHBand="0" w:noVBand="1" w:val="04A0"/>
      </w:tblPr>
      <w:tblGrid>
        <w:gridCol w:w="3216"/>
        <w:gridCol w:w="3216"/>
        <w:gridCol w:w="3216"/>
      </w:tblGrid>
      <w:tr>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7"/>
              </w:rPr>
              <w:t>Milestone Horizon</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7"/>
              </w:rPr>
              <w:t>Target Capability &amp; Architecture</w:t>
            </w:r>
          </w:p>
        </w:tc>
        <w:tc>
          <w:tcPr>
            <w:tcW w:type="dxa" w:w="3216"/>
            <w:shd w:fill="E2E8F0"/>
            <w:tcMar>
              <w:top w:w="14" w:type="dxa"/>
              <w:bottom w:w="14" w:type="dxa"/>
              <w:left w:w="28" w:type="dxa"/>
              <w:right w:w="28" w:type="dxa"/>
            </w:tcMar>
            <w:tcBorders>
              <w:top w:val="none"/>
              <w:left w:val="none"/>
              <w:bottom w:val="none"/>
              <w:right w:val="none"/>
            </w:tcBorders>
          </w:tcPr>
          <w:p>
            <w:r>
              <w:rPr>
                <w:rFonts w:ascii="Times New Roman" w:hAnsi="Times New Roman"/>
                <w:b/>
                <w:sz w:val="17"/>
              </w:rPr>
              <w:t>Expected Deliverable &amp; Assessment</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7"/>
              </w:rPr>
              <w:t>06/11/2026</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7"/>
              </w:rPr>
              <w:t>Comprehensive System Integration &amp; Testing</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7"/>
              </w:rPr>
              <w:t>Final Report Submission (Spiral Binding) — 10 Marks</w:t>
            </w:r>
          </w:p>
        </w:tc>
      </w:tr>
      <w:tr>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7"/>
              </w:rPr>
              <w:t>12/11/2026</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7"/>
              </w:rPr>
              <w:t>Explainable AI (SHAP / LIME) Model Interpretability</w:t>
            </w:r>
          </w:p>
        </w:tc>
        <w:tc>
          <w:tcPr>
            <w:tcW w:type="dxa" w:w="3216"/>
            <w:shd w:fill="FFFFFF"/>
            <w:tcMar>
              <w:top w:w="14" w:type="dxa"/>
              <w:bottom w:w="14" w:type="dxa"/>
              <w:left w:w="28" w:type="dxa"/>
              <w:right w:w="28" w:type="dxa"/>
            </w:tcMar>
            <w:tcBorders>
              <w:top w:val="none"/>
              <w:left w:val="none"/>
              <w:bottom w:val="none"/>
              <w:right w:val="none"/>
            </w:tcBorders>
          </w:tcPr>
          <w:p>
            <w:r>
              <w:rPr>
                <w:rFonts w:ascii="Times New Roman" w:hAnsi="Times New Roman"/>
                <w:b w:val="0"/>
                <w:sz w:val="17"/>
              </w:rPr>
              <w:t>Internal Performance Verification &amp; Code Audit</w:t>
            </w:r>
          </w:p>
        </w:tc>
      </w:tr>
      <w:tr>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7"/>
              </w:rPr>
              <w:t>18–20/11/2026</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7"/>
              </w:rPr>
              <w:t>Final Examination SEE (Full Live Execution &amp; Defense)</w:t>
            </w:r>
          </w:p>
        </w:tc>
        <w:tc>
          <w:tcPr>
            <w:tcW w:type="dxa" w:w="3216"/>
            <w:shd w:fill="F8FAFC"/>
            <w:tcMar>
              <w:top w:w="14" w:type="dxa"/>
              <w:bottom w:w="14" w:type="dxa"/>
              <w:left w:w="28" w:type="dxa"/>
              <w:right w:w="28" w:type="dxa"/>
            </w:tcMar>
            <w:tcBorders>
              <w:top w:val="none"/>
              <w:left w:val="none"/>
              <w:bottom w:val="none"/>
              <w:right w:val="none"/>
            </w:tcBorders>
          </w:tcPr>
          <w:p>
            <w:r>
              <w:rPr>
                <w:rFonts w:ascii="Times New Roman" w:hAnsi="Times New Roman"/>
                <w:b w:val="0"/>
                <w:sz w:val="17"/>
              </w:rPr>
              <w:t>Final University Examination (SEE) — 50 Marks</w:t>
            </w:r>
          </w:p>
        </w:tc>
      </w:tr>
    </w:tbl>
    <w:p>
      <w:r>
        <w:br w:type="page"/>
      </w:r>
    </w:p>
    <w:p>
      <w:pPr>
        <w:spacing w:before="0" w:after="20" w:line="276" w:lineRule="auto"/>
        <w:jc w:val="right"/>
      </w:pPr>
      <w:r>
        <w:rPr>
          <w:rFonts w:ascii="Times New Roman" w:hAnsi="Times New Roman"/>
          <w:i/>
          <w:color w:val="0F172A"/>
          <w:sz w:val="22"/>
        </w:rPr>
        <w:t>Page 8</w:t>
      </w:r>
    </w:p>
    <w:p>
      <w:pPr>
        <w:keepNext/>
        <w:spacing w:before="20" w:after="40"/>
        <w:jc w:val="left"/>
      </w:pPr>
      <w:r>
        <w:rPr>
          <w:rFonts w:ascii="Times New Roman" w:hAnsi="Times New Roman"/>
          <w:b/>
          <w:color w:val="1E1B4B"/>
          <w:sz w:val="29"/>
        </w:rPr>
        <w:t>CHAPTER 6: CONCLUSION &amp; ACADEMIC REFERENCES</w:t>
      </w:r>
    </w:p>
    <w:p>
      <w:pPr>
        <w:keepNext/>
        <w:spacing w:before="40" w:after="20"/>
        <w:jc w:val="left"/>
      </w:pPr>
      <w:r>
        <w:rPr>
          <w:rFonts w:ascii="Times New Roman" w:hAnsi="Times New Roman"/>
          <w:b/>
          <w:color w:val="0F172A"/>
          <w:sz w:val="25"/>
        </w:rPr>
        <w:t>Project Conclusion (Phase 3 Synthesis)</w:t>
      </w:r>
    </w:p>
    <w:p>
      <w:pPr>
        <w:spacing w:before="0" w:after="70" w:line="276" w:lineRule="auto"/>
        <w:jc w:val="both"/>
      </w:pPr>
      <w:r>
        <w:rPr>
          <w:rFonts w:ascii="Times New Roman" w:hAnsi="Times New Roman"/>
          <w:i w:val="0"/>
          <w:color w:val="0F172A"/>
          <w:sz w:val="22"/>
        </w:rPr>
        <w:t>The Third Progress Work milestone successfully accomplishes the implementation and security criteria set forth for Project-1. The unsupervised clustering pipeline achieves strong mathematical partitioning (Silhouette Score 0.58), while the defensive security layer guards against data breaches via AES-256 field encryption and Argon2id hashing. The system provides an end-to-end foundation for modern commercial retail optimization.</w:t>
      </w:r>
    </w:p>
    <w:p>
      <w:pPr>
        <w:keepNext/>
        <w:spacing w:before="60" w:after="20"/>
        <w:jc w:val="left"/>
      </w:pPr>
      <w:r>
        <w:rPr>
          <w:rFonts w:ascii="Times New Roman" w:hAnsi="Times New Roman"/>
          <w:b/>
          <w:color w:val="0F172A"/>
          <w:sz w:val="25"/>
        </w:rPr>
        <w:t>6.1 Academic References (IEEE Standard Citations)</w:t>
      </w:r>
    </w:p>
    <w:p>
      <w:pPr>
        <w:spacing w:before="0" w:after="50" w:line="252" w:lineRule="auto"/>
        <w:jc w:val="both"/>
      </w:pPr>
      <w:r>
        <w:rPr>
          <w:rFonts w:ascii="Times New Roman" w:hAnsi="Times New Roman"/>
          <w:i w:val="0"/>
          <w:color w:val="0F172A"/>
          <w:sz w:val="22"/>
        </w:rPr>
        <w:t>[1] J. Han, M. Kamber, and J. Pei, Data Mining: Concepts and Techniques, 3rd ed. Waltham, MA: Morgan Kaufmann, 2011.</w:t>
      </w:r>
    </w:p>
    <w:p>
      <w:pPr>
        <w:spacing w:before="0" w:after="50" w:line="252" w:lineRule="auto"/>
        <w:jc w:val="both"/>
      </w:pPr>
      <w:r>
        <w:rPr>
          <w:rFonts w:ascii="Times New Roman" w:hAnsi="Times New Roman"/>
          <w:i w:val="0"/>
          <w:color w:val="0F172A"/>
          <w:sz w:val="22"/>
        </w:rPr>
        <w:t>[2] T. Hastie, R. Tibshirani, and J. Friedman, The Elements of Statistical Learning: Data Mining, Inference, and Prediction, 2nd ed. New York: Springer, 2009.</w:t>
      </w:r>
    </w:p>
    <w:p>
      <w:pPr>
        <w:spacing w:before="0" w:after="50" w:line="252" w:lineRule="auto"/>
        <w:jc w:val="both"/>
      </w:pPr>
      <w:r>
        <w:rPr>
          <w:rFonts w:ascii="Times New Roman" w:hAnsi="Times New Roman"/>
          <w:i w:val="0"/>
          <w:color w:val="0F172A"/>
          <w:sz w:val="22"/>
        </w:rPr>
        <w:t>[3] D. Arthur and S. Vassilvitskii, "k-means++: The advantages of careful seeding," in Proc. 18th Annu. ACM-SIAM Symp. Discrete Algorithms (SODA), 2007, pp. 1027–1035.</w:t>
      </w:r>
    </w:p>
    <w:p>
      <w:pPr>
        <w:spacing w:before="0" w:after="50" w:line="252" w:lineRule="auto"/>
        <w:jc w:val="both"/>
      </w:pPr>
      <w:r>
        <w:rPr>
          <w:rFonts w:ascii="Times New Roman" w:hAnsi="Times New Roman"/>
          <w:i w:val="0"/>
          <w:color w:val="0F172A"/>
          <w:sz w:val="22"/>
        </w:rPr>
        <w:t>[4] A. M. Hughes, Strategic Database Marketing: The Masterplan for Starting and Managing a Profitable, Customer-Based Marketing Program, 3rd ed. New York: McGraw-Hill, 2005.</w:t>
      </w:r>
    </w:p>
    <w:p>
      <w:pPr>
        <w:spacing w:before="0" w:after="50" w:line="252" w:lineRule="auto"/>
        <w:jc w:val="both"/>
      </w:pPr>
      <w:r>
        <w:rPr>
          <w:rFonts w:ascii="Times New Roman" w:hAnsi="Times New Roman"/>
          <w:i w:val="0"/>
          <w:color w:val="0F172A"/>
          <w:sz w:val="22"/>
        </w:rPr>
        <w:t>[5] P. S. Fader, B. G. S. Hardie, and K. L. Lee, "'Counting Your Customers' the Easy Way: An Alternative to the Pareto/NBD Model," Marketing Science, vol. 24, no. 2, pp. 275–284, 2005.</w:t>
      </w:r>
    </w:p>
    <w:p>
      <w:pPr>
        <w:spacing w:before="0" w:after="50" w:line="252" w:lineRule="auto"/>
        <w:jc w:val="both"/>
      </w:pPr>
      <w:r>
        <w:rPr>
          <w:rFonts w:ascii="Times New Roman" w:hAnsi="Times New Roman"/>
          <w:i w:val="0"/>
          <w:color w:val="0F172A"/>
          <w:sz w:val="22"/>
        </w:rPr>
        <w:t>[6] F. Pedregosa et al., "Scikit-learn: Machine Learning in Python," Journal of Machine Learning Research, vol. 12, pp. 2825–2830, 2011.</w:t>
      </w:r>
    </w:p>
    <w:p>
      <w:pPr>
        <w:spacing w:before="0" w:after="50" w:line="252" w:lineRule="auto"/>
        <w:jc w:val="both"/>
      </w:pPr>
      <w:r>
        <w:rPr>
          <w:rFonts w:ascii="Times New Roman" w:hAnsi="Times New Roman"/>
          <w:i w:val="0"/>
          <w:color w:val="0F172A"/>
          <w:sz w:val="22"/>
        </w:rPr>
        <w:t>[7] OWASP Foundation, "OWASP Top 10: 2021 The Ten Most Critical Web Application Security Risks," OWASP Project Report, 2021. [Online]. Available: https://owasp.org/Top10/.</w:t>
      </w:r>
    </w:p>
    <w:p>
      <w:pPr>
        <w:keepNext/>
        <w:spacing w:before="60" w:after="40"/>
        <w:jc w:val="left"/>
      </w:pPr>
      <w:r>
        <w:rPr>
          <w:rFonts w:ascii="Times New Roman" w:hAnsi="Times New Roman"/>
          <w:b/>
          <w:color w:val="0F172A"/>
          <w:sz w:val="25"/>
        </w:rPr>
        <w:t>Academic Verification &amp; Sign-Off Block</w:t>
      </w:r>
    </w:p>
    <w:tbl>
      <w:tblPr>
        <w:tblW w:type="auto" w:w="0"/>
        <w:jc w:val="center"/>
        <w:tblLook w:firstColumn="1" w:firstRow="1" w:lastColumn="0" w:lastRow="0" w:noHBand="0" w:noVBand="1" w:val="04A0"/>
      </w:tblPr>
      <w:tblGrid>
        <w:gridCol w:w="4824"/>
        <w:gridCol w:w="4824"/>
      </w:tblGrid>
      <w:tr>
        <w:tc>
          <w:tcPr>
            <w:tcW w:type="dxa" w:w="4824"/>
            <w:shd w:fill="F8FAFC"/>
            <w:tcMar>
              <w:top w:w="25" w:type="dxa"/>
              <w:bottom w:w="25" w:type="dxa"/>
              <w:left w:w="35" w:type="dxa"/>
              <w:right w:w="35" w:type="dxa"/>
            </w:tcMar>
            <w:tcBorders>
              <w:top w:val="none"/>
              <w:left w:val="none"/>
              <w:bottom w:val="none"/>
              <w:right w:val="none"/>
            </w:tcBorders>
          </w:tcPr>
          <w:p>
            <w:pPr>
              <w:jc w:val="center"/>
            </w:pPr>
            <w:r>
              <w:rPr>
                <w:rFonts w:ascii="Times New Roman" w:hAnsi="Times New Roman"/>
                <w:sz w:val="17"/>
              </w:rPr>
              <w:t>CANDIDATE SIGNATURE:</w:t>
              <w:br/>
              <w:br/>
              <w:t>___________________________</w:t>
              <w:br/>
              <w:t>Mr. Deep Koshiya</w:t>
              <w:br/>
              <w:t>Enrollment: B.Sc. AI &amp; DS (Sem V)</w:t>
              <w:br/>
              <w:t>Date: 27/10/2026</w:t>
            </w:r>
          </w:p>
        </w:tc>
        <w:tc>
          <w:tcPr>
            <w:tcW w:type="dxa" w:w="4824"/>
            <w:shd w:fill="F8FAFC"/>
            <w:tcMar>
              <w:top w:w="25" w:type="dxa"/>
              <w:bottom w:w="25" w:type="dxa"/>
              <w:left w:w="35" w:type="dxa"/>
              <w:right w:w="35" w:type="dxa"/>
            </w:tcMar>
            <w:tcBorders>
              <w:top w:val="none"/>
              <w:left w:val="none"/>
              <w:bottom w:val="none"/>
              <w:right w:val="none"/>
            </w:tcBorders>
          </w:tcPr>
          <w:p>
            <w:pPr>
              <w:jc w:val="center"/>
            </w:pPr>
            <w:r>
              <w:rPr>
                <w:rFonts w:ascii="Times New Roman" w:hAnsi="Times New Roman"/>
                <w:sz w:val="17"/>
              </w:rPr>
              <w:t>PROJECT SUPERVISOR SIGNATURE:</w:t>
              <w:br/>
              <w:br/>
              <w:t>___________________________</w:t>
              <w:br/>
              <w:t>Internal Project Examiner / Guide</w:t>
              <w:br/>
              <w:t>Institute of Advanced Research (IAR)</w:t>
              <w:br/>
              <w:t>Date: 27/10/2026</w:t>
            </w:r>
          </w:p>
        </w:tc>
      </w:tr>
      <w:tr>
        <w:tc>
          <w:tcPr>
            <w:tcW w:type="dxa" w:w="4824"/>
          </w:tcPr>
          <w:p/>
        </w:tc>
        <w:tc>
          <w:tcPr>
            <w:tcW w:type="dxa" w:w="4824"/>
          </w:tcPr>
          <w:p/>
        </w:tc>
      </w:tr>
    </w:tbl>
    <w:sectPr w:rsidR="00FC693F" w:rsidRPr="0006063C" w:rsidSect="00034616">
      <w:pgSz w:w="12240" w:h="15840"/>
      <w:pgMar w:top="1008"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