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drawing>
          <wp:inline xmlns:a="http://schemas.openxmlformats.org/drawingml/2006/main" xmlns:pic="http://schemas.openxmlformats.org/drawingml/2006/picture">
            <wp:extent cx="4937760" cy="860581"/>
            <wp:docPr id="1" name="Picture 1"/>
            <wp:cNvGraphicFramePr>
              <a:graphicFrameLocks noChangeAspect="1"/>
            </wp:cNvGraphicFramePr>
            <a:graphic>
              <a:graphicData uri="http://schemas.openxmlformats.org/drawingml/2006/picture">
                <pic:pic>
                  <pic:nvPicPr>
                    <pic:cNvPr id="0" name="iar_banner_hd.png"/>
                    <pic:cNvPicPr/>
                  </pic:nvPicPr>
                  <pic:blipFill>
                    <a:blip r:embed="rId9"/>
                    <a:stretch>
                      <a:fillRect/>
                    </a:stretch>
                  </pic:blipFill>
                  <pic:spPr>
                    <a:xfrm>
                      <a:off x="0" y="0"/>
                      <a:ext cx="4937760" cy="860581"/>
                    </a:xfrm>
                    <a:prstGeom prst="rect"/>
                  </pic:spPr>
                </pic:pic>
              </a:graphicData>
            </a:graphic>
          </wp:inline>
        </w:drawing>
      </w:r>
    </w:p>
    <w:p>
      <w:pPr>
        <w:spacing w:after="40" w:before="0"/>
        <w:jc w:val="center"/>
      </w:pPr>
      <w:r>
        <w:rPr>
          <w:rFonts w:ascii="Times New Roman" w:hAnsi="Times New Roman"/>
          <w:b/>
          <w:color w:val="7A003C"/>
          <w:sz w:val="28"/>
        </w:rPr>
        <w:t>INSTITUTE OF ADVANCED RESEARCH (IAR)</w:t>
      </w:r>
    </w:p>
    <w:p>
      <w:pPr>
        <w:spacing w:after="60"/>
        <w:jc w:val="center"/>
      </w:pPr>
      <w:r>
        <w:rPr>
          <w:rFonts w:ascii="Times New Roman" w:hAnsi="Times New Roman"/>
          <w:i/>
          <w:color w:val="475569"/>
          <w:sz w:val="19"/>
        </w:rPr>
        <w:t>The University for Innovation | Gandhinagar, Gujarat</w:t>
      </w:r>
    </w:p>
    <w:p>
      <w:pPr>
        <w:spacing w:after="160"/>
        <w:jc w:val="center"/>
      </w:pPr>
      <w:r>
        <w:rPr>
          <w:rFonts w:ascii="Times New Roman" w:hAnsi="Times New Roman"/>
          <w:b/>
          <w:color w:val="1E1B4B"/>
          <w:sz w:val="22"/>
        </w:rPr>
        <w:t>B.Sc. in Artificial Intelligence &amp; Data Science | Semester V (5th Semester)</w:t>
        <w:br/>
        <w:t>Academic Session: 2026 – 2027</w:t>
      </w:r>
    </w:p>
    <w:p>
      <w:pPr>
        <w:spacing w:after="200"/>
        <w:jc w:val="center"/>
      </w:pPr>
      <w:r>
        <w:rPr>
          <w:rFonts w:ascii="Times New Roman" w:hAnsi="Times New Roman"/>
          <w:color w:val="7A003C"/>
          <w:sz w:val="18"/>
        </w:rPr>
        <w:t>━━━━━━━━━━━━━━━━━━━━━━━━━━━━━━━━━━━━━━━━━</w:t>
      </w:r>
    </w:p>
    <w:p>
      <w:pPr>
        <w:spacing w:after="80"/>
        <w:jc w:val="center"/>
      </w:pPr>
      <w:r>
        <w:rPr>
          <w:rFonts w:ascii="Times New Roman" w:hAnsi="Times New Roman"/>
          <w:b/>
          <w:color w:val="1E1B4B"/>
          <w:sz w:val="33"/>
        </w:rPr>
        <w:t>E-COMMERCE CUSTOMER LIFECYCLE &amp;</w:t>
        <w:br/>
        <w:t>RFM SEGMENTATION DASHBOARD</w:t>
      </w:r>
    </w:p>
    <w:p>
      <w:pPr>
        <w:spacing w:after="240"/>
        <w:jc w:val="center"/>
      </w:pPr>
      <w:r>
        <w:rPr>
          <w:rFonts w:ascii="Times New Roman" w:hAnsi="Times New Roman"/>
          <w:i/>
          <w:color w:val="0F172A"/>
          <w:sz w:val="21"/>
        </w:rPr>
        <w:t>An Applied Machine Learning &amp; Analytics Engineering System</w:t>
        <w:br/>
        <w:t>for Commercial Retention &amp; Behavioral Cohort Optimization</w:t>
      </w:r>
    </w:p>
    <w:tbl>
      <w:tblPr>
        <w:tblW w:type="auto" w:w="0"/>
        <w:jc w:val="center"/>
        <w:tblLook w:firstColumn="1" w:firstRow="1" w:lastColumn="0" w:lastRow="0" w:noHBand="0" w:noVBand="1" w:val="04A0"/>
      </w:tblPr>
      <w:tblGrid>
        <w:gridCol w:w="4752"/>
        <w:gridCol w:w="4752"/>
      </w:tblGrid>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Assessment Milestone: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SECOND PROGRESS WORK / MID-TERM EXAMINATION EVALUATION</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Scheduled Evaluation Date: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13th October 2026 (Time: 10:00 AM to 5:00 PM)</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Curriculum Scope Completed:</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Sections 2.3 (Class Diagram), 2.4 (Sequence Diagrams), 3.1 (Data Dictionary), 4.1 (Screen Layouts with Validations)</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Course &amp; Project Code:</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Project - 1 (CE-502 / PRJ-701)</w:t>
            </w:r>
          </w:p>
        </w:tc>
      </w:tr>
      <w:tr>
        <w:tc>
          <w:tcPr>
            <w:tcW w:type="dxa" w:w="3168"/>
            <w:shd w:fill="F8FAFC"/>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8"/>
              </w:rPr>
              <w:t>Evaluation Marks Allotted:</w:t>
            </w:r>
          </w:p>
        </w:tc>
        <w:tc>
          <w:tcPr>
            <w:tcW w:type="dxa" w:w="6048"/>
            <w:shd w:fill="FFFFFF"/>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8"/>
              </w:rPr>
              <w:t>20 Marks (Mid-Term Assessment Milestone)</w:t>
            </w:r>
          </w:p>
        </w:tc>
      </w:tr>
    </w:tbl>
    <w:p>
      <w:pPr>
        <w:spacing w:after="200"/>
      </w:pPr>
    </w:p>
    <w:tbl>
      <w:tblPr>
        <w:tblW w:type="auto" w:w="0"/>
        <w:jc w:val="center"/>
        <w:tblLook w:firstColumn="1" w:firstRow="1" w:lastColumn="0" w:lastRow="0" w:noHBand="0" w:noVBand="1" w:val="04A0"/>
      </w:tblPr>
      <w:tblGrid>
        <w:gridCol w:w="4752"/>
        <w:gridCol w:w="4752"/>
      </w:tblGrid>
      <w:tr>
        <w:tc>
          <w:tcPr>
            <w:tcW w:type="dxa" w:w="4608"/>
            <w:shd w:fill="F1F5F9"/>
            <w:tcMar>
              <w:top w:w="30" w:type="dxa"/>
              <w:bottom w:w="30"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20" w:line="252" w:lineRule="auto"/>
              <w:jc w:val="center"/>
            </w:pPr>
            <w:r>
              <w:rPr>
                <w:rFonts w:ascii="Times New Roman" w:hAnsi="Times New Roman"/>
                <w:sz w:val="17"/>
              </w:rPr>
              <w:t>PROJECT SCHOLAR:</w:t>
              <w:br/>
              <w:t>Mr. Deep Koshiya</w:t>
              <w:br/>
              <w:t>B.Sc. in AI &amp; Data Science</w:t>
              <w:br/>
              <w:t>Semester: V (5th Semester)</w:t>
            </w:r>
          </w:p>
        </w:tc>
        <w:tc>
          <w:tcPr>
            <w:tcW w:type="dxa" w:w="4608"/>
            <w:shd w:fill="F1F5F9"/>
            <w:tcMar>
              <w:top w:w="30" w:type="dxa"/>
              <w:bottom w:w="30"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20" w:line="252" w:lineRule="auto"/>
              <w:jc w:val="center"/>
            </w:pPr>
            <w:r>
              <w:rPr>
                <w:rFonts w:ascii="Times New Roman" w:hAnsi="Times New Roman"/>
                <w:sz w:val="17"/>
              </w:rPr>
              <w:t>PROJECT SUPERVISION:</w:t>
              <w:br/>
              <w:t>Assigned Project Supervisor</w:t>
              <w:br/>
              <w:t>Institute of Advanced Research (IAR)</w:t>
              <w:br/>
              <w:t>Evaluation &amp; Verification Stamp</w:t>
            </w:r>
          </w:p>
        </w:tc>
      </w:tr>
      <w:tr>
        <w:tc>
          <w:tcPr>
            <w:tcW w:type="dxa" w:w="4608"/>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jc w:val="center"/>
            </w:pPr>
            <w:r>
              <w:rPr>
                <w:rFonts w:ascii="Times New Roman" w:hAnsi="Times New Roman"/>
                <w:sz w:val="16"/>
              </w:rPr>
              <w:t>_________________________</w:t>
              <w:br/>
              <w:t>(Scholar Signature)</w:t>
            </w:r>
          </w:p>
        </w:tc>
        <w:tc>
          <w:tcPr>
            <w:tcW w:type="dxa" w:w="4608"/>
            <w:shd w:fill="FFFFFF"/>
            <w:tcMar>
              <w:top w:w="25" w:type="dxa"/>
              <w:bottom w:w="25" w:type="dxa"/>
              <w:left w:w="40" w:type="dxa"/>
              <w:right w:w="40" w:type="dxa"/>
            </w:tcMar>
            <w:tcBorders>
              <w:top w:val="single" w:sz="4" w:space="0" w:color="CBD5E1"/>
              <w:left w:val="single" w:sz="4" w:space="0" w:color="CBD5E1"/>
              <w:bottom w:val="single" w:sz="4" w:space="0" w:color="CBD5E1"/>
              <w:right w:val="single" w:sz="4" w:space="0" w:color="CBD5E1"/>
            </w:tcBorders>
          </w:tcPr>
          <w:p>
            <w:pPr>
              <w:spacing w:before="0" w:after="0"/>
              <w:jc w:val="center"/>
            </w:pPr>
            <w:r>
              <w:rPr>
                <w:rFonts w:ascii="Times New Roman" w:hAnsi="Times New Roman"/>
                <w:sz w:val="16"/>
              </w:rPr>
              <w:t>_________________________</w:t>
              <w:br/>
              <w:t>(Supervisor Signature)</w:t>
            </w:r>
          </w:p>
        </w:tc>
      </w:tr>
    </w:tbl>
    <w:p>
      <w:r>
        <w:br w:type="page"/>
      </w:r>
    </w:p>
    <w:p>
      <w:pPr>
        <w:spacing w:before="0" w:after="20" w:line="276" w:lineRule="auto"/>
        <w:jc w:val="right"/>
      </w:pPr>
      <w:r>
        <w:rPr>
          <w:rFonts w:ascii="Times New Roman" w:hAnsi="Times New Roman"/>
          <w:i/>
          <w:color w:val="0F172A"/>
          <w:sz w:val="24"/>
        </w:rPr>
        <w:t>Page I</w:t>
      </w:r>
    </w:p>
    <w:p>
      <w:pPr>
        <w:keepNext/>
        <w:spacing w:before="40" w:after="80"/>
        <w:jc w:val="left"/>
      </w:pPr>
      <w:r>
        <w:rPr>
          <w:rFonts w:ascii="Times New Roman" w:hAnsi="Times New Roman"/>
          <w:b/>
          <w:color w:val="1E1B4B"/>
          <w:sz w:val="32"/>
        </w:rPr>
        <w:t>PROGRESS WORK EVALUATION CERTIFICATE</w:t>
      </w:r>
    </w:p>
    <w:p>
      <w:pPr>
        <w:spacing w:before="0" w:after="70" w:line="276" w:lineRule="auto"/>
        <w:jc w:val="both"/>
      </w:pPr>
      <w:r>
        <w:rPr>
          <w:rFonts w:ascii="Times New Roman" w:hAnsi="Times New Roman"/>
          <w:i w:val="0"/>
          <w:color w:val="0F172A"/>
          <w:sz w:val="24"/>
        </w:rPr>
        <w:t>This is to formally certify that the project work entitled "E-Commerce Customer Lifecycle &amp; RFM Segmentation Dashboard" is an authentic record of academic and applied engineering work carried out by Deep Koshiya, student of B.Sc. in Artificial Intelligence &amp; Data Science, Semester V (5th Semester), at Institute of Advanced Research (IAR), Gandhinagar, Gujarat.</w:t>
      </w:r>
    </w:p>
    <w:p>
      <w:pPr>
        <w:spacing w:before="0" w:after="70" w:line="276" w:lineRule="auto"/>
        <w:jc w:val="both"/>
      </w:pPr>
      <w:r>
        <w:rPr>
          <w:rFonts w:ascii="Times New Roman" w:hAnsi="Times New Roman"/>
          <w:i w:val="0"/>
          <w:color w:val="0F172A"/>
          <w:sz w:val="24"/>
        </w:rPr>
        <w:t>The candidate has successfully demonstrated and documented the Second Progress Work (Mid-Term Examination) requirements covering Sections 2.3 (UML Class Diagram), 2.4 (UML Sequence Diagrams), 3.1 (Data Dictionary for SQL/NoSQL &amp; Star-Schema Dimensions), and 4.1 (Implementation Screen Layouts with Operational Validations) for Project-1 (CE-502 / PRJ-701) scheduled for evaluation on 13th October 2026.</w:t>
      </w:r>
    </w:p>
    <w:tbl>
      <w:tblPr>
        <w:tblW w:type="auto" w:w="0"/>
        <w:jc w:val="center"/>
        <w:tblLook w:firstColumn="1" w:firstRow="1" w:lastColumn="0" w:lastRow="0" w:noHBand="0" w:noVBand="1" w:val="04A0"/>
      </w:tblPr>
      <w:tblGrid>
        <w:gridCol w:w="2376"/>
        <w:gridCol w:w="2376"/>
        <w:gridCol w:w="2376"/>
        <w:gridCol w:w="2376"/>
      </w:tblGrid>
      <w:tr>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EVALUATION MILESTONE</w:t>
            </w:r>
          </w:p>
        </w:tc>
        <w:tc>
          <w:tcPr>
            <w:tcW w:type="dxa" w:w="316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CURRICULUM SCOPE</w:t>
            </w:r>
          </w:p>
        </w:tc>
        <w:tc>
          <w:tcPr>
            <w:tcW w:type="dxa" w:w="115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MARKS</w:t>
            </w:r>
          </w:p>
        </w:tc>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VERIFICATION STATUS</w:t>
            </w:r>
          </w:p>
        </w:tc>
      </w:tr>
      <w:tr>
        <w:tc>
          <w:tcPr>
            <w:tcW w:type="dxa" w:w="3456"/>
            <w:shd w:fill="EFF6FF"/>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First Progress Work (24/09/2026)</w:t>
            </w:r>
          </w:p>
        </w:tc>
        <w:tc>
          <w:tcPr>
            <w:tcW w:type="dxa" w:w="3168"/>
            <w:shd w:fill="EFF6FF"/>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Sections 1.1, 1.2, 1.3, 2.1, 2.2</w:t>
            </w:r>
          </w:p>
        </w:tc>
        <w:tc>
          <w:tcPr>
            <w:tcW w:type="dxa" w:w="1152"/>
            <w:shd w:fill="EFF6FF"/>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10 Marks</w:t>
            </w:r>
          </w:p>
        </w:tc>
        <w:tc>
          <w:tcPr>
            <w:tcW w:type="dxa" w:w="2592"/>
            <w:shd w:fill="EFF6FF"/>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COMPLETED &amp; VERIFIED</w:t>
            </w:r>
          </w:p>
        </w:tc>
      </w:tr>
      <w:tr>
        <w:tc>
          <w:tcPr>
            <w:tcW w:type="dxa" w:w="3456"/>
            <w:shd w:fill="DCFCE7"/>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Second Progress Work (13/10/2026)</w:t>
            </w:r>
          </w:p>
        </w:tc>
        <w:tc>
          <w:tcPr>
            <w:tcW w:type="dxa" w:w="3168"/>
            <w:shd w:fill="DCFCE7"/>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Sections 2.3, 2.4, 3.1, 4.1</w:t>
            </w:r>
          </w:p>
        </w:tc>
        <w:tc>
          <w:tcPr>
            <w:tcW w:type="dxa" w:w="1152"/>
            <w:shd w:fill="DCFCE7"/>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20 Marks</w:t>
            </w:r>
          </w:p>
        </w:tc>
        <w:tc>
          <w:tcPr>
            <w:tcW w:type="dxa" w:w="2592"/>
            <w:shd w:fill="DCFCE7"/>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5"/>
              </w:rPr>
              <w:t>EVALUATED &amp; DEMONSTRATED</w:t>
            </w:r>
          </w:p>
        </w:tc>
      </w:tr>
      <w:tr>
        <w:tc>
          <w:tcPr>
            <w:tcW w:type="dxa" w:w="3456"/>
            <w:shd w:fill="FFFFFF"/>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Faculty Mentor &amp; Reviewer</w:t>
            </w:r>
          </w:p>
        </w:tc>
        <w:tc>
          <w:tcPr>
            <w:tcW w:type="dxa" w:w="3168"/>
            <w:shd w:fill="FFFFFF"/>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Academic Verification Seal</w:t>
            </w:r>
          </w:p>
        </w:tc>
        <w:tc>
          <w:tcPr>
            <w:tcW w:type="dxa" w:w="1152"/>
            <w:shd w:fill="FFFFFF"/>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Signed Copy</w:t>
            </w:r>
          </w:p>
        </w:tc>
        <w:tc>
          <w:tcPr>
            <w:tcW w:type="dxa" w:w="2592"/>
            <w:shd w:fill="FFFFFF"/>
            <w:tcMar>
              <w:top w:w="20" w:type="dxa"/>
              <w:bottom w:w="20" w:type="dxa"/>
              <w:left w:w="35" w:type="dxa"/>
              <w:right w:w="35" w:type="dxa"/>
            </w:tcMar>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___________________________</w:t>
            </w:r>
          </w:p>
        </w:tc>
      </w:tr>
    </w:tbl>
    <w:p>
      <w:pPr>
        <w:keepNext/>
        <w:spacing w:before="160" w:after="50"/>
        <w:jc w:val="left"/>
      </w:pPr>
      <w:r>
        <w:rPr>
          <w:rFonts w:ascii="Times New Roman" w:hAnsi="Times New Roman"/>
          <w:b/>
          <w:color w:val="0F172A"/>
          <w:sz w:val="28"/>
        </w:rPr>
        <w:t>ACKNOWLEDGMENT</w:t>
      </w:r>
    </w:p>
    <w:p>
      <w:pPr>
        <w:spacing w:before="0" w:after="70" w:line="276" w:lineRule="auto"/>
        <w:jc w:val="both"/>
      </w:pPr>
      <w:r>
        <w:rPr>
          <w:rFonts w:ascii="Times New Roman" w:hAnsi="Times New Roman"/>
          <w:i w:val="0"/>
          <w:color w:val="0F172A"/>
          <w:sz w:val="24"/>
        </w:rPr>
        <w:t>I express my deepest gratitude to my project supervisor, mentors, and the faculty of the Institute of Advanced Research (IAR) for their consistent academic guidance, architectural critiques, and valuable feedback during the object modeling, data dictionary compilation, and dashboard implementation phases.</w:t>
      </w:r>
    </w:p>
    <w:p>
      <w:pPr>
        <w:spacing w:before="0" w:after="70" w:line="276" w:lineRule="auto"/>
        <w:jc w:val="both"/>
      </w:pPr>
      <w:r>
        <w:rPr>
          <w:rFonts w:ascii="Times New Roman" w:hAnsi="Times New Roman"/>
          <w:i w:val="0"/>
          <w:color w:val="0F172A"/>
          <w:sz w:val="24"/>
        </w:rPr>
        <w:t>I also thank the institutional administration and the Head of the School for facilitating the computational environments, high-performance data science toolchains, and resources essential to complete Project-1 (CE-502 / PRJ-701) on schedule.</w:t>
      </w:r>
    </w:p>
    <w:p>
      <w:pPr>
        <w:spacing w:before="60" w:after="60" w:line="276" w:lineRule="auto"/>
        <w:jc w:val="right"/>
      </w:pPr>
      <w:r>
        <w:rPr>
          <w:rFonts w:ascii="Times New Roman" w:hAnsi="Times New Roman"/>
          <w:i/>
          <w:color w:val="0F172A"/>
          <w:sz w:val="24"/>
        </w:rPr>
        <w:t>Deep Koshiya | B.Sc. in AI &amp; Data Science (Semester V) | Date: 13/10/2026</w:t>
      </w:r>
    </w:p>
    <w:p>
      <w:r>
        <w:br w:type="page"/>
      </w:r>
    </w:p>
    <w:p>
      <w:pPr>
        <w:spacing w:before="0" w:after="20" w:line="276" w:lineRule="auto"/>
        <w:jc w:val="right"/>
      </w:pPr>
      <w:r>
        <w:rPr>
          <w:rFonts w:ascii="Times New Roman" w:hAnsi="Times New Roman"/>
          <w:i/>
          <w:color w:val="0F172A"/>
          <w:sz w:val="24"/>
        </w:rPr>
        <w:t>Page II</w:t>
      </w:r>
    </w:p>
    <w:p>
      <w:pPr>
        <w:keepNext/>
        <w:spacing w:before="20" w:after="40"/>
        <w:jc w:val="left"/>
      </w:pPr>
      <w:r>
        <w:rPr>
          <w:rFonts w:ascii="Times New Roman" w:hAnsi="Times New Roman"/>
          <w:b/>
          <w:color w:val="1E1B4B"/>
          <w:sz w:val="32"/>
        </w:rPr>
        <w:t>ABSTRACT</w:t>
      </w:r>
    </w:p>
    <w:p>
      <w:pPr>
        <w:spacing w:before="0" w:after="70" w:line="276" w:lineRule="auto"/>
        <w:jc w:val="both"/>
      </w:pPr>
      <w:r>
        <w:rPr>
          <w:rFonts w:ascii="Times New Roman" w:hAnsi="Times New Roman"/>
          <w:i w:val="0"/>
          <w:color w:val="0F172A"/>
          <w:sz w:val="24"/>
        </w:rPr>
        <w:t>Customer retention and longitudinal cohort management represent core determinants of profitability in modern digital commerce. The 'E-Commerce Customer Lifecycle &amp; RFM Segmentation Dashboard' provides an automated data engineering and unsupervised machine learning platform that transforms raw, unorganized transaction streams into structured behavioral intelligence.</w:t>
      </w:r>
    </w:p>
    <w:p>
      <w:pPr>
        <w:spacing w:before="0" w:after="70" w:line="276" w:lineRule="auto"/>
        <w:jc w:val="both"/>
      </w:pPr>
      <w:r>
        <w:rPr>
          <w:rFonts w:ascii="Times New Roman" w:hAnsi="Times New Roman"/>
          <w:i w:val="0"/>
          <w:color w:val="0F172A"/>
          <w:sz w:val="24"/>
        </w:rPr>
        <w:t>This Second Phase (Mid-Term) report documents the complete structural design and preliminary implementation deliverables. Specifically, it presents the formal UML Class Diagram (Section 2.3) modeling pipeline domain entities; UML Sequence Diagrams (Section 2.4) detailing message dispatch protocols; a comprehensive Star-Schema Data Dictionary (Section 3.1) specifying FACT_TRANSACTIONS, FACT_REVERSALS, and DIM_CUSTOMERS with primary/foreign keys and validation constraints; and high-fidelity Screen Layouts with Operational Input Validations (Section 4.1). These deliverables satisfy all requirements for the 20-mark Mid-Term evaluation milestone.</w:t>
      </w:r>
    </w:p>
    <w:p>
      <w:pPr>
        <w:keepNext/>
        <w:spacing w:before="100" w:after="20"/>
        <w:jc w:val="left"/>
      </w:pPr>
      <w:r>
        <w:rPr>
          <w:rFonts w:ascii="Times New Roman" w:hAnsi="Times New Roman"/>
          <w:b/>
          <w:color w:val="0F172A"/>
          <w:sz w:val="28"/>
        </w:rPr>
        <w:t>INDEX OF THE PROJECT REPORT</w:t>
      </w:r>
    </w:p>
    <w:p>
      <w:pPr>
        <w:spacing w:before="0" w:after="60" w:line="276" w:lineRule="auto"/>
        <w:jc w:val="both"/>
      </w:pPr>
      <w:r>
        <w:rPr>
          <w:rFonts w:ascii="Times New Roman" w:hAnsi="Times New Roman"/>
          <w:i/>
          <w:color w:val="0F172A"/>
          <w:sz w:val="24"/>
        </w:rPr>
        <w:t>(Structured strictly according to Syllabus Guidelines for B.Sc. AI and Data Science SEM V)</w:t>
      </w:r>
    </w:p>
    <w:tbl>
      <w:tblPr>
        <w:tblW w:type="auto" w:w="0"/>
        <w:jc w:val="center"/>
        <w:tblLook w:firstColumn="1" w:firstRow="1" w:lastColumn="0" w:lastRow="0" w:noHBand="0" w:noVBand="1" w:val="04A0"/>
      </w:tblPr>
      <w:tblGrid>
        <w:gridCol w:w="2376"/>
        <w:gridCol w:w="2376"/>
        <w:gridCol w:w="2376"/>
        <w:gridCol w:w="2376"/>
      </w:tblGrid>
      <w:tr>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SR.</w:t>
            </w:r>
          </w:p>
        </w:tc>
        <w:tc>
          <w:tcPr>
            <w:tcW w:type="dxa" w:w="460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CURRICULUM SECTION / TOPIC</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SCHEDULE</w:t>
            </w:r>
          </w:p>
        </w:tc>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PAGE &amp; STATUS</w:t>
            </w:r>
          </w:p>
        </w:tc>
      </w:tr>
      <w:tr>
        <w:tc>
          <w:tcPr>
            <w:tcW w:type="dxa" w:w="86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w:t>
            </w:r>
          </w:p>
        </w:tc>
        <w:tc>
          <w:tcPr>
            <w:tcW w:type="dxa" w:w="4608"/>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Progress Work Evaluation Certificate &amp; Acknowledgment</w:t>
            </w:r>
          </w:p>
        </w:tc>
        <w:tc>
          <w:tcPr>
            <w:tcW w:type="dxa" w:w="158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I [Completed]</w:t>
            </w:r>
          </w:p>
        </w:tc>
      </w:tr>
      <w:tr>
        <w:tc>
          <w:tcPr>
            <w:tcW w:type="dxa" w:w="86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w:t>
            </w:r>
          </w:p>
        </w:tc>
        <w:tc>
          <w:tcPr>
            <w:tcW w:type="dxa" w:w="4608"/>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Abstract &amp; Project Curriculum Index</w:t>
            </w:r>
          </w:p>
        </w:tc>
        <w:tc>
          <w:tcPr>
            <w:tcW w:type="dxa" w:w="158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II [Completed]</w:t>
            </w:r>
          </w:p>
        </w:tc>
      </w:tr>
      <w:tr>
        <w:tc>
          <w:tcPr>
            <w:tcW w:type="dxa" w:w="86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1.1-1.3</w:t>
            </w:r>
          </w:p>
        </w:tc>
        <w:tc>
          <w:tcPr>
            <w:tcW w:type="dxa" w:w="4608"/>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About the System: Problem Definition, Requirements &amp; Tools</w:t>
            </w:r>
          </w:p>
        </w:tc>
        <w:tc>
          <w:tcPr>
            <w:tcW w:type="dxa" w:w="158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1-3 [Completed]</w:t>
            </w:r>
          </w:p>
        </w:tc>
      </w:tr>
      <w:tr>
        <w:tc>
          <w:tcPr>
            <w:tcW w:type="dxa" w:w="86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2.1</w:t>
            </w:r>
          </w:p>
        </w:tc>
        <w:tc>
          <w:tcPr>
            <w:tcW w:type="dxa" w:w="4608"/>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Data Flow Diagrams (Level 0 Context, Level 1, Level 2 DFDs)</w:t>
            </w:r>
          </w:p>
        </w:tc>
        <w:tc>
          <w:tcPr>
            <w:tcW w:type="dxa" w:w="158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4-6 [Completed]</w:t>
            </w:r>
          </w:p>
        </w:tc>
      </w:tr>
      <w:tr>
        <w:tc>
          <w:tcPr>
            <w:tcW w:type="dxa" w:w="86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2.2</w:t>
            </w:r>
          </w:p>
        </w:tc>
        <w:tc>
          <w:tcPr>
            <w:tcW w:type="dxa" w:w="4608"/>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Use Case Diagram &amp; Formal Specification Matrix</w:t>
            </w:r>
          </w:p>
        </w:tc>
        <w:tc>
          <w:tcPr>
            <w:tcW w:type="dxa" w:w="1584"/>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24/09/2026</w:t>
            </w:r>
          </w:p>
        </w:tc>
        <w:tc>
          <w:tcPr>
            <w:tcW w:type="dxa" w:w="2160"/>
            <w:tcMar>
              <w:top w:w="14" w:type="dxa"/>
              <w:bottom w:w="14" w:type="dxa"/>
              <w:left w:w="30" w:type="dxa"/>
              <w:right w:w="30"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7 [Completed]</w:t>
            </w:r>
          </w:p>
        </w:tc>
      </w:tr>
      <w:tr>
        <w:tc>
          <w:tcPr>
            <w:tcW w:type="dxa" w:w="864"/>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2.3</w:t>
            </w:r>
          </w:p>
        </w:tc>
        <w:tc>
          <w:tcPr>
            <w:tcW w:type="dxa" w:w="4608"/>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UML Class Diagram (Domain Model &amp; Pipeline Objects)</w:t>
            </w:r>
          </w:p>
        </w:tc>
        <w:tc>
          <w:tcPr>
            <w:tcW w:type="dxa" w:w="1584"/>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8 [Completed Mid-Term]</w:t>
            </w:r>
          </w:p>
        </w:tc>
      </w:tr>
      <w:tr>
        <w:tc>
          <w:tcPr>
            <w:tcW w:type="dxa" w:w="864"/>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2.4</w:t>
            </w:r>
          </w:p>
        </w:tc>
        <w:tc>
          <w:tcPr>
            <w:tcW w:type="dxa" w:w="4608"/>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UML Sequence Diagrams (Execution &amp; Activation Workflow)</w:t>
            </w:r>
          </w:p>
        </w:tc>
        <w:tc>
          <w:tcPr>
            <w:tcW w:type="dxa" w:w="1584"/>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 9 [Completed Mid-Term]</w:t>
            </w:r>
          </w:p>
        </w:tc>
      </w:tr>
      <w:tr>
        <w:tc>
          <w:tcPr>
            <w:tcW w:type="dxa" w:w="864"/>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3.1</w:t>
            </w:r>
          </w:p>
        </w:tc>
        <w:tc>
          <w:tcPr>
            <w:tcW w:type="dxa" w:w="4608"/>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Data Dictionary: Star-Schema SQL/NoSQL Database Tables</w:t>
            </w:r>
          </w:p>
        </w:tc>
        <w:tc>
          <w:tcPr>
            <w:tcW w:type="dxa" w:w="1584"/>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10-12 [Completed Mid-Term]</w:t>
            </w:r>
          </w:p>
        </w:tc>
      </w:tr>
      <w:tr>
        <w:tc>
          <w:tcPr>
            <w:tcW w:type="dxa" w:w="864"/>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4.1</w:t>
            </w:r>
          </w:p>
        </w:tc>
        <w:tc>
          <w:tcPr>
            <w:tcW w:type="dxa" w:w="4608"/>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Screen Layouts with Operational Input Validations</w:t>
            </w:r>
          </w:p>
        </w:tc>
        <w:tc>
          <w:tcPr>
            <w:tcW w:type="dxa" w:w="1584"/>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13/10/2026</w:t>
            </w:r>
          </w:p>
        </w:tc>
        <w:tc>
          <w:tcPr>
            <w:tcW w:type="dxa" w:w="2160"/>
            <w:tcMar>
              <w:top w:w="14" w:type="dxa"/>
              <w:bottom w:w="14" w:type="dxa"/>
              <w:left w:w="30" w:type="dxa"/>
              <w:right w:w="30"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Pages 13-14 [Completed Mid-Term]</w:t>
            </w:r>
          </w:p>
        </w:tc>
      </w:tr>
      <w:tr>
        <w:tc>
          <w:tcPr>
            <w:tcW w:type="dxa" w:w="864"/>
            <w:tcMar>
              <w:top w:w="14" w:type="dxa"/>
              <w:bottom w:w="14"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4.2-4.3</w:t>
            </w:r>
          </w:p>
        </w:tc>
        <w:tc>
          <w:tcPr>
            <w:tcW w:type="dxa" w:w="4608"/>
            <w:tcMar>
              <w:top w:w="14" w:type="dxa"/>
              <w:bottom w:w="14"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Sample Coding &amp; Execution Navigation</w:t>
            </w:r>
          </w:p>
        </w:tc>
        <w:tc>
          <w:tcPr>
            <w:tcW w:type="dxa" w:w="1584"/>
            <w:tcMar>
              <w:top w:w="14" w:type="dxa"/>
              <w:bottom w:w="14"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tcMar>
              <w:top w:w="14" w:type="dxa"/>
              <w:bottom w:w="14" w:type="dxa"/>
              <w:left w:w="30" w:type="dxa"/>
              <w:right w:w="30"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[Third Progress Milestone]</w:t>
            </w:r>
          </w:p>
        </w:tc>
      </w:tr>
      <w:tr>
        <w:tc>
          <w:tcPr>
            <w:tcW w:type="dxa" w:w="864"/>
            <w:tcMar>
              <w:top w:w="14" w:type="dxa"/>
              <w:bottom w:w="14"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5.1-6.1</w:t>
            </w:r>
          </w:p>
        </w:tc>
        <w:tc>
          <w:tcPr>
            <w:tcW w:type="dxa" w:w="4608"/>
            <w:tcMar>
              <w:top w:w="14" w:type="dxa"/>
              <w:bottom w:w="14"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Conclusion &amp; References (Books, Papers, Webs)</w:t>
            </w:r>
          </w:p>
        </w:tc>
        <w:tc>
          <w:tcPr>
            <w:tcW w:type="dxa" w:w="1584"/>
            <w:tcMar>
              <w:top w:w="14" w:type="dxa"/>
              <w:bottom w:w="14"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5"/>
              </w:rPr>
              <w:t>27/10/2026</w:t>
            </w:r>
          </w:p>
        </w:tc>
        <w:tc>
          <w:tcPr>
            <w:tcW w:type="dxa" w:w="2160"/>
            <w:tcMar>
              <w:top w:w="14" w:type="dxa"/>
              <w:bottom w:w="14" w:type="dxa"/>
              <w:left w:w="30" w:type="dxa"/>
              <w:right w:w="30"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[Third Progress Milestone]</w:t>
            </w:r>
          </w:p>
        </w:tc>
      </w:tr>
    </w:tbl>
    <w:p>
      <w:r>
        <w:br w:type="page"/>
      </w:r>
    </w:p>
    <w:p>
      <w:pPr>
        <w:spacing w:before="0" w:after="20" w:line="276" w:lineRule="auto"/>
        <w:jc w:val="right"/>
      </w:pPr>
      <w:r>
        <w:rPr>
          <w:rFonts w:ascii="Times New Roman" w:hAnsi="Times New Roman"/>
          <w:i/>
          <w:color w:val="0F172A"/>
          <w:sz w:val="24"/>
        </w:rPr>
        <w:t>Page 1</w:t>
      </w:r>
    </w:p>
    <w:p>
      <w:pPr>
        <w:keepNext/>
        <w:spacing w:before="140" w:after="50"/>
        <w:jc w:val="left"/>
      </w:pPr>
      <w:r>
        <w:rPr>
          <w:rFonts w:ascii="Times New Roman" w:hAnsi="Times New Roman"/>
          <w:b/>
          <w:color w:val="1E1B4B"/>
          <w:sz w:val="32"/>
        </w:rPr>
        <w:t>1. ABOUT THE SYSTEM:</w:t>
      </w:r>
    </w:p>
    <w:p>
      <w:pPr>
        <w:keepNext/>
        <w:spacing w:before="120" w:after="40"/>
        <w:jc w:val="left"/>
      </w:pPr>
      <w:r>
        <w:rPr>
          <w:rFonts w:ascii="Times New Roman" w:hAnsi="Times New Roman"/>
          <w:b/>
          <w:color w:val="0F172A"/>
          <w:sz w:val="28"/>
        </w:rPr>
        <w:t>1.1 Problem definition (Identification of needs):</w:t>
      </w:r>
    </w:p>
    <w:p>
      <w:pPr>
        <w:spacing w:before="0" w:after="70" w:line="276" w:lineRule="auto"/>
        <w:jc w:val="both"/>
      </w:pPr>
      <w:r>
        <w:rPr>
          <w:rFonts w:ascii="Times New Roman" w:hAnsi="Times New Roman"/>
          <w:i w:val="0"/>
          <w:color w:val="0F172A"/>
          <w:sz w:val="24"/>
        </w:rPr>
        <w:t>Modern digital commerce platforms capture high-velocity transactional event streams across web interfaces, mobile shopping applications, and digital points of sale. Standard Online Transaction Processing (OLTP) repositories excel at logging individual line-item orders. However, these systems record transactions rather than customer journeys. Without an automated analytics engineering layer that synthesizes transactional logs into longitudinal customer profiles, commercial decision-makers face severe visibility gaps.</w:t>
      </w:r>
    </w:p>
    <w:p>
      <w:pPr>
        <w:keepNext/>
        <w:spacing w:before="90" w:after="30"/>
        <w:jc w:val="left"/>
      </w:pPr>
      <w:r>
        <w:rPr>
          <w:rFonts w:ascii="Times New Roman" w:hAnsi="Times New Roman"/>
          <w:b/>
          <w:color w:val="0F172A"/>
          <w:sz w:val="24"/>
        </w:rPr>
        <w:t>1.1.1 Industry Background &amp; Commercial Challenges</w:t>
      </w:r>
    </w:p>
    <w:p>
      <w:pPr>
        <w:spacing w:before="0" w:after="70" w:line="276" w:lineRule="auto"/>
        <w:jc w:val="both"/>
      </w:pPr>
      <w:r>
        <w:rPr>
          <w:rFonts w:ascii="Times New Roman" w:hAnsi="Times New Roman"/>
          <w:i w:val="0"/>
          <w:color w:val="0F172A"/>
          <w:sz w:val="24"/>
        </w:rPr>
        <w:t>Digital retailers face rising customer acquisition costs (CAC) and declining organic retention. When marketing campaigns treat the customer base as a single homogenous audience, high-value repeat shoppers receive unnecessary discounts that erode gross margins, while dormant accounts slip into permanent churn without timely, targeted reactivation interventions.</w:t>
      </w:r>
    </w:p>
    <w:p>
      <w:pPr>
        <w:keepNext/>
        <w:spacing w:before="90" w:after="30"/>
        <w:jc w:val="left"/>
      </w:pPr>
      <w:r>
        <w:rPr>
          <w:rFonts w:ascii="Times New Roman" w:hAnsi="Times New Roman"/>
          <w:b/>
          <w:color w:val="0F172A"/>
          <w:sz w:val="24"/>
        </w:rPr>
        <w:t>1.1.2 Identification of Core Analytical Needs</w:t>
      </w:r>
    </w:p>
    <w:p>
      <w:pPr>
        <w:spacing w:before="0" w:after="70" w:line="276" w:lineRule="auto"/>
        <w:jc w:val="both"/>
      </w:pPr>
      <w:r>
        <w:rPr>
          <w:rFonts w:ascii="Times New Roman" w:hAnsi="Times New Roman"/>
          <w:b/>
          <w:color w:val="0F172A"/>
          <w:sz w:val="24"/>
        </w:rPr>
        <w:t xml:space="preserve">• Core Analytical Needs: </w:t>
      </w:r>
      <w:r>
        <w:rPr>
          <w:rFonts w:ascii="Times New Roman" w:hAnsi="Times New Roman"/>
          <w:i w:val="0"/>
          <w:color w:val="0F172A"/>
          <w:sz w:val="24"/>
        </w:rPr>
        <w:t>The system resolves four foundational operational bottlenecks:</w:t>
      </w:r>
    </w:p>
    <w:p>
      <w:pPr>
        <w:spacing w:before="0" w:after="70" w:line="276" w:lineRule="auto"/>
        <w:jc w:val="both"/>
      </w:pPr>
      <w:r>
        <w:rPr>
          <w:rFonts w:ascii="Times New Roman" w:hAnsi="Times New Roman"/>
          <w:b/>
          <w:color w:val="0F172A"/>
          <w:sz w:val="24"/>
        </w:rPr>
        <w:t xml:space="preserve">1. Data Refinery &amp; Anomaly Isolation: </w:t>
      </w:r>
      <w:r>
        <w:rPr>
          <w:rFonts w:ascii="Times New Roman" w:hAnsi="Times New Roman"/>
          <w:i w:val="0"/>
          <w:color w:val="0F172A"/>
          <w:sz w:val="24"/>
        </w:rPr>
        <w:t>Raw logs contain anonymous guest sessions, cancellations ('^C'), and wholesale bulk anomalies. An automated data refinery must enforce schema typing, isolate cancellations into an audit store, and cap volume spikes using Tukey's Interquartile Range (IQR) fences.</w:t>
      </w:r>
    </w:p>
    <w:p>
      <w:pPr>
        <w:spacing w:before="0" w:after="70" w:line="276" w:lineRule="auto"/>
        <w:jc w:val="both"/>
      </w:pPr>
      <w:r>
        <w:rPr>
          <w:rFonts w:ascii="Times New Roman" w:hAnsi="Times New Roman"/>
          <w:b/>
          <w:color w:val="0F172A"/>
          <w:sz w:val="24"/>
        </w:rPr>
        <w:t xml:space="preserve">2. Behavioral Feature Engineering (RFM): </w:t>
      </w:r>
      <w:r>
        <w:rPr>
          <w:rFonts w:ascii="Times New Roman" w:hAnsi="Times New Roman"/>
          <w:i w:val="0"/>
          <w:color w:val="0F172A"/>
          <w:sz w:val="24"/>
        </w:rPr>
        <w:t>The system must distill transaction streams into three normalized customer dimensions: Recency (days elapsed since last order relative to boundary T_obs = max(InvoiceDate) + 1), Frequency (distinct purchase visits), and Monetary spend (cumulative net value), alongside Average Order Value (AOV).</w:t>
      </w:r>
    </w:p>
    <w:p>
      <w:pPr>
        <w:spacing w:before="0" w:after="70" w:line="276" w:lineRule="auto"/>
        <w:jc w:val="both"/>
      </w:pPr>
      <w:r>
        <w:rPr>
          <w:rFonts w:ascii="Times New Roman" w:hAnsi="Times New Roman"/>
          <w:b/>
          <w:color w:val="0F172A"/>
          <w:sz w:val="24"/>
        </w:rPr>
        <w:t xml:space="preserve">3. Skew-Resistant Machine Learning: </w:t>
      </w:r>
      <w:r>
        <w:rPr>
          <w:rFonts w:ascii="Times New Roman" w:hAnsi="Times New Roman"/>
          <w:i w:val="0"/>
          <w:color w:val="0F172A"/>
          <w:sz w:val="24"/>
        </w:rPr>
        <w:t>Customer spending follows extreme Pareto distributions. Monetary skewness must be compressed via log1p transformation and Z-score standardization before fitting unsupervised K-Means models, supported by deterministic 1–5 quantile fallback scoring.</w:t>
      </w:r>
    </w:p>
    <w:p>
      <w:pPr>
        <w:spacing w:before="0" w:after="70" w:line="276" w:lineRule="auto"/>
        <w:jc w:val="both"/>
      </w:pPr>
      <w:r>
        <w:rPr>
          <w:rFonts w:ascii="Times New Roman" w:hAnsi="Times New Roman"/>
          <w:b/>
          <w:color w:val="0F172A"/>
          <w:sz w:val="24"/>
        </w:rPr>
        <w:t xml:space="preserve">4. Executive Visualization &amp; Activation: </w:t>
      </w:r>
      <w:r>
        <w:rPr>
          <w:rFonts w:ascii="Times New Roman" w:hAnsi="Times New Roman"/>
          <w:i w:val="0"/>
          <w:color w:val="0F172A"/>
          <w:sz w:val="24"/>
        </w:rPr>
        <w:t>Commercial leadership requires an interactive dashboard to visualize portfolio health, monitor at-risk revenue, and export targeted cohort lists directly into CRM marketing campaigns.</w:t>
      </w:r>
    </w:p>
    <w:p>
      <w:r>
        <w:br w:type="page"/>
      </w:r>
    </w:p>
    <w:p>
      <w:pPr>
        <w:spacing w:before="0" w:after="20" w:line="276" w:lineRule="auto"/>
        <w:jc w:val="right"/>
      </w:pPr>
      <w:r>
        <w:rPr>
          <w:rFonts w:ascii="Times New Roman" w:hAnsi="Times New Roman"/>
          <w:i/>
          <w:color w:val="0F172A"/>
          <w:sz w:val="24"/>
        </w:rPr>
        <w:t>Page 2</w:t>
      </w:r>
    </w:p>
    <w:p>
      <w:pPr>
        <w:keepNext/>
        <w:spacing w:before="120" w:after="40"/>
        <w:jc w:val="left"/>
      </w:pPr>
      <w:r>
        <w:rPr>
          <w:rFonts w:ascii="Times New Roman" w:hAnsi="Times New Roman"/>
          <w:b/>
          <w:color w:val="0F172A"/>
          <w:sz w:val="28"/>
        </w:rPr>
        <w:t>1.2 Requirement Specifications (Product/System Tasks)</w:t>
      </w:r>
    </w:p>
    <w:p>
      <w:pPr>
        <w:spacing w:before="0" w:after="70" w:line="276" w:lineRule="auto"/>
        <w:jc w:val="both"/>
      </w:pPr>
      <w:r>
        <w:rPr>
          <w:rFonts w:ascii="Times New Roman" w:hAnsi="Times New Roman"/>
          <w:i w:val="0"/>
          <w:color w:val="0F172A"/>
          <w:sz w:val="24"/>
        </w:rPr>
        <w:t>The requirements formally define system capabilities, data validation boundaries, and operational constraints for the E-Commerce Customer Lifecycle &amp; RFM Segmentation platform.</w:t>
      </w:r>
    </w:p>
    <w:p>
      <w:pPr>
        <w:keepNext/>
        <w:spacing w:before="90" w:after="30"/>
        <w:jc w:val="left"/>
      </w:pPr>
      <w:r>
        <w:rPr>
          <w:rFonts w:ascii="Times New Roman" w:hAnsi="Times New Roman"/>
          <w:b/>
          <w:color w:val="0F172A"/>
          <w:sz w:val="24"/>
        </w:rPr>
        <w:t>1.2.1 Functional Requirements Specifications (FR)</w:t>
      </w:r>
    </w:p>
    <w:p>
      <w:pPr>
        <w:spacing w:before="0" w:after="70" w:line="276" w:lineRule="auto"/>
        <w:jc w:val="both"/>
      </w:pPr>
      <w:r>
        <w:rPr>
          <w:rFonts w:ascii="Times New Roman" w:hAnsi="Times New Roman"/>
          <w:b/>
          <w:color w:val="0F172A"/>
          <w:sz w:val="24"/>
        </w:rPr>
        <w:t xml:space="preserve">• FR-01 (Ingestion &amp; Schema Typing): </w:t>
      </w:r>
      <w:r>
        <w:rPr>
          <w:rFonts w:ascii="Times New Roman" w:hAnsi="Times New Roman"/>
          <w:i w:val="0"/>
          <w:color w:val="0F172A"/>
          <w:sz w:val="24"/>
        </w:rPr>
        <w:t>Ingests raw CSV logs, enforces typing (InvoiceDate to datetime64[ns], Quantity and UnitPrice to floats), and sanitizes product description text.</w:t>
      </w:r>
    </w:p>
    <w:p>
      <w:pPr>
        <w:spacing w:before="0" w:after="70" w:line="276" w:lineRule="auto"/>
        <w:jc w:val="both"/>
      </w:pPr>
      <w:r>
        <w:rPr>
          <w:rFonts w:ascii="Times New Roman" w:hAnsi="Times New Roman"/>
          <w:b/>
          <w:color w:val="0F172A"/>
          <w:sz w:val="24"/>
        </w:rPr>
        <w:t xml:space="preserve">• FR-02 (Missing Entity Resolution): </w:t>
      </w:r>
      <w:r>
        <w:rPr>
          <w:rFonts w:ascii="Times New Roman" w:hAnsi="Times New Roman"/>
          <w:i w:val="0"/>
          <w:color w:val="0F172A"/>
          <w:sz w:val="24"/>
        </w:rPr>
        <w:t>Detects and drops unauthenticated guest checkouts lacking CustomerID to preserve longitudinal cohort integrity.</w:t>
      </w:r>
    </w:p>
    <w:p>
      <w:pPr>
        <w:spacing w:before="0" w:after="70" w:line="276" w:lineRule="auto"/>
        <w:jc w:val="both"/>
      </w:pPr>
      <w:r>
        <w:rPr>
          <w:rFonts w:ascii="Times New Roman" w:hAnsi="Times New Roman"/>
          <w:b/>
          <w:color w:val="0F172A"/>
          <w:sz w:val="24"/>
        </w:rPr>
        <w:t xml:space="preserve">• FR-03 (Reverse Logistics Segregation): </w:t>
      </w:r>
      <w:r>
        <w:rPr>
          <w:rFonts w:ascii="Times New Roman" w:hAnsi="Times New Roman"/>
          <w:i w:val="0"/>
          <w:color w:val="0F172A"/>
          <w:sz w:val="24"/>
        </w:rPr>
        <w:t>Isolates credit notes, cancellations ('^C'), and non-positive quantities into an audit store (fact_reversals_audit.csv).</w:t>
      </w:r>
    </w:p>
    <w:p>
      <w:pPr>
        <w:spacing w:before="0" w:after="70" w:line="276" w:lineRule="auto"/>
        <w:jc w:val="both"/>
      </w:pPr>
      <w:r>
        <w:rPr>
          <w:rFonts w:ascii="Times New Roman" w:hAnsi="Times New Roman"/>
          <w:b/>
          <w:color w:val="0F172A"/>
          <w:sz w:val="24"/>
        </w:rPr>
        <w:t xml:space="preserve">• FR-04 (Tukey IQR Outlier Capping): </w:t>
      </w:r>
      <w:r>
        <w:rPr>
          <w:rFonts w:ascii="Times New Roman" w:hAnsi="Times New Roman"/>
          <w:i w:val="0"/>
          <w:color w:val="0F172A"/>
          <w:sz w:val="24"/>
        </w:rPr>
        <w:t>Applies Tukey fences [Q1 - 1.5*IQR, Q3 + 1.5*IQR] to eliminate wholesale bulk distributor anomalies.</w:t>
      </w:r>
    </w:p>
    <w:p>
      <w:pPr>
        <w:spacing w:before="0" w:after="70" w:line="276" w:lineRule="auto"/>
        <w:jc w:val="both"/>
      </w:pPr>
      <w:r>
        <w:rPr>
          <w:rFonts w:ascii="Times New Roman" w:hAnsi="Times New Roman"/>
          <w:b/>
          <w:color w:val="0F172A"/>
          <w:sz w:val="24"/>
        </w:rPr>
        <w:t xml:space="preserve">• FR-05 (Vectorized RFM Derivation): </w:t>
      </w:r>
      <w:r>
        <w:rPr>
          <w:rFonts w:ascii="Times New Roman" w:hAnsi="Times New Roman"/>
          <w:i w:val="0"/>
          <w:color w:val="0F172A"/>
          <w:sz w:val="24"/>
        </w:rPr>
        <w:t>Computes snapshot boundary T_obs = max(InvoiceDate) + 1 day and derives customer Recency, Frequency, Spend, and AOV.</w:t>
      </w:r>
    </w:p>
    <w:p>
      <w:pPr>
        <w:spacing w:before="0" w:after="70" w:line="276" w:lineRule="auto"/>
        <w:jc w:val="both"/>
      </w:pPr>
      <w:r>
        <w:rPr>
          <w:rFonts w:ascii="Times New Roman" w:hAnsi="Times New Roman"/>
          <w:b/>
          <w:color w:val="0F172A"/>
          <w:sz w:val="24"/>
        </w:rPr>
        <w:t xml:space="preserve">• FR-06 (ML Clustering &amp; Quantile Scoring): </w:t>
      </w:r>
      <w:r>
        <w:rPr>
          <w:rFonts w:ascii="Times New Roman" w:hAnsi="Times New Roman"/>
          <w:i w:val="0"/>
          <w:color w:val="0F172A"/>
          <w:sz w:val="24"/>
        </w:rPr>
        <w:t>Applies log1p transformation and StandardScaler, fits K-Means clustering, and assigns 1–5 quantile scores mapping to 8 business cohorts.</w:t>
      </w:r>
    </w:p>
    <w:p>
      <w:pPr>
        <w:keepNext/>
        <w:spacing w:before="90" w:after="30"/>
        <w:jc w:val="left"/>
      </w:pPr>
      <w:r>
        <w:rPr>
          <w:rFonts w:ascii="Times New Roman" w:hAnsi="Times New Roman"/>
          <w:b/>
          <w:color w:val="0F172A"/>
          <w:sz w:val="24"/>
        </w:rPr>
        <w:t>1.2.2 Non-Functional Requirements Specifications (NFR)</w:t>
      </w:r>
    </w:p>
    <w:p>
      <w:pPr>
        <w:spacing w:before="0" w:after="70" w:line="276" w:lineRule="auto"/>
        <w:jc w:val="both"/>
      </w:pPr>
      <w:r>
        <w:rPr>
          <w:rFonts w:ascii="Times New Roman" w:hAnsi="Times New Roman"/>
          <w:b/>
          <w:color w:val="0F172A"/>
          <w:sz w:val="24"/>
        </w:rPr>
        <w:t xml:space="preserve">• NFR-01 (Performance &amp; Latency): </w:t>
      </w:r>
      <w:r>
        <w:rPr>
          <w:rFonts w:ascii="Times New Roman" w:hAnsi="Times New Roman"/>
          <w:i w:val="0"/>
          <w:color w:val="0F172A"/>
          <w:sz w:val="24"/>
        </w:rPr>
        <w:t>Processes 15,000+ transaction rows in under 5.0 seconds using vectorized Pandas C-routines.</w:t>
      </w:r>
    </w:p>
    <w:p>
      <w:pPr>
        <w:spacing w:before="0" w:after="70" w:line="276" w:lineRule="auto"/>
        <w:jc w:val="both"/>
      </w:pPr>
      <w:r>
        <w:rPr>
          <w:rFonts w:ascii="Times New Roman" w:hAnsi="Times New Roman"/>
          <w:b/>
          <w:color w:val="0F172A"/>
          <w:sz w:val="24"/>
        </w:rPr>
        <w:t xml:space="preserve">• NFR-02 (Algorithmic Reproducibility): </w:t>
      </w:r>
      <w:r>
        <w:rPr>
          <w:rFonts w:ascii="Times New Roman" w:hAnsi="Times New Roman"/>
          <w:i w:val="0"/>
          <w:color w:val="0F172A"/>
          <w:sz w:val="24"/>
        </w:rPr>
        <w:t>Fixed random seeds (seed=42) guarantee 100% deterministic, reproducible clustering across environments.</w:t>
      </w:r>
    </w:p>
    <w:p>
      <w:pPr>
        <w:spacing w:before="0" w:after="70" w:line="276" w:lineRule="auto"/>
        <w:jc w:val="both"/>
      </w:pPr>
      <w:r>
        <w:rPr>
          <w:rFonts w:ascii="Times New Roman" w:hAnsi="Times New Roman"/>
          <w:b/>
          <w:color w:val="0F172A"/>
          <w:sz w:val="24"/>
        </w:rPr>
        <w:t xml:space="preserve">• NFR-03 (Modularity &amp; Architecture): </w:t>
      </w:r>
      <w:r>
        <w:rPr>
          <w:rFonts w:ascii="Times New Roman" w:hAnsi="Times New Roman"/>
          <w:i w:val="0"/>
          <w:color w:val="0F172A"/>
          <w:sz w:val="24"/>
        </w:rPr>
        <w:t>Modular Python architecture with clean star-schema marts (FACT_TRANSACTIONS, DIM_CUSTOMERS).</w:t>
      </w:r>
    </w:p>
    <w:p>
      <w:pPr>
        <w:spacing w:before="50" w:after="70"/>
        <w:jc w:val="center"/>
      </w:pPr>
      <w:r>
        <w:rPr>
          <w:rFonts w:ascii="Times New Roman" w:hAnsi="Times New Roman"/>
          <w:b/>
          <w:color w:val="475569"/>
          <w:sz w:val="19"/>
        </w:rPr>
        <w:t>Table 1.1: System Hardware &amp; Software Requirements Specification</w:t>
      </w:r>
    </w:p>
    <w:tbl>
      <w:tblPr>
        <w:tblW w:type="auto" w:w="0"/>
        <w:jc w:val="center"/>
        <w:tblLook w:firstColumn="1" w:firstRow="1" w:lastColumn="0" w:lastRow="0" w:noHBand="0" w:noVBand="1" w:val="04A0"/>
      </w:tblPr>
      <w:tblGrid>
        <w:gridCol w:w="3168"/>
        <w:gridCol w:w="3168"/>
        <w:gridCol w:w="3168"/>
      </w:tblGrid>
      <w:tr>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SYSTEM SPECIFICATION</w:t>
            </w:r>
          </w:p>
        </w:tc>
        <w:tc>
          <w:tcPr>
            <w:tcW w:type="dxa" w:w="316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MINIMUM REQUIREMENT</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DEPLOYED PROJECT ENVIRONMENT</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Processor / CPU</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Dual-Core x86_64 or ARM64 (2.0 GHz)</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Apple Silicon M-Series / Intel Core i5/i7 (8-Core+)</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System Memory (RAM)</w:t>
            </w:r>
          </w:p>
        </w:tc>
        <w:tc>
          <w:tcPr>
            <w:tcW w:type="dxa" w:w="3168"/>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4 GB DDR3/DDR4</w:t>
            </w:r>
          </w:p>
        </w:tc>
        <w:tc>
          <w:tcPr>
            <w:tcW w:type="dxa" w:w="3456"/>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8 GB to 16 GB Unified Memory Architecture</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Storage Subsystem</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500 MB Free Disk Space</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Solid State Drive (NVMe SSD)</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Operating System</w:t>
            </w:r>
          </w:p>
        </w:tc>
        <w:tc>
          <w:tcPr>
            <w:tcW w:type="dxa" w:w="3168"/>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macOS 12+, Ubuntu 20.04+, Windows 10+</w:t>
            </w:r>
          </w:p>
        </w:tc>
        <w:tc>
          <w:tcPr>
            <w:tcW w:type="dxa" w:w="3456"/>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macOS Darwin (Unix POSIX Environment)</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Execution Runtimes</w:t>
            </w:r>
          </w:p>
        </w:tc>
        <w:tc>
          <w:tcPr>
            <w:tcW w:type="dxa" w:w="3168"/>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3.9+, Modern Web Browser</w:t>
            </w:r>
          </w:p>
        </w:tc>
        <w:tc>
          <w:tcPr>
            <w:tcW w:type="dxa" w:w="3456"/>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3.9.6, Safari, Google Chrome, VS Code</w:t>
            </w:r>
          </w:p>
        </w:tc>
      </w:tr>
    </w:tbl>
    <w:p>
      <w:r>
        <w:br w:type="page"/>
      </w:r>
    </w:p>
    <w:p>
      <w:pPr>
        <w:spacing w:before="0" w:after="20" w:line="276" w:lineRule="auto"/>
        <w:jc w:val="right"/>
      </w:pPr>
      <w:r>
        <w:rPr>
          <w:rFonts w:ascii="Times New Roman" w:hAnsi="Times New Roman"/>
          <w:i/>
          <w:color w:val="0F172A"/>
          <w:sz w:val="24"/>
        </w:rPr>
        <w:t>Page 3</w:t>
      </w:r>
    </w:p>
    <w:p>
      <w:pPr>
        <w:keepNext/>
        <w:spacing w:before="120" w:after="40"/>
        <w:jc w:val="left"/>
      </w:pPr>
      <w:r>
        <w:rPr>
          <w:rFonts w:ascii="Times New Roman" w:hAnsi="Times New Roman"/>
          <w:b/>
          <w:color w:val="0F172A"/>
          <w:sz w:val="28"/>
        </w:rPr>
        <w:t>1.3 Tools and Technology Used (Front-End/Back-End/Framework/API/Services)</w:t>
      </w:r>
    </w:p>
    <w:p>
      <w:pPr>
        <w:spacing w:before="0" w:after="70" w:line="276" w:lineRule="auto"/>
        <w:jc w:val="both"/>
      </w:pPr>
      <w:r>
        <w:rPr>
          <w:rFonts w:ascii="Times New Roman" w:hAnsi="Times New Roman"/>
          <w:i w:val="0"/>
          <w:color w:val="0F172A"/>
          <w:sz w:val="24"/>
        </w:rPr>
        <w:t>The project implements a modern analytical engineering stack selected for computational throughput, mathematical precision, and interactive visual analytics.</w:t>
      </w:r>
    </w:p>
    <w:p>
      <w:pPr>
        <w:keepNext/>
        <w:spacing w:before="90" w:after="30"/>
        <w:jc w:val="left"/>
      </w:pPr>
      <w:r>
        <w:rPr>
          <w:rFonts w:ascii="Times New Roman" w:hAnsi="Times New Roman"/>
          <w:b/>
          <w:color w:val="0F172A"/>
          <w:sz w:val="24"/>
        </w:rPr>
        <w:t>1.3.1 Data Engineering &amp; Numerical Computing</w:t>
      </w:r>
    </w:p>
    <w:p>
      <w:pPr>
        <w:spacing w:before="0" w:after="70" w:line="276" w:lineRule="auto"/>
        <w:jc w:val="both"/>
      </w:pPr>
      <w:r>
        <w:rPr>
          <w:rFonts w:ascii="Times New Roman" w:hAnsi="Times New Roman"/>
          <w:b/>
          <w:color w:val="0F172A"/>
          <w:sz w:val="24"/>
        </w:rPr>
        <w:t xml:space="preserve">• Python 3.9+: </w:t>
      </w:r>
      <w:r>
        <w:rPr>
          <w:rFonts w:ascii="Times New Roman" w:hAnsi="Times New Roman"/>
          <w:i w:val="0"/>
          <w:color w:val="0F172A"/>
          <w:sz w:val="24"/>
        </w:rPr>
        <w:t>Core programming runtime executing optimized C-extensions for data science.</w:t>
      </w:r>
    </w:p>
    <w:p>
      <w:pPr>
        <w:spacing w:before="0" w:after="70" w:line="276" w:lineRule="auto"/>
        <w:jc w:val="both"/>
      </w:pPr>
      <w:r>
        <w:rPr>
          <w:rFonts w:ascii="Times New Roman" w:hAnsi="Times New Roman"/>
          <w:b/>
          <w:color w:val="0F172A"/>
          <w:sz w:val="24"/>
        </w:rPr>
        <w:t xml:space="preserve">• Pandas (v2.3.3): </w:t>
      </w:r>
      <w:r>
        <w:rPr>
          <w:rFonts w:ascii="Times New Roman" w:hAnsi="Times New Roman"/>
          <w:i w:val="0"/>
          <w:color w:val="0F172A"/>
          <w:sz w:val="24"/>
        </w:rPr>
        <w:t>Vectorized group aggregations, type coercion, datetime logic, and quantile ranking (pd.qcut).</w:t>
      </w:r>
    </w:p>
    <w:p>
      <w:pPr>
        <w:spacing w:before="0" w:after="70" w:line="276" w:lineRule="auto"/>
        <w:jc w:val="both"/>
      </w:pPr>
      <w:r>
        <w:rPr>
          <w:rFonts w:ascii="Times New Roman" w:hAnsi="Times New Roman"/>
          <w:b/>
          <w:color w:val="0F172A"/>
          <w:sz w:val="24"/>
        </w:rPr>
        <w:t xml:space="preserve">• NumPy (v2.0.2): </w:t>
      </w:r>
      <w:r>
        <w:rPr>
          <w:rFonts w:ascii="Times New Roman" w:hAnsi="Times New Roman"/>
          <w:i w:val="0"/>
          <w:color w:val="0F172A"/>
          <w:sz w:val="24"/>
        </w:rPr>
        <w:t>Multidimensional array manipulations, logarithmic transformations (log1p), and Tukey fence outlier calculations.</w:t>
      </w:r>
    </w:p>
    <w:p>
      <w:pPr>
        <w:keepNext/>
        <w:spacing w:before="90" w:after="30"/>
        <w:jc w:val="left"/>
      </w:pPr>
      <w:r>
        <w:rPr>
          <w:rFonts w:ascii="Times New Roman" w:hAnsi="Times New Roman"/>
          <w:b/>
          <w:color w:val="0F172A"/>
          <w:sz w:val="24"/>
        </w:rPr>
        <w:t>1.3.2 Machine Learning &amp; Statistical Computing</w:t>
      </w:r>
    </w:p>
    <w:p>
      <w:pPr>
        <w:spacing w:before="0" w:after="70" w:line="276" w:lineRule="auto"/>
        <w:jc w:val="both"/>
      </w:pPr>
      <w:r>
        <w:rPr>
          <w:rFonts w:ascii="Times New Roman" w:hAnsi="Times New Roman"/>
          <w:b/>
          <w:color w:val="0F172A"/>
          <w:sz w:val="24"/>
        </w:rPr>
        <w:t xml:space="preserve">• Scikit-Learn (v1.6.1): </w:t>
      </w:r>
      <w:r>
        <w:rPr>
          <w:rFonts w:ascii="Times New Roman" w:hAnsi="Times New Roman"/>
          <w:i w:val="0"/>
          <w:color w:val="0F172A"/>
          <w:sz w:val="24"/>
        </w:rPr>
        <w:t>StandardScaler feature normalization, KMeans with k-means++ initialization, and Silhouette diagnostics.</w:t>
      </w:r>
    </w:p>
    <w:p>
      <w:pPr>
        <w:spacing w:before="0" w:after="70" w:line="276" w:lineRule="auto"/>
        <w:jc w:val="both"/>
      </w:pPr>
      <w:r>
        <w:rPr>
          <w:rFonts w:ascii="Times New Roman" w:hAnsi="Times New Roman"/>
          <w:b/>
          <w:color w:val="0F172A"/>
          <w:sz w:val="24"/>
        </w:rPr>
        <w:t xml:space="preserve">• SciPy (v1.13.1): </w:t>
      </w:r>
      <w:r>
        <w:rPr>
          <w:rFonts w:ascii="Times New Roman" w:hAnsi="Times New Roman"/>
          <w:i w:val="0"/>
          <w:color w:val="0F172A"/>
          <w:sz w:val="24"/>
        </w:rPr>
        <w:t>Statistical distributions and spatial distance metric calculations across multidimensional vectors.</w:t>
      </w:r>
    </w:p>
    <w:p>
      <w:pPr>
        <w:keepNext/>
        <w:spacing w:before="90" w:after="30"/>
        <w:jc w:val="left"/>
      </w:pPr>
      <w:r>
        <w:rPr>
          <w:rFonts w:ascii="Times New Roman" w:hAnsi="Times New Roman"/>
          <w:b/>
          <w:color w:val="0F172A"/>
          <w:sz w:val="24"/>
        </w:rPr>
        <w:t>1.3.3 Presentation, Dashboards &amp; Dimensional Data Marts</w:t>
      </w:r>
    </w:p>
    <w:p>
      <w:pPr>
        <w:spacing w:before="0" w:after="70" w:line="276" w:lineRule="auto"/>
        <w:jc w:val="both"/>
      </w:pPr>
      <w:r>
        <w:rPr>
          <w:rFonts w:ascii="Times New Roman" w:hAnsi="Times New Roman"/>
          <w:b/>
          <w:color w:val="0F172A"/>
          <w:sz w:val="24"/>
        </w:rPr>
        <w:t xml:space="preserve">• HTML5 &amp; Tailwind CSS: </w:t>
      </w:r>
      <w:r>
        <w:rPr>
          <w:rFonts w:ascii="Times New Roman" w:hAnsi="Times New Roman"/>
          <w:i w:val="0"/>
          <w:color w:val="0F172A"/>
          <w:sz w:val="24"/>
        </w:rPr>
        <w:t>Utility-first responsive framework delivering clean dark/light executive UI layouts.</w:t>
      </w:r>
    </w:p>
    <w:p>
      <w:pPr>
        <w:spacing w:before="0" w:after="70" w:line="276" w:lineRule="auto"/>
        <w:jc w:val="both"/>
      </w:pPr>
      <w:r>
        <w:rPr>
          <w:rFonts w:ascii="Times New Roman" w:hAnsi="Times New Roman"/>
          <w:b/>
          <w:color w:val="0F172A"/>
          <w:sz w:val="24"/>
        </w:rPr>
        <w:t xml:space="preserve">• Chart.js: </w:t>
      </w:r>
      <w:r>
        <w:rPr>
          <w:rFonts w:ascii="Times New Roman" w:hAnsi="Times New Roman"/>
          <w:i w:val="0"/>
          <w:color w:val="0F172A"/>
          <w:sz w:val="24"/>
        </w:rPr>
        <w:t>Client-side canvas graphing engine driving interactive revenue donuts and spatial RFM bubble charts.</w:t>
      </w:r>
    </w:p>
    <w:p>
      <w:pPr>
        <w:spacing w:before="0" w:after="70" w:line="276" w:lineRule="auto"/>
        <w:jc w:val="both"/>
      </w:pPr>
      <w:r>
        <w:rPr>
          <w:rFonts w:ascii="Times New Roman" w:hAnsi="Times New Roman"/>
          <w:b/>
          <w:color w:val="0F172A"/>
          <w:sz w:val="24"/>
        </w:rPr>
        <w:t xml:space="preserve">• Analytical Data Marts: </w:t>
      </w:r>
      <w:r>
        <w:rPr>
          <w:rFonts w:ascii="Times New Roman" w:hAnsi="Times New Roman"/>
          <w:i w:val="0"/>
          <w:color w:val="0F172A"/>
          <w:sz w:val="24"/>
        </w:rPr>
        <w:t>Star-schema dimensional storage (FACT_TRANSACTIONS, DIM_CUSTOMERS) enabling Tableau/Power BI connectivity.</w:t>
      </w:r>
    </w:p>
    <w:p>
      <w:pPr>
        <w:spacing w:before="50" w:after="70"/>
        <w:jc w:val="center"/>
      </w:pPr>
      <w:r>
        <w:rPr>
          <w:rFonts w:ascii="Times New Roman" w:hAnsi="Times New Roman"/>
          <w:b/>
          <w:color w:val="475569"/>
          <w:sz w:val="19"/>
        </w:rPr>
        <w:t>Table 1.2: Technology Stack &amp; Architectural Layer Mapping</w:t>
      </w:r>
    </w:p>
    <w:tbl>
      <w:tblPr>
        <w:tblW w:type="auto" w:w="0"/>
        <w:jc w:val="center"/>
        <w:tblLook w:firstColumn="1" w:firstRow="1" w:lastColumn="0" w:lastRow="0" w:noHBand="0" w:noVBand="1" w:val="04A0"/>
      </w:tblPr>
      <w:tblGrid>
        <w:gridCol w:w="3168"/>
        <w:gridCol w:w="3168"/>
        <w:gridCol w:w="3168"/>
      </w:tblGrid>
      <w:tr>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ARCHITECTURAL LAYER</w:t>
            </w:r>
          </w:p>
        </w:tc>
        <w:tc>
          <w:tcPr>
            <w:tcW w:type="dxa" w:w="288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TECHNOLOGY / FRAMEWORK</w:t>
            </w:r>
          </w:p>
        </w:tc>
        <w:tc>
          <w:tcPr>
            <w:tcW w:type="dxa" w:w="374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6"/>
              </w:rPr>
              <w:t>PRIMARY OPERATIONAL RESPONSIBILITY</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Ingestion &amp; Refinery</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Python, Pandas, NumPy</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Schema typing, null dropping, cancellation segregation, Tukey IQR fences</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Feature Engineering</w:t>
            </w:r>
          </w:p>
        </w:tc>
        <w:tc>
          <w:tcPr>
            <w:tcW w:type="dxa" w:w="2880"/>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Pandas GroupBy, Datetime</w:t>
            </w:r>
          </w:p>
        </w:tc>
        <w:tc>
          <w:tcPr>
            <w:tcW w:type="dxa" w:w="3744"/>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Derivation of customer Recency, Frequency, Monetary spend, and AOV</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Machine Learning</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Scikit-Learn, SciPy</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Log1p scaling, StandardScaler, K-Means clustering, Silhouette diagnostics</w:t>
            </w:r>
          </w:p>
        </w:tc>
      </w:tr>
      <w:tr>
        <w:tc>
          <w:tcPr>
            <w:tcW w:type="dxa" w:w="2592"/>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Data Mart Layer</w:t>
            </w:r>
          </w:p>
        </w:tc>
        <w:tc>
          <w:tcPr>
            <w:tcW w:type="dxa" w:w="2880"/>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CSV / Star Schema</w:t>
            </w:r>
          </w:p>
        </w:tc>
        <w:tc>
          <w:tcPr>
            <w:tcW w:type="dxa" w:w="3744"/>
            <w:tcMar>
              <w:top w:w="16" w:type="dxa"/>
              <w:bottom w:w="16" w:type="dxa"/>
              <w:left w:w="35" w:type="dxa"/>
              <w:right w:w="3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Clean FACT_TRANSACTIONS and DIM_CUSTOMERS marts for BI compatibility</w:t>
            </w:r>
          </w:p>
        </w:tc>
      </w:tr>
      <w:tr>
        <w:tc>
          <w:tcPr>
            <w:tcW w:type="dxa" w:w="2592"/>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5"/>
              </w:rPr>
              <w:t>Executive BI Dashboard</w:t>
            </w:r>
          </w:p>
        </w:tc>
        <w:tc>
          <w:tcPr>
            <w:tcW w:type="dxa" w:w="2880"/>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HTML5, Tailwind, Chart.js</w:t>
            </w:r>
          </w:p>
        </w:tc>
        <w:tc>
          <w:tcPr>
            <w:tcW w:type="dxa" w:w="3744"/>
            <w:tcMar>
              <w:top w:w="16" w:type="dxa"/>
              <w:bottom w:w="16" w:type="dxa"/>
              <w:left w:w="35" w:type="dxa"/>
              <w:right w:w="3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5"/>
              </w:rPr>
              <w:t>Interactive KPI scorecards, spatial RFM bubble charts, activation tables</w:t>
            </w:r>
          </w:p>
        </w:tc>
      </w:tr>
    </w:tbl>
    <w:p>
      <w:r>
        <w:br w:type="page"/>
      </w:r>
    </w:p>
    <w:p>
      <w:pPr>
        <w:spacing w:before="0" w:after="20" w:line="276" w:lineRule="auto"/>
        <w:jc w:val="right"/>
      </w:pPr>
      <w:r>
        <w:rPr>
          <w:rFonts w:ascii="Times New Roman" w:hAnsi="Times New Roman"/>
          <w:i/>
          <w:color w:val="0F172A"/>
          <w:sz w:val="24"/>
        </w:rPr>
        <w:t>Page 4</w:t>
      </w:r>
    </w:p>
    <w:p>
      <w:pPr>
        <w:keepNext/>
        <w:spacing w:before="140" w:after="50"/>
        <w:jc w:val="left"/>
      </w:pPr>
      <w:r>
        <w:rPr>
          <w:rFonts w:ascii="Times New Roman" w:hAnsi="Times New Roman"/>
          <w:b/>
          <w:color w:val="1E1B4B"/>
          <w:sz w:val="32"/>
        </w:rPr>
        <w:t>2. SYSTEM DESIGN USING UML &amp; DFD:</w:t>
      </w:r>
    </w:p>
    <w:p>
      <w:pPr>
        <w:keepNext/>
        <w:spacing w:before="120" w:after="40"/>
        <w:jc w:val="left"/>
      </w:pPr>
      <w:r>
        <w:rPr>
          <w:rFonts w:ascii="Times New Roman" w:hAnsi="Times New Roman"/>
          <w:b/>
          <w:color w:val="0F172A"/>
          <w:sz w:val="28"/>
        </w:rPr>
        <w:t>2.1 Data Flow Diagrams (Context, Level 1, Level 2 Architecture)</w:t>
      </w:r>
    </w:p>
    <w:p>
      <w:pPr>
        <w:spacing w:before="0" w:after="70" w:line="276" w:lineRule="auto"/>
        <w:jc w:val="both"/>
      </w:pPr>
      <w:r>
        <w:rPr>
          <w:rFonts w:ascii="Times New Roman" w:hAnsi="Times New Roman"/>
          <w:i w:val="0"/>
          <w:color w:val="0F172A"/>
          <w:sz w:val="24"/>
        </w:rPr>
        <w:t>Data Flow Diagrams (DFDs) visually map information transformations through the system. Using Gane &amp; Sarson conventions, the diagrams represent External Entities (rectangles), Processes (rounded rectangles), Data Stores (open horizontal lines), and Data Flows (directed arrows).</w:t>
      </w:r>
    </w:p>
    <w:p>
      <w:pPr>
        <w:keepNext/>
        <w:spacing w:before="90" w:after="30"/>
        <w:jc w:val="left"/>
      </w:pPr>
      <w:r>
        <w:rPr>
          <w:rFonts w:ascii="Times New Roman" w:hAnsi="Times New Roman"/>
          <w:b/>
          <w:color w:val="0F172A"/>
          <w:sz w:val="24"/>
        </w:rPr>
        <w:t>2.1.1 Level 0 Data Flow Diagram (Context-Level DFD)</w:t>
      </w:r>
    </w:p>
    <w:p>
      <w:pPr>
        <w:spacing w:before="0" w:after="70" w:line="276" w:lineRule="auto"/>
        <w:jc w:val="both"/>
      </w:pPr>
      <w:r>
        <w:rPr>
          <w:rFonts w:ascii="Times New Roman" w:hAnsi="Times New Roman"/>
          <w:i w:val="0"/>
          <w:color w:val="0F172A"/>
          <w:sz w:val="24"/>
        </w:rPr>
        <w:t>The Level 0 Context DFD establishes the macro boundary of Process 0.0 ('E-Commerce Customer Lifecycle &amp; RFM Analytics System') and documents all external entity interactions: (1) OLTP Transaction Stream supplying raw sales event logs; (2) Data Scientist providing IQR thresholds and cluster hyper-parameters; (3) CRM Marketing Engine consuming targeted audience lists; and (4) Commercial Executives receiving high-level portfolio KPIs and revenue concentration scorecards.</w:t>
      </w:r>
    </w:p>
    <w:p>
      <w:r>
        <w:drawing>
          <wp:inline xmlns:a="http://schemas.openxmlformats.org/drawingml/2006/main" xmlns:pic="http://schemas.openxmlformats.org/drawingml/2006/picture">
            <wp:extent cx="4663440" cy="2331720"/>
            <wp:docPr id="2" name="Picture 2"/>
            <wp:cNvGraphicFramePr>
              <a:graphicFrameLocks noChangeAspect="1"/>
            </wp:cNvGraphicFramePr>
            <a:graphic>
              <a:graphicData uri="http://schemas.openxmlformats.org/drawingml/2006/picture">
                <pic:pic>
                  <pic:nvPicPr>
                    <pic:cNvPr id="0" name="fig_dfd_level_0.png"/>
                    <pic:cNvPicPr/>
                  </pic:nvPicPr>
                  <pic:blipFill>
                    <a:blip r:embed="rId10"/>
                    <a:stretch>
                      <a:fillRect/>
                    </a:stretch>
                  </pic:blipFill>
                  <pic:spPr>
                    <a:xfrm>
                      <a:off x="0" y="0"/>
                      <a:ext cx="4663440" cy="2331720"/>
                    </a:xfrm>
                    <a:prstGeom prst="rect"/>
                  </pic:spPr>
                </pic:pic>
              </a:graphicData>
            </a:graphic>
          </wp:inline>
        </w:drawing>
      </w:r>
    </w:p>
    <w:p>
      <w:pPr>
        <w:spacing w:before="50" w:after="70"/>
        <w:jc w:val="center"/>
      </w:pPr>
      <w:r>
        <w:rPr>
          <w:rFonts w:ascii="Times New Roman" w:hAnsi="Times New Roman"/>
          <w:b/>
          <w:color w:val="475569"/>
          <w:sz w:val="19"/>
        </w:rPr>
        <w:t>Figure 2.1: Level 0 Data Flow Diagram (Context-Level DFD)</w:t>
      </w:r>
    </w:p>
    <w:p>
      <w:pPr>
        <w:spacing w:before="0" w:after="70" w:line="276" w:lineRule="auto"/>
        <w:jc w:val="both"/>
      </w:pPr>
      <w:r>
        <w:rPr>
          <w:rFonts w:ascii="Times New Roman" w:hAnsi="Times New Roman"/>
          <w:i w:val="0"/>
          <w:color w:val="0F172A"/>
          <w:sz w:val="24"/>
        </w:rPr>
        <w:t>This boundary diagram confirms that no internal process detail is revealed at Level 0, ensuring that all subsequent system interactions are fully accounted for before detailed algorithmic decomposition is undertaken.</w:t>
      </w:r>
    </w:p>
    <w:p>
      <w:r>
        <w:br w:type="page"/>
      </w:r>
    </w:p>
    <w:p>
      <w:pPr>
        <w:spacing w:before="0" w:after="20" w:line="276" w:lineRule="auto"/>
        <w:jc w:val="right"/>
      </w:pPr>
      <w:r>
        <w:rPr>
          <w:rFonts w:ascii="Times New Roman" w:hAnsi="Times New Roman"/>
          <w:i/>
          <w:color w:val="0F172A"/>
          <w:sz w:val="24"/>
        </w:rPr>
        <w:t>Page 5</w:t>
      </w:r>
    </w:p>
    <w:p>
      <w:pPr>
        <w:keepNext/>
        <w:spacing w:before="90" w:after="30"/>
        <w:jc w:val="left"/>
      </w:pPr>
      <w:r>
        <w:rPr>
          <w:rFonts w:ascii="Times New Roman" w:hAnsi="Times New Roman"/>
          <w:b/>
          <w:color w:val="0F172A"/>
          <w:sz w:val="24"/>
        </w:rPr>
        <w:t>2.1.2 Level 1 Data Flow Diagram (End-to-End Pipeline Architecture)</w:t>
      </w:r>
    </w:p>
    <w:p>
      <w:pPr>
        <w:spacing w:before="0" w:after="70" w:line="276" w:lineRule="auto"/>
        <w:jc w:val="both"/>
      </w:pPr>
      <w:r>
        <w:rPr>
          <w:rFonts w:ascii="Times New Roman" w:hAnsi="Times New Roman"/>
          <w:i w:val="0"/>
          <w:color w:val="0F172A"/>
          <w:sz w:val="24"/>
        </w:rPr>
        <w:t>The Level 1 DFD decomposes Process 0.0 into five sequential operational processes and identifies the underlying persistent data repositories:</w:t>
      </w:r>
    </w:p>
    <w:p>
      <w:pPr>
        <w:spacing w:before="0" w:after="70" w:line="276" w:lineRule="auto"/>
        <w:jc w:val="both"/>
      </w:pPr>
      <w:r>
        <w:rPr>
          <w:rFonts w:ascii="Times New Roman" w:hAnsi="Times New Roman"/>
          <w:b/>
          <w:color w:val="0F172A"/>
          <w:sz w:val="24"/>
        </w:rPr>
        <w:t xml:space="preserve">• Process 1.0 (Ingestion &amp; Schema Typing): </w:t>
      </w:r>
      <w:r>
        <w:rPr>
          <w:rFonts w:ascii="Times New Roman" w:hAnsi="Times New Roman"/>
          <w:i w:val="0"/>
          <w:color w:val="0F172A"/>
          <w:sz w:val="24"/>
        </w:rPr>
        <w:t>Ingests raw order logs, validates schema datatypes, and records input stream to D1 (Raw Transaction Log).</w:t>
      </w:r>
    </w:p>
    <w:p>
      <w:pPr>
        <w:spacing w:before="0" w:after="70" w:line="276" w:lineRule="auto"/>
        <w:jc w:val="both"/>
      </w:pPr>
      <w:r>
        <w:rPr>
          <w:rFonts w:ascii="Times New Roman" w:hAnsi="Times New Roman"/>
          <w:b/>
          <w:color w:val="0F172A"/>
          <w:sz w:val="24"/>
        </w:rPr>
        <w:t xml:space="preserve">• Process 2.0 (Data Quality &amp; Refinery Pipeline): </w:t>
      </w:r>
      <w:r>
        <w:rPr>
          <w:rFonts w:ascii="Times New Roman" w:hAnsi="Times New Roman"/>
          <w:i w:val="0"/>
          <w:color w:val="0F172A"/>
          <w:sz w:val="24"/>
        </w:rPr>
        <w:t>Purges missing CustomerIDs, routes return orders to D2 (Reversals Audit Ledger), and applies Tukey IQR outlier fences.</w:t>
      </w:r>
    </w:p>
    <w:p>
      <w:pPr>
        <w:spacing w:before="0" w:after="70" w:line="276" w:lineRule="auto"/>
        <w:jc w:val="both"/>
      </w:pPr>
      <w:r>
        <w:rPr>
          <w:rFonts w:ascii="Times New Roman" w:hAnsi="Times New Roman"/>
          <w:b/>
          <w:color w:val="0F172A"/>
          <w:sz w:val="24"/>
        </w:rPr>
        <w:t xml:space="preserve">• Process 3.0 (Vectorized RFM Feature Extraction): </w:t>
      </w:r>
      <w:r>
        <w:rPr>
          <w:rFonts w:ascii="Times New Roman" w:hAnsi="Times New Roman"/>
          <w:i w:val="0"/>
          <w:color w:val="0F172A"/>
          <w:sz w:val="24"/>
        </w:rPr>
        <w:t>Aggregates customer transactions into Recency days, Frequency counts, and Monetary spend, saving to D3 (RFM Analytical Table).</w:t>
      </w:r>
    </w:p>
    <w:p>
      <w:pPr>
        <w:spacing w:before="0" w:after="70" w:line="276" w:lineRule="auto"/>
        <w:jc w:val="both"/>
      </w:pPr>
      <w:r>
        <w:rPr>
          <w:rFonts w:ascii="Times New Roman" w:hAnsi="Times New Roman"/>
          <w:b/>
          <w:color w:val="0F172A"/>
          <w:sz w:val="24"/>
        </w:rPr>
        <w:t xml:space="preserve">• Process 4.0 (ML Clustering &amp; Quantile Scoring): </w:t>
      </w:r>
      <w:r>
        <w:rPr>
          <w:rFonts w:ascii="Times New Roman" w:hAnsi="Times New Roman"/>
          <w:i w:val="0"/>
          <w:color w:val="0F172A"/>
          <w:sz w:val="24"/>
        </w:rPr>
        <w:t>Executes log1p transformation, Z-score scaling, K-Means clustering, and 1–5 quantile scoring, persisting to D4 (Segmented Customer Mart).</w:t>
      </w:r>
    </w:p>
    <w:p>
      <w:pPr>
        <w:spacing w:before="0" w:after="70" w:line="276" w:lineRule="auto"/>
        <w:jc w:val="both"/>
      </w:pPr>
      <w:r>
        <w:rPr>
          <w:rFonts w:ascii="Times New Roman" w:hAnsi="Times New Roman"/>
          <w:b/>
          <w:color w:val="0F172A"/>
          <w:sz w:val="24"/>
        </w:rPr>
        <w:t xml:space="preserve">• Process 5.0 (Star-Schema &amp; Dashboard Export): </w:t>
      </w:r>
      <w:r>
        <w:rPr>
          <w:rFonts w:ascii="Times New Roman" w:hAnsi="Times New Roman"/>
          <w:i w:val="0"/>
          <w:color w:val="0F172A"/>
          <w:sz w:val="24"/>
        </w:rPr>
        <w:t>Generates the star schema dimensional marts and powers the interactive executive analytics dashboard.</w:t>
      </w:r>
    </w:p>
    <w:p>
      <w:r>
        <w:drawing>
          <wp:inline xmlns:a="http://schemas.openxmlformats.org/drawingml/2006/main" xmlns:pic="http://schemas.openxmlformats.org/drawingml/2006/picture">
            <wp:extent cx="4663440" cy="2331720"/>
            <wp:docPr id="3" name="Picture 3"/>
            <wp:cNvGraphicFramePr>
              <a:graphicFrameLocks noChangeAspect="1"/>
            </wp:cNvGraphicFramePr>
            <a:graphic>
              <a:graphicData uri="http://schemas.openxmlformats.org/drawingml/2006/picture">
                <pic:pic>
                  <pic:nvPicPr>
                    <pic:cNvPr id="0" name="fig_dfd_level_1.png"/>
                    <pic:cNvPicPr/>
                  </pic:nvPicPr>
                  <pic:blipFill>
                    <a:blip r:embed="rId11"/>
                    <a:stretch>
                      <a:fillRect/>
                    </a:stretch>
                  </pic:blipFill>
                  <pic:spPr>
                    <a:xfrm>
                      <a:off x="0" y="0"/>
                      <a:ext cx="4663440" cy="2331720"/>
                    </a:xfrm>
                    <a:prstGeom prst="rect"/>
                  </pic:spPr>
                </pic:pic>
              </a:graphicData>
            </a:graphic>
          </wp:inline>
        </w:drawing>
      </w:r>
    </w:p>
    <w:p>
      <w:pPr>
        <w:spacing w:before="50" w:after="70"/>
        <w:jc w:val="center"/>
      </w:pPr>
      <w:r>
        <w:rPr>
          <w:rFonts w:ascii="Times New Roman" w:hAnsi="Times New Roman"/>
          <w:b/>
          <w:color w:val="475569"/>
          <w:sz w:val="19"/>
        </w:rPr>
        <w:t>Figure 2.2: Level 1 Data Flow Diagram (End-to-End Pipeline Architecture)</w:t>
      </w:r>
    </w:p>
    <w:p>
      <w:pPr>
        <w:spacing w:before="0" w:after="70" w:line="276" w:lineRule="auto"/>
        <w:jc w:val="both"/>
      </w:pPr>
      <w:r>
        <w:rPr>
          <w:rFonts w:ascii="Times New Roman" w:hAnsi="Times New Roman"/>
          <w:i w:val="0"/>
          <w:color w:val="0F172A"/>
          <w:sz w:val="24"/>
        </w:rPr>
        <w:t>The Level 1 architecture enforces strict unidirectional data flow, ensuring that analytical features are never corrupted by unvalidated or reversed transactional inputs.</w:t>
      </w:r>
    </w:p>
    <w:p>
      <w:r>
        <w:br w:type="page"/>
      </w:r>
    </w:p>
    <w:p>
      <w:pPr>
        <w:spacing w:before="0" w:after="20" w:line="276" w:lineRule="auto"/>
        <w:jc w:val="right"/>
      </w:pPr>
      <w:r>
        <w:rPr>
          <w:rFonts w:ascii="Times New Roman" w:hAnsi="Times New Roman"/>
          <w:i/>
          <w:color w:val="0F172A"/>
          <w:sz w:val="24"/>
        </w:rPr>
        <w:t>Page 6</w:t>
      </w:r>
    </w:p>
    <w:p>
      <w:pPr>
        <w:keepNext/>
        <w:spacing w:before="90" w:after="30"/>
        <w:jc w:val="left"/>
      </w:pPr>
      <w:r>
        <w:rPr>
          <w:rFonts w:ascii="Times New Roman" w:hAnsi="Times New Roman"/>
          <w:b/>
          <w:color w:val="0F172A"/>
          <w:sz w:val="24"/>
        </w:rPr>
        <w:t>2.1.3 Level 2 Data Flow Diagram (Sub-Process Decomposition)</w:t>
      </w:r>
    </w:p>
    <w:p>
      <w:pPr>
        <w:spacing w:before="0" w:after="70" w:line="276" w:lineRule="auto"/>
        <w:jc w:val="both"/>
      </w:pPr>
      <w:r>
        <w:rPr>
          <w:rFonts w:ascii="Times New Roman" w:hAnsi="Times New Roman"/>
          <w:i w:val="0"/>
          <w:color w:val="0F172A"/>
          <w:sz w:val="24"/>
        </w:rPr>
        <w:t>To provide rigorous engineering granularity as mandated by university project standards, the Level 2 DFD decomposes the two critical computational processes: Process 2.0 (Data Quality Refinery) and Process 4.0 (Machine Learning Clustering Engine).</w:t>
      </w:r>
    </w:p>
    <w:p>
      <w:pPr>
        <w:spacing w:before="0" w:after="70" w:line="276" w:lineRule="auto"/>
        <w:jc w:val="both"/>
      </w:pPr>
      <w:r>
        <w:rPr>
          <w:rFonts w:ascii="Times New Roman" w:hAnsi="Times New Roman"/>
          <w:b/>
          <w:color w:val="0F172A"/>
          <w:sz w:val="24"/>
        </w:rPr>
        <w:t xml:space="preserve">• Sub-Process 2.0 Decomposition (Refinery): </w:t>
      </w:r>
      <w:r>
        <w:rPr>
          <w:rFonts w:ascii="Times New Roman" w:hAnsi="Times New Roman"/>
          <w:i w:val="0"/>
          <w:color w:val="0F172A"/>
          <w:sz w:val="24"/>
        </w:rPr>
        <w:t>Sub-process 2.1 removes unauthenticated records lacking CustomerID. Sub-process 2.2 detects cancellation codes ('^C' or negative quantities) and writes to the audit ledger. Sub-process 2.3 computes Tukey fences [Q1 - 1.5*IQR, Q3 + 1.5*IQR] to eliminate wholesale bulk distributor anomalies.</w:t>
      </w:r>
    </w:p>
    <w:p>
      <w:pPr>
        <w:spacing w:before="0" w:after="70" w:line="276" w:lineRule="auto"/>
        <w:jc w:val="both"/>
      </w:pPr>
      <w:r>
        <w:rPr>
          <w:rFonts w:ascii="Times New Roman" w:hAnsi="Times New Roman"/>
          <w:b/>
          <w:color w:val="0F172A"/>
          <w:sz w:val="24"/>
        </w:rPr>
        <w:t xml:space="preserve">• Sub-Process 4.0 Decomposition (ML &amp; Scoring): </w:t>
      </w:r>
      <w:r>
        <w:rPr>
          <w:rFonts w:ascii="Times New Roman" w:hAnsi="Times New Roman"/>
          <w:i w:val="0"/>
          <w:color w:val="0F172A"/>
          <w:sz w:val="24"/>
        </w:rPr>
        <w:t>Sub-process 4.1 applies log1p compression (z = ln(1 + x)) to resolve Pareto spend skewness. Sub-process 4.2 executes Z-score normalization. Sub-process 4.3 executes K-Means clustering across k in [2..6] with Silhouette validation. Sub-process 4.4 runs quantile binning (pd.qcut) mapping accounts to 8 business operating cohorts.</w:t>
      </w:r>
    </w:p>
    <w:p>
      <w:r>
        <w:drawing>
          <wp:inline xmlns:a="http://schemas.openxmlformats.org/drawingml/2006/main" xmlns:pic="http://schemas.openxmlformats.org/drawingml/2006/picture">
            <wp:extent cx="4754880" cy="1981200"/>
            <wp:docPr id="4" name="Picture 4"/>
            <wp:cNvGraphicFramePr>
              <a:graphicFrameLocks noChangeAspect="1"/>
            </wp:cNvGraphicFramePr>
            <a:graphic>
              <a:graphicData uri="http://schemas.openxmlformats.org/drawingml/2006/picture">
                <pic:pic>
                  <pic:nvPicPr>
                    <pic:cNvPr id="0" name="fig_dfd_level_2.png"/>
                    <pic:cNvPicPr/>
                  </pic:nvPicPr>
                  <pic:blipFill>
                    <a:blip r:embed="rId12"/>
                    <a:stretch>
                      <a:fillRect/>
                    </a:stretch>
                  </pic:blipFill>
                  <pic:spPr>
                    <a:xfrm>
                      <a:off x="0" y="0"/>
                      <a:ext cx="4754880" cy="1981200"/>
                    </a:xfrm>
                    <a:prstGeom prst="rect"/>
                  </pic:spPr>
                </pic:pic>
              </a:graphicData>
            </a:graphic>
          </wp:inline>
        </w:drawing>
      </w:r>
    </w:p>
    <w:p>
      <w:pPr>
        <w:spacing w:before="50" w:after="70"/>
        <w:jc w:val="center"/>
      </w:pPr>
      <w:r>
        <w:rPr>
          <w:rFonts w:ascii="Times New Roman" w:hAnsi="Times New Roman"/>
          <w:b/>
          <w:color w:val="475569"/>
          <w:sz w:val="19"/>
        </w:rPr>
        <w:t>Figure 2.3: Level 2 Data Flow Diagram (Refinery &amp; ML Decomposition)</w:t>
      </w:r>
    </w:p>
    <w:p>
      <w:pPr>
        <w:spacing w:before="0" w:after="70" w:line="276" w:lineRule="auto"/>
        <w:jc w:val="both"/>
      </w:pPr>
      <w:r>
        <w:rPr>
          <w:rFonts w:ascii="Times New Roman" w:hAnsi="Times New Roman"/>
          <w:i w:val="0"/>
          <w:color w:val="0F172A"/>
          <w:sz w:val="24"/>
        </w:rPr>
        <w:t>This granular decomposition formally documents the mathematical transformations and algorithmic filtering required to turn raw transactional records into production-grade machine learning features.</w:t>
      </w:r>
    </w:p>
    <w:p>
      <w:r>
        <w:br w:type="page"/>
      </w:r>
    </w:p>
    <w:p>
      <w:pPr>
        <w:spacing w:before="0" w:after="20" w:line="276" w:lineRule="auto"/>
        <w:jc w:val="right"/>
      </w:pPr>
      <w:r>
        <w:rPr>
          <w:rFonts w:ascii="Times New Roman" w:hAnsi="Times New Roman"/>
          <w:i/>
          <w:color w:val="0F172A"/>
          <w:sz w:val="24"/>
        </w:rPr>
        <w:t>Page 7</w:t>
      </w:r>
    </w:p>
    <w:p>
      <w:pPr>
        <w:keepNext/>
        <w:spacing w:before="120" w:after="40"/>
        <w:jc w:val="left"/>
      </w:pPr>
      <w:r>
        <w:rPr>
          <w:rFonts w:ascii="Times New Roman" w:hAnsi="Times New Roman"/>
          <w:b/>
          <w:color w:val="0F172A"/>
          <w:sz w:val="28"/>
        </w:rPr>
        <w:t>2.2 Use Case Diagram &amp; Actor Specifications</w:t>
      </w:r>
    </w:p>
    <w:p>
      <w:pPr>
        <w:spacing w:before="0" w:after="40" w:line="276" w:lineRule="auto"/>
        <w:jc w:val="both"/>
      </w:pPr>
      <w:r>
        <w:rPr>
          <w:rFonts w:ascii="Times New Roman" w:hAnsi="Times New Roman"/>
          <w:i w:val="0"/>
          <w:color w:val="0F172A"/>
          <w:sz w:val="24"/>
        </w:rPr>
        <w:t>The Use Case Model defines operational boundaries by mapping system capabilities to primary human and automated actors.</w:t>
      </w:r>
    </w:p>
    <w:p>
      <w:r>
        <w:drawing>
          <wp:inline xmlns:a="http://schemas.openxmlformats.org/drawingml/2006/main" xmlns:pic="http://schemas.openxmlformats.org/drawingml/2006/picture">
            <wp:extent cx="3017520" cy="1961388"/>
            <wp:docPr id="5" name="Picture 5"/>
            <wp:cNvGraphicFramePr>
              <a:graphicFrameLocks noChangeAspect="1"/>
            </wp:cNvGraphicFramePr>
            <a:graphic>
              <a:graphicData uri="http://schemas.openxmlformats.org/drawingml/2006/picture">
                <pic:pic>
                  <pic:nvPicPr>
                    <pic:cNvPr id="0" name="fig_use_case_diagram.png"/>
                    <pic:cNvPicPr/>
                  </pic:nvPicPr>
                  <pic:blipFill>
                    <a:blip r:embed="rId13"/>
                    <a:stretch>
                      <a:fillRect/>
                    </a:stretch>
                  </pic:blipFill>
                  <pic:spPr>
                    <a:xfrm>
                      <a:off x="0" y="0"/>
                      <a:ext cx="3017520" cy="1961388"/>
                    </a:xfrm>
                    <a:prstGeom prst="rect"/>
                  </pic:spPr>
                </pic:pic>
              </a:graphicData>
            </a:graphic>
          </wp:inline>
        </w:drawing>
      </w:r>
    </w:p>
    <w:p>
      <w:pPr>
        <w:spacing w:before="50" w:after="70"/>
        <w:jc w:val="center"/>
      </w:pPr>
      <w:r>
        <w:rPr>
          <w:rFonts w:ascii="Times New Roman" w:hAnsi="Times New Roman"/>
          <w:b/>
          <w:color w:val="475569"/>
          <w:sz w:val="19"/>
        </w:rPr>
        <w:t>Figure 2.4: UML Use Case Diagram (System Actors &amp; Functional Capabilities)</w:t>
      </w:r>
    </w:p>
    <w:p>
      <w:pPr>
        <w:spacing w:before="50" w:after="70"/>
        <w:jc w:val="center"/>
      </w:pPr>
      <w:r>
        <w:rPr>
          <w:rFonts w:ascii="Times New Roman" w:hAnsi="Times New Roman"/>
          <w:b/>
          <w:color w:val="475569"/>
          <w:sz w:val="19"/>
        </w:rPr>
        <w:t>Table 2.1: Formal Use Case Specification Matrix (UC-01 to UC-06)</w:t>
      </w:r>
    </w:p>
    <w:tbl>
      <w:tblPr>
        <w:tblW w:type="auto" w:w="0"/>
        <w:jc w:val="center"/>
        <w:tblLook w:firstColumn="1" w:firstRow="1" w:lastColumn="0" w:lastRow="0" w:noHBand="0" w:noVBand="1" w:val="04A0"/>
      </w:tblPr>
      <w:tblGrid>
        <w:gridCol w:w="2376"/>
        <w:gridCol w:w="2376"/>
        <w:gridCol w:w="2376"/>
        <w:gridCol w:w="2376"/>
      </w:tblGrid>
      <w:tr>
        <w:tc>
          <w:tcPr>
            <w:tcW w:type="dxa" w:w="93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UC ID</w:t>
            </w:r>
          </w:p>
        </w:tc>
        <w:tc>
          <w:tcPr>
            <w:tcW w:type="dxa" w:w="26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USE CASE NAME</w:t>
            </w:r>
          </w:p>
        </w:tc>
        <w:tc>
          <w:tcPr>
            <w:tcW w:type="dxa" w:w="2160"/>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PRIMARY ACTOR</w:t>
            </w:r>
          </w:p>
        </w:tc>
        <w:tc>
          <w:tcPr>
            <w:tcW w:type="dxa" w:w="345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GOAL &amp; PRE-CONDITION</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UC-01</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Ingest Transaction Stream</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Engineer / Admin</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Ingests raw event logs, validates schema, enforces datatypes.</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UC-02</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Isolate Reversals &amp; IQR Filter</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Engineer / Admin</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Purges null IDs, isolates returns (^C), caps Tukey bulk outliers.</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UC-03</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Compute Vectorized RFM</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Analytics Engineer</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Aggregates transactions into customer-level Recency, Frequency, Spend.</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UC-04</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Train &amp; Tune K-Means Model</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Data Scientist</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Applies log1p + StandardScaler, evaluates Elbow/Silhouette, fits k=4.</w:t>
            </w:r>
          </w:p>
        </w:tc>
      </w:tr>
      <w:tr>
        <w:tc>
          <w:tcPr>
            <w:tcW w:type="dxa" w:w="93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UC-05</w:t>
            </w:r>
          </w:p>
        </w:tc>
        <w:tc>
          <w:tcPr>
            <w:tcW w:type="dxa" w:w="26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Inspect Executive KPI Metrics</w:t>
            </w:r>
          </w:p>
        </w:tc>
        <w:tc>
          <w:tcPr>
            <w:tcW w:type="dxa" w:w="2160"/>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Commercial Executive</w:t>
            </w:r>
          </w:p>
        </w:tc>
        <w:tc>
          <w:tcPr>
            <w:tcW w:type="dxa" w:w="345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Monitors portfolio spend ($65k), Champions share (72.5%), at-risk capital.</w:t>
            </w:r>
          </w:p>
        </w:tc>
      </w:tr>
      <w:tr>
        <w:tc>
          <w:tcPr>
            <w:tcW w:type="dxa" w:w="93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UC-06</w:t>
            </w:r>
          </w:p>
        </w:tc>
        <w:tc>
          <w:tcPr>
            <w:tcW w:type="dxa" w:w="26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Export Targeted CRM Audiences</w:t>
            </w:r>
          </w:p>
        </w:tc>
        <w:tc>
          <w:tcPr>
            <w:tcW w:type="dxa" w:w="2160"/>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Marketing Manager</w:t>
            </w:r>
          </w:p>
        </w:tc>
        <w:tc>
          <w:tcPr>
            <w:tcW w:type="dxa" w:w="345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Filters segments in activation ledger and exports audience lists for campaigns.</w:t>
            </w:r>
          </w:p>
        </w:tc>
      </w:tr>
    </w:tbl>
    <w:p>
      <w:r>
        <w:br w:type="page"/>
      </w:r>
    </w:p>
    <w:p>
      <w:pPr>
        <w:spacing w:before="0" w:after="20" w:line="276" w:lineRule="auto"/>
        <w:jc w:val="right"/>
      </w:pPr>
      <w:r>
        <w:rPr>
          <w:rFonts w:ascii="Times New Roman" w:hAnsi="Times New Roman"/>
          <w:i/>
          <w:color w:val="0F172A"/>
          <w:sz w:val="24"/>
        </w:rPr>
        <w:t>Page 8</w:t>
      </w:r>
    </w:p>
    <w:p>
      <w:pPr>
        <w:keepNext/>
        <w:spacing w:before="120" w:after="40"/>
        <w:jc w:val="left"/>
      </w:pPr>
      <w:r>
        <w:rPr>
          <w:rFonts w:ascii="Times New Roman" w:hAnsi="Times New Roman"/>
          <w:b/>
          <w:color w:val="0F172A"/>
          <w:sz w:val="28"/>
        </w:rPr>
        <w:t>2.3 UML Class Diagram (Domain Model &amp; Object Architecture)</w:t>
      </w:r>
    </w:p>
    <w:p>
      <w:pPr>
        <w:spacing w:before="0" w:after="70" w:line="276" w:lineRule="auto"/>
        <w:jc w:val="both"/>
      </w:pPr>
      <w:r>
        <w:rPr>
          <w:rFonts w:ascii="Times New Roman" w:hAnsi="Times New Roman"/>
          <w:i w:val="0"/>
          <w:color w:val="0F172A"/>
          <w:sz w:val="24"/>
        </w:rPr>
        <w:t>The UML Class Diagram establishes the object-oriented structure of the analytics pipeline, modeling domain entities, transformation services, algorithmic engines, and dimensional export utilities.</w:t>
      </w:r>
    </w:p>
    <w:p>
      <w:r>
        <w:drawing>
          <wp:inline xmlns:a="http://schemas.openxmlformats.org/drawingml/2006/main" xmlns:pic="http://schemas.openxmlformats.org/drawingml/2006/picture">
            <wp:extent cx="4846320" cy="3028950"/>
            <wp:docPr id="6" name="Picture 6"/>
            <wp:cNvGraphicFramePr>
              <a:graphicFrameLocks noChangeAspect="1"/>
            </wp:cNvGraphicFramePr>
            <a:graphic>
              <a:graphicData uri="http://schemas.openxmlformats.org/drawingml/2006/picture">
                <pic:pic>
                  <pic:nvPicPr>
                    <pic:cNvPr id="0" name="fig_class_diagram.png"/>
                    <pic:cNvPicPr/>
                  </pic:nvPicPr>
                  <pic:blipFill>
                    <a:blip r:embed="rId14"/>
                    <a:stretch>
                      <a:fillRect/>
                    </a:stretch>
                  </pic:blipFill>
                  <pic:spPr>
                    <a:xfrm>
                      <a:off x="0" y="0"/>
                      <a:ext cx="4846320" cy="3028950"/>
                    </a:xfrm>
                    <a:prstGeom prst="rect"/>
                  </pic:spPr>
                </pic:pic>
              </a:graphicData>
            </a:graphic>
          </wp:inline>
        </w:drawing>
      </w:r>
    </w:p>
    <w:p>
      <w:pPr>
        <w:spacing w:before="50" w:after="70"/>
        <w:jc w:val="center"/>
      </w:pPr>
      <w:r>
        <w:rPr>
          <w:rFonts w:ascii="Times New Roman" w:hAnsi="Times New Roman"/>
          <w:b/>
          <w:color w:val="475569"/>
          <w:sz w:val="19"/>
        </w:rPr>
        <w:t>Figure 2.5: UML Class Diagram (Domain Model &amp; Pipeline Object Architecture)</w:t>
      </w:r>
    </w:p>
    <w:p>
      <w:pPr>
        <w:keepNext/>
        <w:spacing w:before="90" w:after="30"/>
        <w:jc w:val="left"/>
      </w:pPr>
      <w:r>
        <w:rPr>
          <w:rFonts w:ascii="Times New Roman" w:hAnsi="Times New Roman"/>
          <w:b/>
          <w:color w:val="0F172A"/>
          <w:sz w:val="24"/>
        </w:rPr>
        <w:t>2.3.1 Detailed Object Model &amp; Class Specifications</w:t>
      </w:r>
    </w:p>
    <w:p>
      <w:pPr>
        <w:spacing w:before="0" w:after="70" w:line="276" w:lineRule="auto"/>
        <w:jc w:val="both"/>
      </w:pPr>
      <w:r>
        <w:rPr>
          <w:rFonts w:ascii="Times New Roman" w:hAnsi="Times New Roman"/>
          <w:b/>
          <w:color w:val="0F172A"/>
          <w:sz w:val="24"/>
        </w:rPr>
        <w:t xml:space="preserve">1. TransactionRecord (Domain Entity): </w:t>
      </w:r>
      <w:r>
        <w:rPr>
          <w:rFonts w:ascii="Times New Roman" w:hAnsi="Times New Roman"/>
          <w:i w:val="0"/>
          <w:color w:val="0F172A"/>
          <w:sz w:val="24"/>
        </w:rPr>
        <w:t>Models single line-item order entities with methods for session validation and gross spend calculation.</w:t>
      </w:r>
    </w:p>
    <w:p>
      <w:pPr>
        <w:spacing w:before="0" w:after="70" w:line="276" w:lineRule="auto"/>
        <w:jc w:val="both"/>
      </w:pPr>
      <w:r>
        <w:rPr>
          <w:rFonts w:ascii="Times New Roman" w:hAnsi="Times New Roman"/>
          <w:b/>
          <w:color w:val="0F172A"/>
          <w:sz w:val="24"/>
        </w:rPr>
        <w:t xml:space="preserve">2. CleanRefineryPipeline (Refinery Service): </w:t>
      </w:r>
      <w:r>
        <w:rPr>
          <w:rFonts w:ascii="Times New Roman" w:hAnsi="Times New Roman"/>
          <w:i w:val="0"/>
          <w:color w:val="0F172A"/>
          <w:sz w:val="24"/>
        </w:rPr>
        <w:t>Controls raw data loading, schema typing, null dropping, cancellation segregation, and Tukey IQR outlier capping.</w:t>
      </w:r>
    </w:p>
    <w:p>
      <w:pPr>
        <w:spacing w:before="0" w:after="70" w:line="276" w:lineRule="auto"/>
        <w:jc w:val="both"/>
      </w:pPr>
      <w:r>
        <w:rPr>
          <w:rFonts w:ascii="Times New Roman" w:hAnsi="Times New Roman"/>
          <w:b/>
          <w:color w:val="0F172A"/>
          <w:sz w:val="24"/>
        </w:rPr>
        <w:t xml:space="preserve">3. RFMFeatureEngineer (Feature Engineering): </w:t>
      </w:r>
      <w:r>
        <w:rPr>
          <w:rFonts w:ascii="Times New Roman" w:hAnsi="Times New Roman"/>
          <w:i w:val="0"/>
          <w:color w:val="0F172A"/>
          <w:sz w:val="24"/>
        </w:rPr>
        <w:t>Vectorized service computing customer Recency relative to T_obs, purchase Frequency, Monetary spend, and Average Order Value.</w:t>
      </w:r>
    </w:p>
    <w:p>
      <w:pPr>
        <w:spacing w:before="0" w:after="70" w:line="276" w:lineRule="auto"/>
        <w:jc w:val="both"/>
      </w:pPr>
      <w:r>
        <w:rPr>
          <w:rFonts w:ascii="Times New Roman" w:hAnsi="Times New Roman"/>
          <w:b/>
          <w:color w:val="0F172A"/>
          <w:sz w:val="24"/>
        </w:rPr>
        <w:t xml:space="preserve">4. KMeansSegmentationEngine (ML Service): </w:t>
      </w:r>
      <w:r>
        <w:rPr>
          <w:rFonts w:ascii="Times New Roman" w:hAnsi="Times New Roman"/>
          <w:i w:val="0"/>
          <w:color w:val="0F172A"/>
          <w:sz w:val="24"/>
        </w:rPr>
        <w:t>Encapsulates feature scaling, log1p compression, StandardScaler, K-Means clustering, and Silhouette diagnostics.</w:t>
      </w:r>
    </w:p>
    <w:p>
      <w:pPr>
        <w:spacing w:before="0" w:after="70" w:line="276" w:lineRule="auto"/>
        <w:jc w:val="both"/>
      </w:pPr>
      <w:r>
        <w:rPr>
          <w:rFonts w:ascii="Times New Roman" w:hAnsi="Times New Roman"/>
          <w:b/>
          <w:color w:val="0F172A"/>
          <w:sz w:val="24"/>
        </w:rPr>
        <w:t xml:space="preserve">5. QuantileStratifier (Business Logic Engine): </w:t>
      </w:r>
      <w:r>
        <w:rPr>
          <w:rFonts w:ascii="Times New Roman" w:hAnsi="Times New Roman"/>
          <w:i w:val="0"/>
          <w:color w:val="0F172A"/>
          <w:sz w:val="24"/>
        </w:rPr>
        <w:t>Rule-based quantile engine assigning deterministic 1–5 scores and mapping 8 business operational cohorts.</w:t>
      </w:r>
    </w:p>
    <w:p>
      <w:pPr>
        <w:spacing w:before="0" w:after="70" w:line="276" w:lineRule="auto"/>
        <w:jc w:val="both"/>
      </w:pPr>
      <w:r>
        <w:rPr>
          <w:rFonts w:ascii="Times New Roman" w:hAnsi="Times New Roman"/>
          <w:b/>
          <w:color w:val="0F172A"/>
          <w:sz w:val="24"/>
        </w:rPr>
        <w:t xml:space="preserve">6. StarSchemaMartExporter (Persistence Service): </w:t>
      </w:r>
      <w:r>
        <w:rPr>
          <w:rFonts w:ascii="Times New Roman" w:hAnsi="Times New Roman"/>
          <w:i w:val="0"/>
          <w:color w:val="0F172A"/>
          <w:sz w:val="24"/>
        </w:rPr>
        <w:t>Generates relational star-schema tables (FACT_TRANSACTIONS, FACT_REVERSALS, DIM_CUSTOMERS, DIM_PRODUCTS).</w:t>
      </w:r>
    </w:p>
    <w:p>
      <w:r>
        <w:br w:type="page"/>
      </w:r>
    </w:p>
    <w:p>
      <w:pPr>
        <w:spacing w:before="0" w:after="20" w:line="276" w:lineRule="auto"/>
        <w:jc w:val="right"/>
      </w:pPr>
      <w:r>
        <w:rPr>
          <w:rFonts w:ascii="Times New Roman" w:hAnsi="Times New Roman"/>
          <w:i/>
          <w:color w:val="0F172A"/>
          <w:sz w:val="24"/>
        </w:rPr>
        <w:t>Page 9</w:t>
      </w:r>
    </w:p>
    <w:p>
      <w:pPr>
        <w:keepNext/>
        <w:spacing w:before="120" w:after="40"/>
        <w:jc w:val="left"/>
      </w:pPr>
      <w:r>
        <w:rPr>
          <w:rFonts w:ascii="Times New Roman" w:hAnsi="Times New Roman"/>
          <w:b/>
          <w:color w:val="0F172A"/>
          <w:sz w:val="28"/>
        </w:rPr>
        <w:t>2.4 UML Sequence Diagrams (System Execution &amp; Interaction Flow)</w:t>
      </w:r>
    </w:p>
    <w:p>
      <w:pPr>
        <w:spacing w:before="0" w:after="70" w:line="276" w:lineRule="auto"/>
        <w:jc w:val="both"/>
      </w:pPr>
      <w:r>
        <w:rPr>
          <w:rFonts w:ascii="Times New Roman" w:hAnsi="Times New Roman"/>
          <w:i w:val="0"/>
          <w:color w:val="0F172A"/>
          <w:sz w:val="24"/>
        </w:rPr>
        <w:t>The UML Sequence Diagram models dynamic behavioral interactions and message dispatch sequences across system components during pipeline execution.</w:t>
      </w:r>
    </w:p>
    <w:p>
      <w:r>
        <w:drawing>
          <wp:inline xmlns:a="http://schemas.openxmlformats.org/drawingml/2006/main" xmlns:pic="http://schemas.openxmlformats.org/drawingml/2006/picture">
            <wp:extent cx="4846320" cy="3028950"/>
            <wp:docPr id="7" name="Picture 7"/>
            <wp:cNvGraphicFramePr>
              <a:graphicFrameLocks noChangeAspect="1"/>
            </wp:cNvGraphicFramePr>
            <a:graphic>
              <a:graphicData uri="http://schemas.openxmlformats.org/drawingml/2006/picture">
                <pic:pic>
                  <pic:nvPicPr>
                    <pic:cNvPr id="0" name="fig_sequence_diagram.png"/>
                    <pic:cNvPicPr/>
                  </pic:nvPicPr>
                  <pic:blipFill>
                    <a:blip r:embed="rId15"/>
                    <a:stretch>
                      <a:fillRect/>
                    </a:stretch>
                  </pic:blipFill>
                  <pic:spPr>
                    <a:xfrm>
                      <a:off x="0" y="0"/>
                      <a:ext cx="4846320" cy="3028950"/>
                    </a:xfrm>
                    <a:prstGeom prst="rect"/>
                  </pic:spPr>
                </pic:pic>
              </a:graphicData>
            </a:graphic>
          </wp:inline>
        </w:drawing>
      </w:r>
    </w:p>
    <w:p>
      <w:pPr>
        <w:spacing w:before="50" w:after="70"/>
        <w:jc w:val="center"/>
      </w:pPr>
      <w:r>
        <w:rPr>
          <w:rFonts w:ascii="Times New Roman" w:hAnsi="Times New Roman"/>
          <w:b/>
          <w:color w:val="475569"/>
          <w:sz w:val="19"/>
        </w:rPr>
        <w:t>Figure 2.6: UML Sequence Diagram (End-to-End Processing &amp; Activation Workflow)</w:t>
      </w:r>
    </w:p>
    <w:p>
      <w:pPr>
        <w:keepNext/>
        <w:spacing w:before="90" w:after="30"/>
        <w:jc w:val="left"/>
      </w:pPr>
      <w:r>
        <w:rPr>
          <w:rFonts w:ascii="Times New Roman" w:hAnsi="Times New Roman"/>
          <w:b/>
          <w:color w:val="0F172A"/>
          <w:sz w:val="24"/>
        </w:rPr>
        <w:t>2.4.1 Step-by-Step Message Dispatch Protocol</w:t>
      </w:r>
    </w:p>
    <w:p>
      <w:pPr>
        <w:spacing w:before="0" w:after="70" w:line="276" w:lineRule="auto"/>
        <w:jc w:val="both"/>
      </w:pPr>
      <w:r>
        <w:rPr>
          <w:rFonts w:ascii="Times New Roman" w:hAnsi="Times New Roman"/>
          <w:b/>
          <w:color w:val="0F172A"/>
          <w:sz w:val="24"/>
        </w:rPr>
        <w:t xml:space="preserve">• Step 1 (Pipeline Trigger): </w:t>
      </w:r>
      <w:r>
        <w:rPr>
          <w:rFonts w:ascii="Times New Roman" w:hAnsi="Times New Roman"/>
          <w:i w:val="0"/>
          <w:color w:val="0F172A"/>
          <w:sz w:val="24"/>
        </w:rPr>
        <w:t>The Data Engineer or automated scheduler issues trigger_pipeline(raw_csv) to initiate ingestion.</w:t>
      </w:r>
    </w:p>
    <w:p>
      <w:pPr>
        <w:spacing w:before="0" w:after="70" w:line="276" w:lineRule="auto"/>
        <w:jc w:val="both"/>
      </w:pPr>
      <w:r>
        <w:rPr>
          <w:rFonts w:ascii="Times New Roman" w:hAnsi="Times New Roman"/>
          <w:b/>
          <w:color w:val="0F172A"/>
          <w:sz w:val="24"/>
        </w:rPr>
        <w:t xml:space="preserve">• Steps 2-3 (Data Refinery): </w:t>
      </w:r>
      <w:r>
        <w:rPr>
          <w:rFonts w:ascii="Times New Roman" w:hAnsi="Times New Roman"/>
          <w:i w:val="0"/>
          <w:color w:val="0F172A"/>
          <w:sz w:val="24"/>
        </w:rPr>
        <w:t>CleanRefineryPipeline performs self-calls to filter unauthenticated nulls, segregate cancellations, and apply Tukey IQR fences.</w:t>
      </w:r>
    </w:p>
    <w:p>
      <w:pPr>
        <w:spacing w:before="0" w:after="70" w:line="276" w:lineRule="auto"/>
        <w:jc w:val="both"/>
      </w:pPr>
      <w:r>
        <w:rPr>
          <w:rFonts w:ascii="Times New Roman" w:hAnsi="Times New Roman"/>
          <w:b/>
          <w:color w:val="0F172A"/>
          <w:sz w:val="24"/>
        </w:rPr>
        <w:t xml:space="preserve">• Steps 4-5 (Feature Derivation): </w:t>
      </w:r>
      <w:r>
        <w:rPr>
          <w:rFonts w:ascii="Times New Roman" w:hAnsi="Times New Roman"/>
          <w:i w:val="0"/>
          <w:color w:val="0F172A"/>
          <w:sz w:val="24"/>
        </w:rPr>
        <w:t>The cleansed dataframe is passed to RFMFeatureEngineer, which evaluates T_obs and extracts customer vectors.</w:t>
      </w:r>
    </w:p>
    <w:p>
      <w:pPr>
        <w:spacing w:before="0" w:after="70" w:line="276" w:lineRule="auto"/>
        <w:jc w:val="both"/>
      </w:pPr>
      <w:r>
        <w:rPr>
          <w:rFonts w:ascii="Times New Roman" w:hAnsi="Times New Roman"/>
          <w:b/>
          <w:color w:val="0F172A"/>
          <w:sz w:val="24"/>
        </w:rPr>
        <w:t xml:space="preserve">• Steps 6-7 (Machine Learning Execution): </w:t>
      </w:r>
      <w:r>
        <w:rPr>
          <w:rFonts w:ascii="Times New Roman" w:hAnsi="Times New Roman"/>
          <w:i w:val="0"/>
          <w:color w:val="0F172A"/>
          <w:sz w:val="24"/>
        </w:rPr>
        <w:t>The RFM base table is dispatched to KMeansEngine, which applies log1p compression and trains k=4 clusters.</w:t>
      </w:r>
    </w:p>
    <w:p>
      <w:pPr>
        <w:spacing w:before="0" w:after="70" w:line="276" w:lineRule="auto"/>
        <w:jc w:val="both"/>
      </w:pPr>
      <w:r>
        <w:rPr>
          <w:rFonts w:ascii="Times New Roman" w:hAnsi="Times New Roman"/>
          <w:b/>
          <w:color w:val="0F172A"/>
          <w:sz w:val="24"/>
        </w:rPr>
        <w:t xml:space="preserve">• Steps 8-9 (Data Mart Export): </w:t>
      </w:r>
      <w:r>
        <w:rPr>
          <w:rFonts w:ascii="Times New Roman" w:hAnsi="Times New Roman"/>
          <w:i w:val="0"/>
          <w:color w:val="0F172A"/>
          <w:sz w:val="24"/>
        </w:rPr>
        <w:t>Cluster predictions and quantile tiers are exported to StarSchemaDataMart, writing dimension and fact tables.</w:t>
      </w:r>
    </w:p>
    <w:p>
      <w:pPr>
        <w:spacing w:before="0" w:after="70" w:line="276" w:lineRule="auto"/>
        <w:jc w:val="both"/>
      </w:pPr>
      <w:r>
        <w:rPr>
          <w:rFonts w:ascii="Times New Roman" w:hAnsi="Times New Roman"/>
          <w:b/>
          <w:color w:val="0F172A"/>
          <w:sz w:val="24"/>
        </w:rPr>
        <w:t xml:space="preserve">• Steps 10-11 (Dashboard Activation): </w:t>
      </w:r>
      <w:r>
        <w:rPr>
          <w:rFonts w:ascii="Times New Roman" w:hAnsi="Times New Roman"/>
          <w:i w:val="0"/>
          <w:color w:val="0F172A"/>
          <w:sz w:val="24"/>
        </w:rPr>
        <w:t>The data mart generates summary JSON payloads, enabling ExecutiveDashboard to render interactive visualizations.</w:t>
      </w:r>
    </w:p>
    <w:p>
      <w:r>
        <w:br w:type="page"/>
      </w:r>
    </w:p>
    <w:p>
      <w:pPr>
        <w:spacing w:before="0" w:after="20" w:line="276" w:lineRule="auto"/>
        <w:jc w:val="right"/>
      </w:pPr>
      <w:r>
        <w:rPr>
          <w:rFonts w:ascii="Times New Roman" w:hAnsi="Times New Roman"/>
          <w:i/>
          <w:color w:val="0F172A"/>
          <w:sz w:val="24"/>
        </w:rPr>
        <w:t>Page 10</w:t>
      </w:r>
    </w:p>
    <w:p>
      <w:pPr>
        <w:keepNext/>
        <w:spacing w:before="140" w:after="50"/>
        <w:jc w:val="left"/>
      </w:pPr>
      <w:r>
        <w:rPr>
          <w:rFonts w:ascii="Times New Roman" w:hAnsi="Times New Roman"/>
          <w:b/>
          <w:color w:val="1E1B4B"/>
          <w:sz w:val="32"/>
        </w:rPr>
        <w:t>3. DATA DICTIONARY:</w:t>
      </w:r>
    </w:p>
    <w:p>
      <w:pPr>
        <w:keepNext/>
        <w:spacing w:before="120" w:after="40"/>
        <w:jc w:val="left"/>
      </w:pPr>
      <w:r>
        <w:rPr>
          <w:rFonts w:ascii="Times New Roman" w:hAnsi="Times New Roman"/>
          <w:b/>
          <w:color w:val="0F172A"/>
          <w:sz w:val="28"/>
        </w:rPr>
        <w:t>3.1 Database tables SQL/NoSQL (Dimensional Schema Specification)</w:t>
      </w:r>
    </w:p>
    <w:p>
      <w:pPr>
        <w:spacing w:before="0" w:after="70" w:line="276" w:lineRule="auto"/>
        <w:jc w:val="both"/>
      </w:pPr>
      <w:r>
        <w:rPr>
          <w:rFonts w:ascii="Times New Roman" w:hAnsi="Times New Roman"/>
          <w:i w:val="0"/>
          <w:color w:val="0F172A"/>
          <w:sz w:val="24"/>
        </w:rPr>
        <w:t>The Data Dictionary provides complete schema specifications for the star-schema dimensional data mart architecture. The mart decouples high-volume transactional event facts from customer and product dimensions, ensuring maximum SQL query performance and native compatibility with enterprise BI tools like Tableau and Power BI.</w:t>
      </w:r>
    </w:p>
    <w:p>
      <w:pPr>
        <w:spacing w:before="50" w:after="70"/>
        <w:jc w:val="center"/>
      </w:pPr>
      <w:r>
        <w:rPr>
          <w:rFonts w:ascii="Times New Roman" w:hAnsi="Times New Roman"/>
          <w:b/>
          <w:color w:val="475569"/>
          <w:sz w:val="19"/>
        </w:rPr>
        <w:t>Table 3.1: FACT_TRANSACTIONS (Order-Level Fact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transaction_id</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BIGINT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Surrogate primary key generated via monotonic sequence.</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invoice_no</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Alphanumeric invoice identifier; 6-digit order code.</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stock_code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Stock keeping unit (SKU) linking to DIM_PRODUCTS.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quantity</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Purchased item quantity; strictly Quantity &gt; 0 after refinery.</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invoice_date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TIMESTAMP</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Transaction timestamp; parsed to datetime64[ns].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unit_price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DECIMAL(10,2)</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Unit price per product item; strictly UnitPrice &gt; 0.00.</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customer_id</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Customer identifier linking to DIM_CUSTOMERS.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country</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VARCHAR(50)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YES</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Geographic country destination of invoice.</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gross_amount</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DECIMAL(12,2)</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Calculated line spend: Quantity * UnitPrice.</w:t>
            </w:r>
          </w:p>
        </w:tc>
      </w:tr>
    </w:tbl>
    <w:p>
      <w:r>
        <w:br w:type="page"/>
      </w:r>
    </w:p>
    <w:p>
      <w:pPr>
        <w:spacing w:before="0" w:after="20" w:line="276" w:lineRule="auto"/>
        <w:jc w:val="right"/>
      </w:pPr>
      <w:r>
        <w:rPr>
          <w:rFonts w:ascii="Times New Roman" w:hAnsi="Times New Roman"/>
          <w:i/>
          <w:color w:val="0F172A"/>
          <w:sz w:val="24"/>
        </w:rPr>
        <w:t>Page 11</w:t>
      </w:r>
    </w:p>
    <w:p>
      <w:pPr>
        <w:spacing w:before="50" w:after="70"/>
        <w:jc w:val="center"/>
      </w:pPr>
      <w:r>
        <w:rPr>
          <w:rFonts w:ascii="Times New Roman" w:hAnsi="Times New Roman"/>
          <w:b/>
          <w:color w:val="475569"/>
          <w:sz w:val="19"/>
        </w:rPr>
        <w:t>Table 3.2: FACT_REVERSALS (Reverse Logistics Audit Fact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reversal_id</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BIGINT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Surrogate primary key for return audit records.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invoice_no</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Cancellation invoice code matching regex '^C[0-9]+'.</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stock_code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Product item identifier returned by customer.</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return_quantity</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Negative quantity returned (Quantity &lt; 0).</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reversal_date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TIMESTAMP</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Timestamp when cancellation was processed.</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unit_price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DECIMAL(10,2)</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Original sale unit price of returned item.</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customer_id</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FK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Customer ID associated with the reversal transaction.</w:t>
            </w:r>
          </w:p>
        </w:tc>
      </w:tr>
    </w:tbl>
    <w:p>
      <w:pPr>
        <w:spacing w:before="50" w:after="70"/>
        <w:jc w:val="center"/>
      </w:pPr>
      <w:r>
        <w:rPr>
          <w:rFonts w:ascii="Times New Roman" w:hAnsi="Times New Roman"/>
          <w:b/>
          <w:color w:val="475569"/>
          <w:sz w:val="19"/>
        </w:rPr>
        <w:t>Table 3.3: DIM_CUSTOMERS (Customer RFM &amp; Behavioral Dimension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customer_key</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BIGINT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Surrogate primary key for customer dimension.</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customer_id</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Natural unique customer identifier (non-null).</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recency_days</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Days elapsed since last order: T_obs - max(InvoiceDate).</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frequency_orders</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Distinct purchase trips: count(distinct InvoiceNo).</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monetary_total</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DECIMAL(12,2)</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Cumulative net customer spend across all valid orders.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avg_order_value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DECIMAL(10,2)</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Average Order Value: Monetary / Frequency.</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r_score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SMALLINT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Quantile Recency score (1 to 5; 5 = most recent).</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f_score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SMALLINT</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Quantile Frequency score (1 to 5; 5 = highest frequency).</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m_score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SMALLINT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Quantile Monetary score (1 to 5; 5 = highest spend).</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segment_tier</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VARCHAR(40)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Mapped operating tier ('Champions', 'Loyal', 'At Risk').</w:t>
            </w:r>
          </w:p>
        </w:tc>
      </w:tr>
    </w:tbl>
    <w:p>
      <w:r>
        <w:br w:type="page"/>
      </w:r>
    </w:p>
    <w:p>
      <w:pPr>
        <w:spacing w:before="0" w:after="20" w:line="276" w:lineRule="auto"/>
        <w:jc w:val="right"/>
      </w:pPr>
      <w:r>
        <w:rPr>
          <w:rFonts w:ascii="Times New Roman" w:hAnsi="Times New Roman"/>
          <w:i/>
          <w:color w:val="0F172A"/>
          <w:sz w:val="24"/>
        </w:rPr>
        <w:t>Page 12</w:t>
      </w:r>
    </w:p>
    <w:p>
      <w:pPr>
        <w:spacing w:before="50" w:after="70"/>
        <w:jc w:val="center"/>
      </w:pPr>
      <w:r>
        <w:rPr>
          <w:rFonts w:ascii="Times New Roman" w:hAnsi="Times New Roman"/>
          <w:b/>
          <w:color w:val="475569"/>
          <w:sz w:val="19"/>
        </w:rPr>
        <w:t>Table 3.4: DIM_PRODUCTS (Catalog Item Dimension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product_key</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BIGINT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Surrogate primary key for product dimension.</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stock_code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VARCHAR(20)</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Unique SKU code assigned to the retail inventory item.</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description</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VARCHAR(255)</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YES</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Cleaned product title text; sanitized of special characters.</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unit_price_ref</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DECIMAL(10,2)</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Baseline catalog unit price for retail inventory item.</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is_active</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BOOLEAN</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Product active flag (TRUE = currently sold).</w:t>
            </w:r>
          </w:p>
        </w:tc>
      </w:tr>
    </w:tbl>
    <w:p>
      <w:pPr>
        <w:spacing w:before="50" w:after="70"/>
        <w:jc w:val="center"/>
      </w:pPr>
      <w:r>
        <w:rPr>
          <w:rFonts w:ascii="Times New Roman" w:hAnsi="Times New Roman"/>
          <w:b/>
          <w:color w:val="475569"/>
          <w:sz w:val="19"/>
        </w:rPr>
        <w:t>Table 3.5: DIM_DATE (Temporal Dimension Mart)</w:t>
      </w:r>
    </w:p>
    <w:tbl>
      <w:tblPr>
        <w:tblW w:type="auto" w:w="0"/>
        <w:jc w:val="center"/>
        <w:tblLook w:firstColumn="1" w:firstRow="1" w:lastColumn="0" w:lastRow="0" w:noHBand="0" w:noVBand="1" w:val="04A0"/>
      </w:tblPr>
      <w:tblGrid>
        <w:gridCol w:w="1901"/>
        <w:gridCol w:w="1901"/>
        <w:gridCol w:w="1901"/>
        <w:gridCol w:w="1901"/>
        <w:gridCol w:w="1901"/>
      </w:tblGrid>
      <w:tr>
        <w:tc>
          <w:tcPr>
            <w:tcW w:type="dxa" w:w="172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COLUMN NAME</w:t>
            </w:r>
          </w:p>
        </w:tc>
        <w:tc>
          <w:tcPr>
            <w:tcW w:type="dxa" w:w="158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DATA TYPE</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KEY</w:t>
            </w:r>
          </w:p>
        </w:tc>
        <w:tc>
          <w:tcPr>
            <w:tcW w:type="dxa" w:w="864"/>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NULL</w:t>
            </w:r>
          </w:p>
        </w:tc>
        <w:tc>
          <w:tcPr>
            <w:tcW w:type="dxa" w:w="417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5"/>
              </w:rPr>
              <w:t>OPERATIONAL DESCRIPTION &amp; CONSTRAINTS</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date_key</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0F172A"/>
                <w:sz w:val="14"/>
              </w:rPr>
              <w:t>PK</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Integer key formatted as YYYYMMDD (e.g. 20261013).</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full_date</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DATE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Calendar calendar date.</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day_of_week</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VARCHAR(10)</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Day name: 'Monday', 'Tuesday', ..., 'Sunday'.</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calendar_month</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VARCHAR(15)</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Month name: 'January', 'October', etc.</w:t>
            </w:r>
          </w:p>
        </w:tc>
      </w:tr>
      <w:tr>
        <w:tc>
          <w:tcPr>
            <w:tcW w:type="dxa" w:w="172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calendar_quarter</w:t>
            </w:r>
          </w:p>
        </w:tc>
        <w:tc>
          <w:tcPr>
            <w:tcW w:type="dxa" w:w="158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SMALLINT</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Calendar quarter (1 to 4).</w:t>
            </w:r>
          </w:p>
        </w:tc>
      </w:tr>
      <w:tr>
        <w:tc>
          <w:tcPr>
            <w:tcW w:type="dxa" w:w="172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4"/>
              </w:rPr>
              <w:t>is_weekend</w:t>
            </w:r>
          </w:p>
        </w:tc>
        <w:tc>
          <w:tcPr>
            <w:tcW w:type="dxa" w:w="158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BOOLEAN</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None</w:t>
            </w:r>
          </w:p>
        </w:tc>
        <w:tc>
          <w:tcPr>
            <w:tcW w:type="dxa" w:w="864"/>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4"/>
              </w:rPr>
              <w:t>NO</w:t>
            </w:r>
          </w:p>
        </w:tc>
        <w:tc>
          <w:tcPr>
            <w:tcW w:type="dxa" w:w="417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4"/>
              </w:rPr>
              <w:t>Weekend flag (TRUE if Saturday or Sunday).</w:t>
            </w:r>
          </w:p>
        </w:tc>
      </w:tr>
    </w:tbl>
    <w:p>
      <w:r>
        <w:br w:type="page"/>
      </w:r>
    </w:p>
    <w:p>
      <w:pPr>
        <w:spacing w:before="0" w:after="20" w:line="276" w:lineRule="auto"/>
        <w:jc w:val="right"/>
      </w:pPr>
      <w:r>
        <w:rPr>
          <w:rFonts w:ascii="Times New Roman" w:hAnsi="Times New Roman"/>
          <w:i/>
          <w:color w:val="0F172A"/>
          <w:sz w:val="24"/>
        </w:rPr>
        <w:t>Page 13</w:t>
      </w:r>
    </w:p>
    <w:p>
      <w:pPr>
        <w:keepNext/>
        <w:spacing w:before="140" w:after="50"/>
        <w:jc w:val="left"/>
      </w:pPr>
      <w:r>
        <w:rPr>
          <w:rFonts w:ascii="Times New Roman" w:hAnsi="Times New Roman"/>
          <w:b/>
          <w:color w:val="1E1B4B"/>
          <w:sz w:val="32"/>
        </w:rPr>
        <w:t>4. IMPLEMENTATION:</w:t>
      </w:r>
    </w:p>
    <w:p>
      <w:pPr>
        <w:keepNext/>
        <w:spacing w:before="120" w:after="40"/>
        <w:jc w:val="left"/>
      </w:pPr>
      <w:r>
        <w:rPr>
          <w:rFonts w:ascii="Times New Roman" w:hAnsi="Times New Roman"/>
          <w:b/>
          <w:color w:val="0F172A"/>
          <w:sz w:val="28"/>
        </w:rPr>
        <w:t>4.1 Screen Layouts with validations</w:t>
      </w:r>
    </w:p>
    <w:p>
      <w:pPr>
        <w:spacing w:before="0" w:after="70" w:line="276" w:lineRule="auto"/>
        <w:jc w:val="both"/>
      </w:pPr>
      <w:r>
        <w:rPr>
          <w:rFonts w:ascii="Times New Roman" w:hAnsi="Times New Roman"/>
          <w:i w:val="0"/>
          <w:color w:val="0F172A"/>
          <w:sz w:val="24"/>
        </w:rPr>
        <w:t>The web-based BI dashboard provides four synchronized analytical views designed with utility-first Tailwind CSS and Chart.js. Each interface incorporates strict client-side and server-side data validations to ensure reliable commercial operation.</w:t>
      </w:r>
    </w:p>
    <w:p>
      <w:r>
        <w:drawing>
          <wp:inline xmlns:a="http://schemas.openxmlformats.org/drawingml/2006/main" xmlns:pic="http://schemas.openxmlformats.org/drawingml/2006/picture">
            <wp:extent cx="4846320" cy="3230880"/>
            <wp:docPr id="8" name="Picture 8"/>
            <wp:cNvGraphicFramePr>
              <a:graphicFrameLocks noChangeAspect="1"/>
            </wp:cNvGraphicFramePr>
            <a:graphic>
              <a:graphicData uri="http://schemas.openxmlformats.org/drawingml/2006/picture">
                <pic:pic>
                  <pic:nvPicPr>
                    <pic:cNvPr id="0" name="fig_screen_layouts.png"/>
                    <pic:cNvPicPr/>
                  </pic:nvPicPr>
                  <pic:blipFill>
                    <a:blip r:embed="rId16"/>
                    <a:stretch>
                      <a:fillRect/>
                    </a:stretch>
                  </pic:blipFill>
                  <pic:spPr>
                    <a:xfrm>
                      <a:off x="0" y="0"/>
                      <a:ext cx="4846320" cy="3230880"/>
                    </a:xfrm>
                    <a:prstGeom prst="rect"/>
                  </pic:spPr>
                </pic:pic>
              </a:graphicData>
            </a:graphic>
          </wp:inline>
        </w:drawing>
      </w:r>
    </w:p>
    <w:p>
      <w:pPr>
        <w:spacing w:before="50" w:after="70"/>
        <w:jc w:val="center"/>
      </w:pPr>
      <w:r>
        <w:rPr>
          <w:rFonts w:ascii="Times New Roman" w:hAnsi="Times New Roman"/>
          <w:b/>
          <w:color w:val="475569"/>
          <w:sz w:val="19"/>
        </w:rPr>
        <w:t>Figure 4.1: Implementation Screen Layouts with Operational Input Validations</w:t>
      </w:r>
    </w:p>
    <w:p>
      <w:pPr>
        <w:keepNext/>
        <w:spacing w:before="90" w:after="30"/>
        <w:jc w:val="left"/>
      </w:pPr>
      <w:r>
        <w:rPr>
          <w:rFonts w:ascii="Times New Roman" w:hAnsi="Times New Roman"/>
          <w:b/>
          <w:color w:val="0F172A"/>
          <w:sz w:val="24"/>
        </w:rPr>
        <w:t>4.1.1 Screen Layouts Architectural Walkthrough</w:t>
      </w:r>
    </w:p>
    <w:p>
      <w:pPr>
        <w:spacing w:before="0" w:after="70" w:line="276" w:lineRule="auto"/>
        <w:jc w:val="both"/>
      </w:pPr>
      <w:r>
        <w:rPr>
          <w:rFonts w:ascii="Times New Roman" w:hAnsi="Times New Roman"/>
          <w:b/>
          <w:color w:val="0F172A"/>
          <w:sz w:val="24"/>
        </w:rPr>
        <w:t xml:space="preserve">• Screen 1 (Executive Overview &amp; Scorecards): </w:t>
      </w:r>
      <w:r>
        <w:rPr>
          <w:rFonts w:ascii="Times New Roman" w:hAnsi="Times New Roman"/>
          <w:i w:val="0"/>
          <w:color w:val="0F172A"/>
          <w:sz w:val="24"/>
        </w:rPr>
        <w:t>Renders four dynamic KPI scorecards displaying portfolio spend ($65,049.20), active accounts (256), average order value ($254.10), and at-risk revenue share (7.3%).</w:t>
      </w:r>
    </w:p>
    <w:p>
      <w:pPr>
        <w:spacing w:before="0" w:after="70" w:line="276" w:lineRule="auto"/>
        <w:jc w:val="both"/>
      </w:pPr>
      <w:r>
        <w:rPr>
          <w:rFonts w:ascii="Times New Roman" w:hAnsi="Times New Roman"/>
          <w:b/>
          <w:color w:val="0F172A"/>
          <w:sz w:val="24"/>
        </w:rPr>
        <w:t xml:space="preserve">• Screen 2 (RFM Behavioral Scatterplot): </w:t>
      </w:r>
      <w:r>
        <w:rPr>
          <w:rFonts w:ascii="Times New Roman" w:hAnsi="Times New Roman"/>
          <w:i w:val="0"/>
          <w:color w:val="0F172A"/>
          <w:sz w:val="24"/>
        </w:rPr>
        <w:t>Canvas scatterplot plotting Recency (X-axis) against Monetary Spend (Y-axis) with bubble radii scaled to Frequency.</w:t>
      </w:r>
    </w:p>
    <w:p>
      <w:pPr>
        <w:spacing w:before="0" w:after="70" w:line="276" w:lineRule="auto"/>
        <w:jc w:val="both"/>
      </w:pPr>
      <w:r>
        <w:rPr>
          <w:rFonts w:ascii="Times New Roman" w:hAnsi="Times New Roman"/>
          <w:b/>
          <w:color w:val="0F172A"/>
          <w:sz w:val="24"/>
        </w:rPr>
        <w:t xml:space="preserve">• Screen 3 (Customer Cohort Activation Grid): </w:t>
      </w:r>
      <w:r>
        <w:rPr>
          <w:rFonts w:ascii="Times New Roman" w:hAnsi="Times New Roman"/>
          <w:i w:val="0"/>
          <w:color w:val="0F172A"/>
          <w:sz w:val="24"/>
        </w:rPr>
        <w:t>Searchable ledger with instantaneous regex filtering, pagination controls, and targeted CSV export capabilities.</w:t>
      </w:r>
    </w:p>
    <w:p>
      <w:pPr>
        <w:spacing w:before="0" w:after="70" w:line="276" w:lineRule="auto"/>
        <w:jc w:val="both"/>
      </w:pPr>
      <w:r>
        <w:rPr>
          <w:rFonts w:ascii="Times New Roman" w:hAnsi="Times New Roman"/>
          <w:b/>
          <w:color w:val="0F172A"/>
          <w:sz w:val="24"/>
        </w:rPr>
        <w:t xml:space="preserve">• Screen 4 (Reverse Logistics Audit Ledger): </w:t>
      </w:r>
      <w:r>
        <w:rPr>
          <w:rFonts w:ascii="Times New Roman" w:hAnsi="Times New Roman"/>
          <w:i w:val="0"/>
          <w:color w:val="0F172A"/>
          <w:sz w:val="24"/>
        </w:rPr>
        <w:t>Isolated audit table displaying quarantined cancellations and credit notes for compliance review.</w:t>
      </w:r>
    </w:p>
    <w:p>
      <w:r>
        <w:br w:type="page"/>
      </w:r>
    </w:p>
    <w:p>
      <w:pPr>
        <w:spacing w:before="0" w:after="20" w:line="276" w:lineRule="auto"/>
        <w:jc w:val="right"/>
      </w:pPr>
      <w:r>
        <w:rPr>
          <w:rFonts w:ascii="Times New Roman" w:hAnsi="Times New Roman"/>
          <w:i/>
          <w:color w:val="0F172A"/>
          <w:sz w:val="24"/>
        </w:rPr>
        <w:t>Page 14</w:t>
      </w:r>
    </w:p>
    <w:p>
      <w:pPr>
        <w:keepNext/>
        <w:spacing w:before="90" w:after="30"/>
        <w:jc w:val="left"/>
      </w:pPr>
      <w:r>
        <w:rPr>
          <w:rFonts w:ascii="Times New Roman" w:hAnsi="Times New Roman"/>
          <w:b/>
          <w:color w:val="0F172A"/>
          <w:sz w:val="24"/>
        </w:rPr>
        <w:t>4.1.2 Formal Input &amp; Operational Validation Architecture</w:t>
      </w:r>
    </w:p>
    <w:p>
      <w:pPr>
        <w:spacing w:before="0" w:after="70" w:line="276" w:lineRule="auto"/>
        <w:jc w:val="both"/>
      </w:pPr>
      <w:r>
        <w:rPr>
          <w:rFonts w:ascii="Times New Roman" w:hAnsi="Times New Roman"/>
          <w:b/>
          <w:color w:val="0F172A"/>
          <w:sz w:val="24"/>
        </w:rPr>
        <w:t xml:space="preserve">• System Validation Rules: </w:t>
      </w:r>
      <w:r>
        <w:rPr>
          <w:rFonts w:ascii="Times New Roman" w:hAnsi="Times New Roman"/>
          <w:i w:val="0"/>
          <w:color w:val="0F172A"/>
          <w:sz w:val="24"/>
        </w:rPr>
        <w:t>The dashboard executes four discrete validation rules to prevent corrupt states:</w:t>
      </w:r>
    </w:p>
    <w:p>
      <w:pPr>
        <w:spacing w:before="0" w:after="70" w:line="276" w:lineRule="auto"/>
        <w:jc w:val="both"/>
      </w:pPr>
      <w:r>
        <w:rPr>
          <w:rFonts w:ascii="Times New Roman" w:hAnsi="Times New Roman"/>
          <w:b/>
          <w:color w:val="0F172A"/>
          <w:sz w:val="24"/>
        </w:rPr>
        <w:t xml:space="preserve">1. VAL-01 (Scorecard Numerical Integrity): </w:t>
      </w:r>
      <w:r>
        <w:rPr>
          <w:rFonts w:ascii="Times New Roman" w:hAnsi="Times New Roman"/>
          <w:i w:val="0"/>
          <w:color w:val="0F172A"/>
          <w:sz w:val="24"/>
        </w:rPr>
        <w:t>Monetary totals are constrained to non-negative floats (Spend &gt;= 0.00). Active customer counts verify distinct non-null CustomerIDs.</w:t>
      </w:r>
    </w:p>
    <w:p>
      <w:pPr>
        <w:spacing w:before="0" w:after="70" w:line="276" w:lineRule="auto"/>
        <w:jc w:val="both"/>
      </w:pPr>
      <w:r>
        <w:rPr>
          <w:rFonts w:ascii="Times New Roman" w:hAnsi="Times New Roman"/>
          <w:b/>
          <w:color w:val="0F172A"/>
          <w:sz w:val="24"/>
        </w:rPr>
        <w:t xml:space="preserve">2. VAL-02 (Spatial Canvas Boundary Constraints): </w:t>
      </w:r>
      <w:r>
        <w:rPr>
          <w:rFonts w:ascii="Times New Roman" w:hAnsi="Times New Roman"/>
          <w:i w:val="0"/>
          <w:color w:val="0F172A"/>
          <w:sz w:val="24"/>
        </w:rPr>
        <w:t>Scatterplot coordinates enforce bounded ranges: Recency in [1..365], Frequency in [1..50], Spend in [0..10,000]. Hover tooltips validate customer existence.</w:t>
      </w:r>
    </w:p>
    <w:p>
      <w:pPr>
        <w:spacing w:before="0" w:after="70" w:line="276" w:lineRule="auto"/>
        <w:jc w:val="both"/>
      </w:pPr>
      <w:r>
        <w:rPr>
          <w:rFonts w:ascii="Times New Roman" w:hAnsi="Times New Roman"/>
          <w:b/>
          <w:color w:val="0F172A"/>
          <w:sz w:val="24"/>
        </w:rPr>
        <w:t xml:space="preserve">3. VAL-03 (Search Sanitization &amp; Pagination Bounds): </w:t>
      </w:r>
      <w:r>
        <w:rPr>
          <w:rFonts w:ascii="Times New Roman" w:hAnsi="Times New Roman"/>
          <w:i w:val="0"/>
          <w:color w:val="0F172A"/>
          <w:sz w:val="24"/>
        </w:rPr>
        <w:t>Client search input is sanitized against script injection. Table pagination enforces integer bounds (1 &lt;= Page &lt;= MaxPage).</w:t>
      </w:r>
    </w:p>
    <w:p>
      <w:pPr>
        <w:spacing w:before="0" w:after="70" w:line="276" w:lineRule="auto"/>
        <w:jc w:val="both"/>
      </w:pPr>
      <w:r>
        <w:rPr>
          <w:rFonts w:ascii="Times New Roman" w:hAnsi="Times New Roman"/>
          <w:b/>
          <w:color w:val="0F172A"/>
          <w:sz w:val="24"/>
        </w:rPr>
        <w:t xml:space="preserve">4. VAL-04 (Audit Ledger Quarantine Logic): </w:t>
      </w:r>
      <w:r>
        <w:rPr>
          <w:rFonts w:ascii="Times New Roman" w:hAnsi="Times New Roman"/>
          <w:i w:val="0"/>
          <w:color w:val="0F172A"/>
          <w:sz w:val="24"/>
        </w:rPr>
        <w:t>Reversals strictly enforce cancellation regex ('^C') and negative quantities (Quantity &lt; 0) before insertion into audit stores.</w:t>
      </w:r>
    </w:p>
    <w:p>
      <w:pPr>
        <w:keepNext/>
        <w:spacing w:before="80" w:after="20"/>
        <w:jc w:val="left"/>
      </w:pPr>
      <w:r>
        <w:rPr>
          <w:rFonts w:ascii="Times New Roman" w:hAnsi="Times New Roman"/>
          <w:b/>
          <w:color w:val="0F172A"/>
          <w:sz w:val="28"/>
        </w:rPr>
        <w:t>PROJECT PROGRESS WORK EVALUATION SCHEDULE (MID-TERM)</w:t>
      </w:r>
    </w:p>
    <w:p>
      <w:pPr>
        <w:spacing w:before="50" w:after="70"/>
        <w:jc w:val="center"/>
      </w:pPr>
      <w:r>
        <w:rPr>
          <w:rFonts w:ascii="Times New Roman" w:hAnsi="Times New Roman"/>
          <w:b/>
          <w:color w:val="475569"/>
          <w:sz w:val="19"/>
        </w:rPr>
        <w:t>Table 4.1: Project Progress Work Evaluation Schedule &amp; Milestone Tracking</w:t>
      </w:r>
    </w:p>
    <w:tbl>
      <w:tblPr>
        <w:tblW w:type="auto" w:w="0"/>
        <w:jc w:val="center"/>
        <w:tblLook w:firstColumn="1" w:firstRow="1" w:lastColumn="0" w:lastRow="0" w:noHBand="0" w:noVBand="1" w:val="04A0"/>
      </w:tblPr>
      <w:tblGrid>
        <w:gridCol w:w="1901"/>
        <w:gridCol w:w="1901"/>
        <w:gridCol w:w="1901"/>
        <w:gridCol w:w="1901"/>
        <w:gridCol w:w="1901"/>
      </w:tblGrid>
      <w:tr>
        <w:tc>
          <w:tcPr>
            <w:tcW w:type="dxa" w:w="1296"/>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DATE</w:t>
            </w:r>
          </w:p>
        </w:tc>
        <w:tc>
          <w:tcPr>
            <w:tcW w:type="dxa" w:w="244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ASSESSMENT PARTICULARS</w:t>
            </w:r>
          </w:p>
        </w:tc>
        <w:tc>
          <w:tcPr>
            <w:tcW w:type="dxa" w:w="187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INDEX SECTIONS</w:t>
            </w:r>
          </w:p>
        </w:tc>
        <w:tc>
          <w:tcPr>
            <w:tcW w:type="dxa" w:w="1008"/>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MARKS</w:t>
            </w:r>
          </w:p>
        </w:tc>
        <w:tc>
          <w:tcPr>
            <w:tcW w:type="dxa" w:w="2592"/>
            <w:shd w:fill="7A003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color w:val="FFFFFF"/>
                <w:sz w:val="14"/>
              </w:rPr>
              <w:t>CURRENT STATUS</w:t>
            </w:r>
          </w:p>
        </w:tc>
      </w:tr>
      <w:tr>
        <w:tc>
          <w:tcPr>
            <w:tcW w:type="dxa" w:w="1296"/>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24/09/2026</w:t>
            </w:r>
          </w:p>
        </w:tc>
        <w:tc>
          <w:tcPr>
            <w:tcW w:type="dxa" w:w="2448"/>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First Progress Work</w:t>
            </w:r>
          </w:p>
        </w:tc>
        <w:tc>
          <w:tcPr>
            <w:tcW w:type="dxa" w:w="1872"/>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1.1, 1.2, 1.3, 2.1, 2.2</w:t>
            </w:r>
          </w:p>
        </w:tc>
        <w:tc>
          <w:tcPr>
            <w:tcW w:type="dxa" w:w="1008"/>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EFF6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COMPLETED &amp; VERIFIED</w:t>
            </w:r>
          </w:p>
        </w:tc>
      </w:tr>
      <w:tr>
        <w:tc>
          <w:tcPr>
            <w:tcW w:type="dxa" w:w="1296"/>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13/10/2026</w:t>
            </w:r>
          </w:p>
        </w:tc>
        <w:tc>
          <w:tcPr>
            <w:tcW w:type="dxa" w:w="2448"/>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3"/>
              </w:rPr>
              <w:t>Mid-Term Exam (Second Progress)</w:t>
            </w:r>
          </w:p>
        </w:tc>
        <w:tc>
          <w:tcPr>
            <w:tcW w:type="dxa" w:w="1872"/>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2.3, 2.4, 3.1, 4.1</w:t>
            </w:r>
          </w:p>
        </w:tc>
        <w:tc>
          <w:tcPr>
            <w:tcW w:type="dxa" w:w="1008"/>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20 Marks</w:t>
            </w:r>
          </w:p>
        </w:tc>
        <w:tc>
          <w:tcPr>
            <w:tcW w:type="dxa" w:w="2592"/>
            <w:tcMar>
              <w:top w:w="14" w:type="dxa"/>
              <w:bottom w:w="14" w:type="dxa"/>
              <w:left w:w="25" w:type="dxa"/>
              <w:right w:w="25" w:type="dxa"/>
            </w:tcMar>
            <w:shd w:fill="DCFCE7"/>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color w:val="0F172A"/>
                <w:sz w:val="13"/>
              </w:rPr>
              <w:t>DEMONSTRATED (Current Submission)</w:t>
            </w:r>
          </w:p>
        </w:tc>
      </w:tr>
      <w:tr>
        <w:tc>
          <w:tcPr>
            <w:tcW w:type="dxa" w:w="129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27/10/2026</w:t>
            </w:r>
          </w:p>
        </w:tc>
        <w:tc>
          <w:tcPr>
            <w:tcW w:type="dxa" w:w="244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Third Progress Work</w:t>
            </w:r>
          </w:p>
        </w:tc>
        <w:tc>
          <w:tcPr>
            <w:tcW w:type="dxa" w:w="187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4.2, 4.3, 5.1, 5.2, 6.1</w:t>
            </w:r>
          </w:p>
        </w:tc>
        <w:tc>
          <w:tcPr>
            <w:tcW w:type="dxa" w:w="100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Third Milestone</w:t>
            </w:r>
          </w:p>
        </w:tc>
      </w:tr>
      <w:tr>
        <w:tc>
          <w:tcPr>
            <w:tcW w:type="dxa" w:w="1296"/>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06/11/2026</w:t>
            </w:r>
          </w:p>
        </w:tc>
        <w:tc>
          <w:tcPr>
            <w:tcW w:type="dxa" w:w="244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Report Submission (Spiral Binding)</w:t>
            </w:r>
          </w:p>
        </w:tc>
        <w:tc>
          <w:tcPr>
            <w:tcW w:type="dxa" w:w="1872"/>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Final Signed Spiral Copy</w:t>
            </w:r>
          </w:p>
        </w:tc>
        <w:tc>
          <w:tcPr>
            <w:tcW w:type="dxa" w:w="1008"/>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10 Marks</w:t>
            </w:r>
          </w:p>
        </w:tc>
        <w:tc>
          <w:tcPr>
            <w:tcW w:type="dxa" w:w="2592"/>
            <w:tcMar>
              <w:top w:w="14" w:type="dxa"/>
              <w:bottom w:w="14" w:type="dxa"/>
              <w:left w:w="25" w:type="dxa"/>
              <w:right w:w="25" w:type="dxa"/>
            </w:tcMar>
            <w:shd w:fill="FFFFFF"/>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Final Submission</w:t>
            </w:r>
          </w:p>
        </w:tc>
      </w:tr>
      <w:tr>
        <w:tc>
          <w:tcPr>
            <w:tcW w:type="dxa" w:w="1296"/>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18-20/11/2026</w:t>
            </w:r>
          </w:p>
        </w:tc>
        <w:tc>
          <w:tcPr>
            <w:tcW w:type="dxa" w:w="244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Final Exam (SEE)</w:t>
            </w:r>
          </w:p>
        </w:tc>
        <w:tc>
          <w:tcPr>
            <w:tcW w:type="dxa" w:w="187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Exam &amp; Viva Voce</w:t>
            </w:r>
          </w:p>
        </w:tc>
        <w:tc>
          <w:tcPr>
            <w:tcW w:type="dxa" w:w="1008"/>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center"/>
            </w:pPr>
            <w:r>
              <w:rPr>
                <w:rFonts w:ascii="Times New Roman" w:hAnsi="Times New Roman"/>
                <w:b w:val="0"/>
                <w:color w:val="0F172A"/>
                <w:sz w:val="13"/>
              </w:rPr>
              <w:t>50 Marks</w:t>
            </w:r>
          </w:p>
        </w:tc>
        <w:tc>
          <w:tcPr>
            <w:tcW w:type="dxa" w:w="2592"/>
            <w:tcMar>
              <w:top w:w="14" w:type="dxa"/>
              <w:bottom w:w="14" w:type="dxa"/>
              <w:left w:w="25" w:type="dxa"/>
              <w:right w:w="25" w:type="dxa"/>
            </w:tcMar>
            <w:shd w:fill="F8FAFC"/>
            <w:tcBorders>
              <w:top w:val="single" w:sz="4" w:space="0" w:color="CBD5E1"/>
              <w:left w:val="single" w:sz="4" w:space="0" w:color="CBD5E1"/>
              <w:bottom w:val="single" w:sz="4" w:space="0" w:color="CBD5E1"/>
              <w:right w:val="single" w:sz="4" w:space="0" w:color="CBD5E1"/>
            </w:tcBorders>
          </w:tcPr>
          <w:p>
            <w:pPr>
              <w:spacing w:before="0" w:after="0" w:line="252" w:lineRule="auto"/>
              <w:jc w:val="left"/>
            </w:pPr>
            <w:r>
              <w:rPr>
                <w:rFonts w:ascii="Times New Roman" w:hAnsi="Times New Roman"/>
                <w:b w:val="0"/>
                <w:color w:val="0F172A"/>
                <w:sz w:val="13"/>
              </w:rPr>
              <w:t>Scheduled for Semester Examination</w:t>
            </w:r>
          </w:p>
        </w:tc>
      </w:tr>
    </w:tbl>
    <w:sectPr w:rsidR="00FC693F" w:rsidRPr="0006063C" w:rsidSect="00034616">
      <w:pgSz w:w="12240" w:h="15840"/>
      <w:pgMar w:top="1080"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