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drawing>
          <wp:inline xmlns:a="http://schemas.openxmlformats.org/drawingml/2006/main" xmlns:pic="http://schemas.openxmlformats.org/drawingml/2006/picture">
            <wp:extent cx="4937760" cy="860581"/>
            <wp:docPr id="1" name="Picture 1"/>
            <wp:cNvGraphicFramePr>
              <a:graphicFrameLocks noChangeAspect="1"/>
            </wp:cNvGraphicFramePr>
            <a:graphic>
              <a:graphicData uri="http://schemas.openxmlformats.org/drawingml/2006/picture">
                <pic:pic>
                  <pic:nvPicPr>
                    <pic:cNvPr id="0" name="iar_banner_hd.png"/>
                    <pic:cNvPicPr/>
                  </pic:nvPicPr>
                  <pic:blipFill>
                    <a:blip r:embed="rId9"/>
                    <a:stretch>
                      <a:fillRect/>
                    </a:stretch>
                  </pic:blipFill>
                  <pic:spPr>
                    <a:xfrm>
                      <a:off x="0" y="0"/>
                      <a:ext cx="4937760" cy="860581"/>
                    </a:xfrm>
                    <a:prstGeom prst="rect"/>
                  </pic:spPr>
                </pic:pic>
              </a:graphicData>
            </a:graphic>
          </wp:inline>
        </w:drawing>
      </w:r>
    </w:p>
    <w:p>
      <w:pPr>
        <w:spacing w:after="40" w:before="0"/>
        <w:jc w:val="center"/>
      </w:pPr>
      <w:r>
        <w:rPr>
          <w:rFonts w:ascii="Times New Roman" w:hAnsi="Times New Roman"/>
          <w:b/>
          <w:color w:val="7A003C"/>
          <w:sz w:val="28"/>
        </w:rPr>
        <w:t>INSTITUTE OF ADVANCED RESEARCH (IAR)</w:t>
      </w:r>
    </w:p>
    <w:p>
      <w:pPr>
        <w:spacing w:after="60"/>
        <w:jc w:val="center"/>
      </w:pPr>
      <w:r>
        <w:rPr>
          <w:rFonts w:ascii="Times New Roman" w:hAnsi="Times New Roman"/>
          <w:i/>
          <w:color w:val="475569"/>
          <w:sz w:val="19"/>
        </w:rPr>
        <w:t>The University for Innovation | Gandhinagar, Gujarat</w:t>
      </w:r>
    </w:p>
    <w:p>
      <w:pPr>
        <w:spacing w:after="160"/>
        <w:jc w:val="center"/>
      </w:pPr>
      <w:r>
        <w:rPr>
          <w:rFonts w:ascii="Times New Roman" w:hAnsi="Times New Roman"/>
          <w:b/>
          <w:color w:val="1E1B4B"/>
          <w:sz w:val="22"/>
        </w:rPr>
        <w:t>B.Sc. in Artificial Intelligence &amp; Data Science | Semester V (5th Semester)</w:t>
        <w:br/>
        <w:t>Academic Session: 2026 – 2027</w:t>
      </w:r>
    </w:p>
    <w:p>
      <w:pPr>
        <w:spacing w:after="200"/>
        <w:jc w:val="center"/>
      </w:pPr>
      <w:r>
        <w:rPr>
          <w:rFonts w:ascii="Times New Roman" w:hAnsi="Times New Roman"/>
          <w:color w:val="7A003C"/>
          <w:sz w:val="18"/>
        </w:rPr>
        <w:t>━━━━━━━━━━━━━━━━━━━━━━━━━━━━━━━━━━━━━━━━━</w:t>
      </w:r>
    </w:p>
    <w:p>
      <w:pPr>
        <w:spacing w:after="80"/>
        <w:jc w:val="center"/>
      </w:pPr>
      <w:r>
        <w:rPr>
          <w:rFonts w:ascii="Times New Roman" w:hAnsi="Times New Roman"/>
          <w:b/>
          <w:color w:val="1E1B4B"/>
          <w:sz w:val="33"/>
        </w:rPr>
        <w:t>E-COMMERCE CUSTOMER LIFECYCLE &amp;</w:t>
        <w:br/>
        <w:t>RFM SEGMENTATION DASHBOARD</w:t>
      </w:r>
    </w:p>
    <w:p>
      <w:pPr>
        <w:spacing w:after="240"/>
        <w:jc w:val="center"/>
      </w:pPr>
      <w:r>
        <w:rPr>
          <w:rFonts w:ascii="Times New Roman" w:hAnsi="Times New Roman"/>
          <w:i/>
          <w:color w:val="0F172A"/>
          <w:sz w:val="21"/>
        </w:rPr>
        <w:t>An Applied Machine Learning &amp; Analytics Engineering System</w:t>
        <w:br/>
        <w:t>for Commercial Retention &amp; Behavioral Cohort Optimization</w:t>
      </w:r>
    </w:p>
    <w:tbl>
      <w:tblPr>
        <w:tblW w:type="auto" w:w="0"/>
        <w:jc w:val="center"/>
        <w:tblLook w:firstColumn="1" w:firstRow="1" w:lastColumn="0" w:lastRow="0" w:noHBand="0" w:noVBand="1" w:val="04A0"/>
      </w:tblPr>
      <w:tblGrid>
        <w:gridCol w:w="4752"/>
        <w:gridCol w:w="4752"/>
      </w:tblGrid>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Assessment Milestone:</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THIRD PROGRESS WORK EVALUATION</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Scheduled Submission Date:</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27th October 2026 (Time: 10:00 AM to 5:00 PM)</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Curriculum Scope Completed:</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Sections 4.2 (Sample Coding &amp; Security), 4.3 (Steps of Execution &amp; Navigation), 5.1-5.2 (Conclusion), 6.1 (References) &amp; Roman Pages</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Course &amp; Project Code:</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Project - 1 (CE-502 / PRJ-701)</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Cumulative Marks Completed:</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40 Marks Evaluated (10 Marks First + 20 Marks Mid-Term + 10 Marks Third Progress)</w:t>
            </w:r>
          </w:p>
        </w:tc>
      </w:tr>
    </w:tbl>
    <w:p>
      <w:pPr>
        <w:spacing w:after="200"/>
      </w:pPr>
    </w:p>
    <w:tbl>
      <w:tblPr>
        <w:tblW w:type="auto" w:w="0"/>
        <w:jc w:val="center"/>
        <w:tblLook w:firstColumn="1" w:firstRow="1" w:lastColumn="0" w:lastRow="0" w:noHBand="0" w:noVBand="1" w:val="04A0"/>
      </w:tblPr>
      <w:tblGrid>
        <w:gridCol w:w="4752"/>
        <w:gridCol w:w="4752"/>
      </w:tblGrid>
      <w:tr>
        <w:tc>
          <w:tcPr>
            <w:tcW w:type="dxa" w:w="4608"/>
            <w:shd w:fill="F1F5F9"/>
            <w:tcMar>
              <w:top w:w="30" w:type="dxa"/>
              <w:bottom w:w="30"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20" w:line="252" w:lineRule="auto"/>
              <w:jc w:val="center"/>
            </w:pPr>
            <w:r>
              <w:rPr>
                <w:rFonts w:ascii="Times New Roman" w:hAnsi="Times New Roman"/>
                <w:sz w:val="17"/>
              </w:rPr>
              <w:t>PROJECT SCHOLAR:</w:t>
              <w:br/>
              <w:t>Mr. Deep Koshiya</w:t>
              <w:br/>
              <w:t>B.Sc. in AI &amp; Data Science</w:t>
              <w:br/>
              <w:t>Semester: V (5th Semester)</w:t>
            </w:r>
          </w:p>
        </w:tc>
        <w:tc>
          <w:tcPr>
            <w:tcW w:type="dxa" w:w="4608"/>
            <w:shd w:fill="F1F5F9"/>
            <w:tcMar>
              <w:top w:w="30" w:type="dxa"/>
              <w:bottom w:w="30"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20" w:line="252" w:lineRule="auto"/>
              <w:jc w:val="center"/>
            </w:pPr>
            <w:r>
              <w:rPr>
                <w:rFonts w:ascii="Times New Roman" w:hAnsi="Times New Roman"/>
                <w:sz w:val="17"/>
              </w:rPr>
              <w:t>PROJECT SUPERVISION:</w:t>
              <w:br/>
              <w:t>Assigned Project Supervisor</w:t>
              <w:br/>
              <w:t>Institute of Advanced Research (IAR)</w:t>
              <w:br/>
              <w:t>Evaluation &amp; Verification Stamp</w:t>
            </w:r>
          </w:p>
        </w:tc>
      </w:tr>
      <w:tr>
        <w:tc>
          <w:tcPr>
            <w:tcW w:type="dxa" w:w="4608"/>
            <w:shd w:fill="FFFFFF"/>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jc w:val="center"/>
            </w:pPr>
            <w:r>
              <w:rPr>
                <w:rFonts w:ascii="Times New Roman" w:hAnsi="Times New Roman"/>
                <w:sz w:val="16"/>
              </w:rPr>
              <w:t>_________________________</w:t>
              <w:br/>
              <w:t>(Scholar Signature)</w:t>
            </w:r>
          </w:p>
        </w:tc>
        <w:tc>
          <w:tcPr>
            <w:tcW w:type="dxa" w:w="4608"/>
            <w:shd w:fill="FFFFFF"/>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jc w:val="center"/>
            </w:pPr>
            <w:r>
              <w:rPr>
                <w:rFonts w:ascii="Times New Roman" w:hAnsi="Times New Roman"/>
                <w:sz w:val="16"/>
              </w:rPr>
              <w:t>_________________________</w:t>
              <w:br/>
              <w:t>(Supervisor Signature)</w:t>
            </w:r>
          </w:p>
        </w:tc>
      </w:tr>
    </w:tbl>
    <w:p>
      <w:r>
        <w:br w:type="page"/>
      </w:r>
    </w:p>
    <w:p>
      <w:pPr>
        <w:spacing w:before="0" w:after="20" w:line="276" w:lineRule="auto"/>
        <w:jc w:val="right"/>
      </w:pPr>
      <w:r>
        <w:rPr>
          <w:rFonts w:ascii="Times New Roman" w:hAnsi="Times New Roman"/>
          <w:i/>
          <w:color w:val="0F172A"/>
          <w:sz w:val="24"/>
        </w:rPr>
        <w:t>Page I</w:t>
      </w:r>
    </w:p>
    <w:p>
      <w:pPr>
        <w:keepNext/>
        <w:spacing w:before="40" w:after="80"/>
        <w:jc w:val="left"/>
      </w:pPr>
      <w:r>
        <w:rPr>
          <w:rFonts w:ascii="Times New Roman" w:hAnsi="Times New Roman"/>
          <w:b/>
          <w:color w:val="1E1B4B"/>
          <w:sz w:val="32"/>
        </w:rPr>
        <w:t>PROGRESS WORK EVALUATION CERTIFICATE</w:t>
      </w:r>
    </w:p>
    <w:p>
      <w:pPr>
        <w:spacing w:before="0" w:after="70" w:line="276" w:lineRule="auto"/>
        <w:jc w:val="both"/>
      </w:pPr>
      <w:r>
        <w:rPr>
          <w:rFonts w:ascii="Times New Roman" w:hAnsi="Times New Roman"/>
          <w:i w:val="0"/>
          <w:color w:val="0F172A"/>
          <w:sz w:val="24"/>
        </w:rPr>
        <w:t>This is to formally certify that the project work entitled "E-Commerce Customer Lifecycle &amp; RFM Segmentation Dashboard" is a bonafide record of authentic applied engineering work carried out by Deep Koshiya, student of B.Sc. in Artificial Intelligence &amp; Data Science, Semester V (5th Semester), at Institute of Advanced Research (IAR), Gandhinagar, Gujarat.</w:t>
      </w:r>
    </w:p>
    <w:p>
      <w:pPr>
        <w:spacing w:before="0" w:after="70" w:line="276" w:lineRule="auto"/>
        <w:jc w:val="both"/>
      </w:pPr>
      <w:r>
        <w:rPr>
          <w:rFonts w:ascii="Times New Roman" w:hAnsi="Times New Roman"/>
          <w:i w:val="0"/>
          <w:color w:val="0F172A"/>
          <w:sz w:val="24"/>
        </w:rPr>
        <w:t>The candidate has successfully completed and demonstrated the Third Progress Work requirements covering Sections 4.2 (Sample Coding with Security Tasks), 4.3 (Steps of Execution &amp; Navigation), 5.1 (Importance of Worked-Out Tasks), 5.2 (Further Enhancement in Future), 6.1 (References), and formal Roman preliminary pages for Project-1 (CE-502 / PRJ-701) scheduled for evaluation on 27th October 2026.</w:t>
      </w:r>
    </w:p>
    <w:tbl>
      <w:tblPr>
        <w:tblW w:type="auto" w:w="0"/>
        <w:jc w:val="center"/>
        <w:tblLook w:firstColumn="1" w:firstRow="1" w:lastColumn="0" w:lastRow="0" w:noHBand="0" w:noVBand="1" w:val="04A0"/>
      </w:tblPr>
      <w:tblGrid>
        <w:gridCol w:w="2376"/>
        <w:gridCol w:w="2376"/>
        <w:gridCol w:w="2376"/>
        <w:gridCol w:w="2376"/>
      </w:tblGrid>
      <w:tr>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EVALUATION MILESTONE</w:t>
            </w:r>
          </w:p>
        </w:tc>
        <w:tc>
          <w:tcPr>
            <w:tcW w:type="dxa" w:w="316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CURRICULUM SCOPE</w:t>
            </w:r>
          </w:p>
        </w:tc>
        <w:tc>
          <w:tcPr>
            <w:tcW w:type="dxa" w:w="115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MARKS</w:t>
            </w:r>
          </w:p>
        </w:tc>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VERIFICATION STATUS</w:t>
            </w:r>
          </w:p>
        </w:tc>
      </w:tr>
      <w:tr>
        <w:tc>
          <w:tcPr>
            <w:tcW w:type="dxa" w:w="3456"/>
            <w:shd w:fill="EFF6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First Progress Work (24/09/2026)</w:t>
            </w:r>
          </w:p>
        </w:tc>
        <w:tc>
          <w:tcPr>
            <w:tcW w:type="dxa" w:w="3168"/>
            <w:shd w:fill="EFF6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Sections 1.1, 1.2, 1.3, 2.1, 2.2</w:t>
            </w:r>
          </w:p>
        </w:tc>
        <w:tc>
          <w:tcPr>
            <w:tcW w:type="dxa" w:w="1152"/>
            <w:shd w:fill="EFF6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10 Marks</w:t>
            </w:r>
          </w:p>
        </w:tc>
        <w:tc>
          <w:tcPr>
            <w:tcW w:type="dxa" w:w="2592"/>
            <w:shd w:fill="EFF6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COMPLETED &amp; VERIFIED</w:t>
            </w:r>
          </w:p>
        </w:tc>
      </w:tr>
      <w:tr>
        <w:tc>
          <w:tcPr>
            <w:tcW w:type="dxa" w:w="3456"/>
            <w:shd w:fill="EFF6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Second Progress Work (13/10/2026)</w:t>
            </w:r>
          </w:p>
        </w:tc>
        <w:tc>
          <w:tcPr>
            <w:tcW w:type="dxa" w:w="3168"/>
            <w:shd w:fill="EFF6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Sections 2.3, 2.4, 3.1, 4.1</w:t>
            </w:r>
          </w:p>
        </w:tc>
        <w:tc>
          <w:tcPr>
            <w:tcW w:type="dxa" w:w="1152"/>
            <w:shd w:fill="EFF6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20 Marks</w:t>
            </w:r>
          </w:p>
        </w:tc>
        <w:tc>
          <w:tcPr>
            <w:tcW w:type="dxa" w:w="2592"/>
            <w:shd w:fill="EFF6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COMPLETED &amp; VERIFIED</w:t>
            </w:r>
          </w:p>
        </w:tc>
      </w:tr>
      <w:tr>
        <w:tc>
          <w:tcPr>
            <w:tcW w:type="dxa" w:w="3456"/>
            <w:shd w:fill="DCFCE7"/>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Third Progress Work (27/10/2026)</w:t>
            </w:r>
          </w:p>
        </w:tc>
        <w:tc>
          <w:tcPr>
            <w:tcW w:type="dxa" w:w="3168"/>
            <w:shd w:fill="DCFCE7"/>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Sections 4.2, 4.3, 5.1, 5.2, 6.1</w:t>
            </w:r>
          </w:p>
        </w:tc>
        <w:tc>
          <w:tcPr>
            <w:tcW w:type="dxa" w:w="1152"/>
            <w:shd w:fill="DCFCE7"/>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10 Marks</w:t>
            </w:r>
          </w:p>
        </w:tc>
        <w:tc>
          <w:tcPr>
            <w:tcW w:type="dxa" w:w="2592"/>
            <w:shd w:fill="DCFCE7"/>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5"/>
              </w:rPr>
              <w:t>EVALUATED &amp; DEMONSTRATED</w:t>
            </w:r>
          </w:p>
        </w:tc>
      </w:tr>
      <w:tr>
        <w:tc>
          <w:tcPr>
            <w:tcW w:type="dxa" w:w="3456"/>
            <w:shd w:fill="FFFF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Faculty Mentor &amp; Reviewer</w:t>
            </w:r>
          </w:p>
        </w:tc>
        <w:tc>
          <w:tcPr>
            <w:tcW w:type="dxa" w:w="3168"/>
            <w:shd w:fill="FFFF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Academic Verification Seal</w:t>
            </w:r>
          </w:p>
        </w:tc>
        <w:tc>
          <w:tcPr>
            <w:tcW w:type="dxa" w:w="1152"/>
            <w:shd w:fill="FFFF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Signed Copy</w:t>
            </w:r>
          </w:p>
        </w:tc>
        <w:tc>
          <w:tcPr>
            <w:tcW w:type="dxa" w:w="2592"/>
            <w:shd w:fill="FFFFFF"/>
            <w:tcMar>
              <w:top w:w="18" w:type="dxa"/>
              <w:bottom w:w="18"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___________________________</w:t>
            </w:r>
          </w:p>
        </w:tc>
      </w:tr>
    </w:tbl>
    <w:p>
      <w:pPr>
        <w:keepNext/>
        <w:spacing w:before="160" w:after="50"/>
        <w:jc w:val="left"/>
      </w:pPr>
      <w:r>
        <w:rPr>
          <w:rFonts w:ascii="Times New Roman" w:hAnsi="Times New Roman"/>
          <w:b/>
          <w:color w:val="0F172A"/>
          <w:sz w:val="28"/>
        </w:rPr>
        <w:t>ACKNOWLEDGMENT</w:t>
      </w:r>
    </w:p>
    <w:p>
      <w:pPr>
        <w:spacing w:before="0" w:after="70" w:line="276" w:lineRule="auto"/>
        <w:jc w:val="both"/>
      </w:pPr>
      <w:r>
        <w:rPr>
          <w:rFonts w:ascii="Times New Roman" w:hAnsi="Times New Roman"/>
          <w:i w:val="0"/>
          <w:color w:val="0F172A"/>
          <w:sz w:val="24"/>
        </w:rPr>
        <w:t>I express my profound gratitude to my project supervisor, faculty mentors, and academic advisors at Institute of Advanced Research (IAR) for their continued technical guidance, rigorous evaluations, and constructive critiques throughout the software implementation, sample coding, and testing phases of this project.</w:t>
      </w:r>
    </w:p>
    <w:p>
      <w:pPr>
        <w:spacing w:before="0" w:after="70" w:line="276" w:lineRule="auto"/>
        <w:jc w:val="both"/>
      </w:pPr>
      <w:r>
        <w:rPr>
          <w:rFonts w:ascii="Times New Roman" w:hAnsi="Times New Roman"/>
          <w:i w:val="0"/>
          <w:color w:val="0F172A"/>
          <w:sz w:val="24"/>
        </w:rPr>
        <w:t>I am equally thankful to the Head of the School and institutional computing administrators for providing laboratory computing clusters and software infrastructure required to complete the curriculum requirements of Project-1 (CE-502 / PRJ-701).</w:t>
      </w:r>
    </w:p>
    <w:p>
      <w:pPr>
        <w:spacing w:before="60" w:after="60" w:line="276" w:lineRule="auto"/>
        <w:jc w:val="right"/>
      </w:pPr>
      <w:r>
        <w:rPr>
          <w:rFonts w:ascii="Times New Roman" w:hAnsi="Times New Roman"/>
          <w:i/>
          <w:color w:val="0F172A"/>
          <w:sz w:val="24"/>
        </w:rPr>
        <w:t>Deep Koshiya | B.Sc. in AI &amp; Data Science (Semester V) | Date: 27/10/2026</w:t>
      </w:r>
    </w:p>
    <w:p>
      <w:r>
        <w:br w:type="page"/>
      </w:r>
    </w:p>
    <w:p>
      <w:pPr>
        <w:spacing w:before="0" w:after="20" w:line="276" w:lineRule="auto"/>
        <w:jc w:val="right"/>
      </w:pPr>
      <w:r>
        <w:rPr>
          <w:rFonts w:ascii="Times New Roman" w:hAnsi="Times New Roman"/>
          <w:i/>
          <w:color w:val="0F172A"/>
          <w:sz w:val="24"/>
        </w:rPr>
        <w:t>Page II</w:t>
      </w:r>
    </w:p>
    <w:p>
      <w:pPr>
        <w:keepNext/>
        <w:spacing w:before="20" w:after="40"/>
        <w:jc w:val="left"/>
      </w:pPr>
      <w:r>
        <w:rPr>
          <w:rFonts w:ascii="Times New Roman" w:hAnsi="Times New Roman"/>
          <w:b/>
          <w:color w:val="1E1B4B"/>
          <w:sz w:val="32"/>
        </w:rPr>
        <w:t>ABSTRACT</w:t>
      </w:r>
    </w:p>
    <w:p>
      <w:pPr>
        <w:spacing w:before="0" w:after="70" w:line="276" w:lineRule="auto"/>
        <w:jc w:val="both"/>
      </w:pPr>
      <w:r>
        <w:rPr>
          <w:rFonts w:ascii="Times New Roman" w:hAnsi="Times New Roman"/>
          <w:i w:val="0"/>
          <w:color w:val="0F172A"/>
          <w:sz w:val="24"/>
        </w:rPr>
        <w:t>Modern multi-channel e-commerce systems log massive transactional order streams across digital channels. However, standard Online Transaction Processing (OLTP) architectures record individual line items rather than synthesizing longitudinal customer journeys. Treating customer accounts as a homogenous entity leads to significant marketing waste, elevated customer acquisition costs (CAC), and undetected churn.</w:t>
      </w:r>
    </w:p>
    <w:p>
      <w:pPr>
        <w:spacing w:before="0" w:after="70" w:line="276" w:lineRule="auto"/>
        <w:jc w:val="both"/>
      </w:pPr>
      <w:r>
        <w:rPr>
          <w:rFonts w:ascii="Times New Roman" w:hAnsi="Times New Roman"/>
          <w:i w:val="0"/>
          <w:color w:val="0F172A"/>
          <w:sz w:val="24"/>
        </w:rPr>
        <w:t>The 'E-Commerce Customer Lifecycle &amp; RFM Segmentation Dashboard' resolves these commercial vulnerabilities through an end-to-end data analytics and unsupervised machine learning engineering system. The automated Python pipeline ingests raw transaction event logs, enforces strict schema typing, drops unauthenticated guest checkouts, segregates cancellations into an isolated audit store, and neutralizes wholesale volume spikes using Tukey's Interquartile Range (IQR) fences. A vectorized feature store calculates Recency, Frequency, Monetary spend, and Average Order Value (AOV). Monetary skewness is normalized using log1p compression and Z-score standardization before fitting unsupervised K-Means clustering (evaluated via Silhouette scores), supported by a deterministic 1–5 quantile scoring fallback mapping accounts to 8 operational business cohorts.</w:t>
      </w:r>
    </w:p>
    <w:p>
      <w:pPr>
        <w:spacing w:before="0" w:after="70" w:line="276" w:lineRule="auto"/>
        <w:jc w:val="both"/>
      </w:pPr>
      <w:r>
        <w:rPr>
          <w:rFonts w:ascii="Times New Roman" w:hAnsi="Times New Roman"/>
          <w:i w:val="0"/>
          <w:color w:val="0F172A"/>
          <w:sz w:val="24"/>
        </w:rPr>
        <w:t>This Third Phase Project Report delivers complete technical documentation for the 27/10/2026 evaluation milestone (10 Marks). It presents sample production code with cybersecurity controls (Section 4.2), step-by-step execution protocols and dashboard navigation workflows (Section 4.3), commercial importance of worked-out tasks (Section 5.1), roadmap for future artificial intelligence enhancements (Section 5.2), and comprehensive academic and technological references (Section 6.1).</w:t>
      </w:r>
    </w:p>
    <w:p>
      <w:r>
        <w:br w:type="page"/>
      </w:r>
    </w:p>
    <w:p>
      <w:pPr>
        <w:spacing w:before="0" w:after="20" w:line="276" w:lineRule="auto"/>
        <w:jc w:val="right"/>
      </w:pPr>
      <w:r>
        <w:rPr>
          <w:rFonts w:ascii="Times New Roman" w:hAnsi="Times New Roman"/>
          <w:i/>
          <w:color w:val="0F172A"/>
          <w:sz w:val="24"/>
        </w:rPr>
        <w:t>Page III</w:t>
      </w:r>
    </w:p>
    <w:p>
      <w:pPr>
        <w:keepNext/>
        <w:spacing w:before="40" w:after="20"/>
        <w:jc w:val="left"/>
      </w:pPr>
      <w:r>
        <w:rPr>
          <w:rFonts w:ascii="Times New Roman" w:hAnsi="Times New Roman"/>
          <w:b/>
          <w:color w:val="1E1B4B"/>
          <w:sz w:val="32"/>
        </w:rPr>
        <w:t>INDEX OF THE PROJECT REPORT</w:t>
      </w:r>
    </w:p>
    <w:p>
      <w:pPr>
        <w:spacing w:before="0" w:after="60" w:line="276" w:lineRule="auto"/>
        <w:jc w:val="both"/>
      </w:pPr>
      <w:r>
        <w:rPr>
          <w:rFonts w:ascii="Times New Roman" w:hAnsi="Times New Roman"/>
          <w:i/>
          <w:color w:val="0F172A"/>
          <w:sz w:val="24"/>
        </w:rPr>
        <w:t>(Structured strictly according to Syllabus Guidelines for B.Sc. AI and Data Science SEM V)</w:t>
      </w:r>
    </w:p>
    <w:tbl>
      <w:tblPr>
        <w:tblW w:type="auto" w:w="0"/>
        <w:jc w:val="center"/>
        <w:tblLook w:firstColumn="1" w:firstRow="1" w:lastColumn="0" w:lastRow="0" w:noHBand="0" w:noVBand="1" w:val="04A0"/>
      </w:tblPr>
      <w:tblGrid>
        <w:gridCol w:w="2376"/>
        <w:gridCol w:w="2376"/>
        <w:gridCol w:w="2376"/>
        <w:gridCol w:w="2376"/>
      </w:tblGrid>
      <w:tr>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SR.</w:t>
            </w:r>
          </w:p>
        </w:tc>
        <w:tc>
          <w:tcPr>
            <w:tcW w:type="dxa" w:w="460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CURRICULUM SECTION / TOPIC</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SCHEDULE</w:t>
            </w:r>
          </w:p>
        </w:tc>
        <w:tc>
          <w:tcPr>
            <w:tcW w:type="dxa" w:w="216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STATUS &amp; PAGE</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Progress Work Evaluation Certificate &amp; Acknowledgment</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I [Completed]</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Abstract</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II [Completed]</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Index of the Project Report</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III [Completed]</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List of Figures &amp; List of Tables</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IV [Completed]</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ABOUT THE SYSTEM (1.1 Problem, 1.2 Requirements, 1.3 Tools)</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1-3 [Completed]</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2.1</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Data Flow Diagrams (Level 0 Context, Level 1, Level 2 DFDs)</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4-6 [Completed]</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2.2</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Use Case Diagram &amp; Formal Specification Matrix</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7 [Completed]</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2.3-2.4</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UML Class Diagram &amp; UML Sequence Diagrams</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8-9 [Completed]</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3.1</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Data Dictionary: Star-Schema SQL/NoSQL Database Tables</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10-12 [Completed]</w:t>
            </w:r>
          </w:p>
        </w:tc>
      </w:tr>
      <w:tr>
        <w:tc>
          <w:tcPr>
            <w:tcW w:type="dxa" w:w="86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4.1</w:t>
            </w:r>
          </w:p>
        </w:tc>
        <w:tc>
          <w:tcPr>
            <w:tcW w:type="dxa" w:w="4608"/>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Screen Layouts with Operational Input Validations</w:t>
            </w:r>
          </w:p>
        </w:tc>
        <w:tc>
          <w:tcPr>
            <w:tcW w:type="dxa" w:w="1584"/>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shd w:fill="EFF6FF"/>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13-14 [Completed]</w:t>
            </w:r>
          </w:p>
        </w:tc>
      </w:tr>
      <w:tr>
        <w:tc>
          <w:tcPr>
            <w:tcW w:type="dxa" w:w="864"/>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4.2</w:t>
            </w:r>
          </w:p>
        </w:tc>
        <w:tc>
          <w:tcPr>
            <w:tcW w:type="dxa" w:w="4608"/>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Sample Coding (with Cybersecurity &amp; Integrity Tasks)</w:t>
            </w:r>
          </w:p>
        </w:tc>
        <w:tc>
          <w:tcPr>
            <w:tcW w:type="dxa" w:w="1584"/>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15-18 [Completed 27/10]</w:t>
            </w:r>
          </w:p>
        </w:tc>
      </w:tr>
      <w:tr>
        <w:tc>
          <w:tcPr>
            <w:tcW w:type="dxa" w:w="864"/>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4.3</w:t>
            </w:r>
          </w:p>
        </w:tc>
        <w:tc>
          <w:tcPr>
            <w:tcW w:type="dxa" w:w="4608"/>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Steps of Execution Project &amp; Dashboard Navigation</w:t>
            </w:r>
          </w:p>
        </w:tc>
        <w:tc>
          <w:tcPr>
            <w:tcW w:type="dxa" w:w="1584"/>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19-21 [Completed 27/10]</w:t>
            </w:r>
          </w:p>
        </w:tc>
      </w:tr>
      <w:tr>
        <w:tc>
          <w:tcPr>
            <w:tcW w:type="dxa" w:w="864"/>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5.1-5.2</w:t>
            </w:r>
          </w:p>
        </w:tc>
        <w:tc>
          <w:tcPr>
            <w:tcW w:type="dxa" w:w="4608"/>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Conclusion: Importance of Tasks &amp; Future Scope</w:t>
            </w:r>
          </w:p>
        </w:tc>
        <w:tc>
          <w:tcPr>
            <w:tcW w:type="dxa" w:w="1584"/>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22 [Completed 27/10]</w:t>
            </w:r>
          </w:p>
        </w:tc>
      </w:tr>
      <w:tr>
        <w:tc>
          <w:tcPr>
            <w:tcW w:type="dxa" w:w="864"/>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6.1</w:t>
            </w:r>
          </w:p>
        </w:tc>
        <w:tc>
          <w:tcPr>
            <w:tcW w:type="dxa" w:w="4608"/>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References (Academic Papers, Books, Technology, Webs)</w:t>
            </w:r>
          </w:p>
        </w:tc>
        <w:tc>
          <w:tcPr>
            <w:tcW w:type="dxa" w:w="1584"/>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shd w:fill="DCFCE7"/>
            <w:tcMar>
              <w:top w:w="11" w:type="dxa"/>
              <w:bottom w:w="11" w:type="dxa"/>
              <w:left w:w="25" w:type="dxa"/>
              <w:right w:w="2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23 [Completed 27/10]</w:t>
            </w:r>
          </w:p>
        </w:tc>
      </w:tr>
    </w:tbl>
    <w:p>
      <w:r>
        <w:br w:type="page"/>
      </w:r>
    </w:p>
    <w:p>
      <w:pPr>
        <w:spacing w:before="0" w:after="20" w:line="276" w:lineRule="auto"/>
        <w:jc w:val="right"/>
      </w:pPr>
      <w:r>
        <w:rPr>
          <w:rFonts w:ascii="Times New Roman" w:hAnsi="Times New Roman"/>
          <w:i/>
          <w:color w:val="0F172A"/>
          <w:sz w:val="24"/>
        </w:rPr>
        <w:t>Page IV</w:t>
      </w:r>
    </w:p>
    <w:p>
      <w:pPr>
        <w:keepNext/>
        <w:spacing w:before="120" w:after="40"/>
        <w:jc w:val="left"/>
      </w:pPr>
      <w:r>
        <w:rPr>
          <w:rFonts w:ascii="Times New Roman" w:hAnsi="Times New Roman"/>
          <w:b/>
          <w:color w:val="0F172A"/>
          <w:sz w:val="28"/>
        </w:rPr>
        <w:t>LIST OF FIGURES</w:t>
      </w:r>
    </w:p>
    <w:p>
      <w:pPr>
        <w:spacing w:before="0" w:after="40" w:line="276" w:lineRule="auto"/>
        <w:jc w:val="both"/>
      </w:pPr>
      <w:r>
        <w:rPr>
          <w:rFonts w:ascii="Times New Roman" w:hAnsi="Times New Roman"/>
          <w:i w:val="0"/>
          <w:color w:val="0F172A"/>
          <w:sz w:val="24"/>
        </w:rPr>
        <w:t>Figure 2.1: Level 0 Data Flow Diagram (Context-Level DFD)  . . . . . . . . . . . . . . . . . . . . Page 4</w:t>
      </w:r>
    </w:p>
    <w:p>
      <w:pPr>
        <w:spacing w:before="0" w:after="40" w:line="276" w:lineRule="auto"/>
        <w:jc w:val="both"/>
      </w:pPr>
      <w:r>
        <w:rPr>
          <w:rFonts w:ascii="Times New Roman" w:hAnsi="Times New Roman"/>
          <w:i w:val="0"/>
          <w:color w:val="0F172A"/>
          <w:sz w:val="24"/>
        </w:rPr>
        <w:t>Figure 2.2: Level 1 Data Flow Diagram (Pipeline Architecture)  . . . . . . . . . . . . . . . . . . . . Page 5</w:t>
      </w:r>
    </w:p>
    <w:p>
      <w:pPr>
        <w:spacing w:before="0" w:after="40" w:line="276" w:lineRule="auto"/>
        <w:jc w:val="both"/>
      </w:pPr>
      <w:r>
        <w:rPr>
          <w:rFonts w:ascii="Times New Roman" w:hAnsi="Times New Roman"/>
          <w:i w:val="0"/>
          <w:color w:val="0F172A"/>
          <w:sz w:val="24"/>
        </w:rPr>
        <w:t>Figure 2.3: Level 2 Data Flow Diagram (Refinery &amp; ML Decomposition)  . . . . . . . . . . . . . . . . . . . . Page 6</w:t>
      </w:r>
    </w:p>
    <w:p>
      <w:pPr>
        <w:spacing w:before="0" w:after="40" w:line="276" w:lineRule="auto"/>
        <w:jc w:val="both"/>
      </w:pPr>
      <w:r>
        <w:rPr>
          <w:rFonts w:ascii="Times New Roman" w:hAnsi="Times New Roman"/>
          <w:i w:val="0"/>
          <w:color w:val="0F172A"/>
          <w:sz w:val="24"/>
        </w:rPr>
        <w:t>Figure 2.4: UML Use Case Diagram (System Actors &amp; Functional Capabilities)  . . . . . . . . . . . . . . . . . . . . Page 7</w:t>
      </w:r>
    </w:p>
    <w:p>
      <w:pPr>
        <w:spacing w:before="0" w:after="40" w:line="276" w:lineRule="auto"/>
        <w:jc w:val="both"/>
      </w:pPr>
      <w:r>
        <w:rPr>
          <w:rFonts w:ascii="Times New Roman" w:hAnsi="Times New Roman"/>
          <w:i w:val="0"/>
          <w:color w:val="0F172A"/>
          <w:sz w:val="24"/>
        </w:rPr>
        <w:t>Figure 2.5: UML Class Diagram (Domain Model &amp; Pipeline Object Architecture)  . . . . . . . . . . . . . . . . . . . . Page 8</w:t>
      </w:r>
    </w:p>
    <w:p>
      <w:pPr>
        <w:spacing w:before="0" w:after="40" w:line="276" w:lineRule="auto"/>
        <w:jc w:val="both"/>
      </w:pPr>
      <w:r>
        <w:rPr>
          <w:rFonts w:ascii="Times New Roman" w:hAnsi="Times New Roman"/>
          <w:i w:val="0"/>
          <w:color w:val="0F172A"/>
          <w:sz w:val="24"/>
        </w:rPr>
        <w:t>Figure 2.6: UML Sequence Diagram (End-to-End Processing Workflow)  . . . . . . . . . . . . . . . . . . . . Page 9</w:t>
      </w:r>
    </w:p>
    <w:p>
      <w:pPr>
        <w:spacing w:before="0" w:after="40" w:line="276" w:lineRule="auto"/>
        <w:jc w:val="both"/>
      </w:pPr>
      <w:r>
        <w:rPr>
          <w:rFonts w:ascii="Times New Roman" w:hAnsi="Times New Roman"/>
          <w:i w:val="0"/>
          <w:color w:val="0F172A"/>
          <w:sz w:val="24"/>
        </w:rPr>
        <w:t>Figure 4.1: Implementation Screen Layouts with Operational Input Validations  . . . . . . . . . . . . . . . . . . . . Page 13</w:t>
      </w:r>
    </w:p>
    <w:p>
      <w:pPr>
        <w:spacing w:before="0" w:after="40" w:line="276" w:lineRule="auto"/>
        <w:jc w:val="both"/>
      </w:pPr>
      <w:r>
        <w:rPr>
          <w:rFonts w:ascii="Times New Roman" w:hAnsi="Times New Roman"/>
          <w:i w:val="0"/>
          <w:color w:val="0F172A"/>
          <w:sz w:val="24"/>
        </w:rPr>
        <w:t>Figure 4.2: K-Means Inertia Elbow Curve &amp; Silhouette Diagnostic Profile  . . . . . . . . . . . . . . . . . . . . Page 17</w:t>
      </w:r>
    </w:p>
    <w:p>
      <w:pPr>
        <w:spacing w:before="0" w:after="40" w:line="276" w:lineRule="auto"/>
        <w:jc w:val="both"/>
      </w:pPr>
      <w:r>
        <w:rPr>
          <w:rFonts w:ascii="Times New Roman" w:hAnsi="Times New Roman"/>
          <w:i w:val="0"/>
          <w:color w:val="0F172A"/>
          <w:sz w:val="24"/>
        </w:rPr>
        <w:t>Figure 4.3: Segment Revenue Share Donut &amp; Multi-Dimensional Spatial Scatterplot  . . . . . . . . . . . . . . . . . . . . Page 20</w:t>
      </w:r>
    </w:p>
    <w:p>
      <w:pPr>
        <w:keepNext/>
        <w:spacing w:before="160" w:after="40"/>
        <w:jc w:val="left"/>
      </w:pPr>
      <w:r>
        <w:rPr>
          <w:rFonts w:ascii="Times New Roman" w:hAnsi="Times New Roman"/>
          <w:b/>
          <w:color w:val="0F172A"/>
          <w:sz w:val="28"/>
        </w:rPr>
        <w:t>LIST OF TABLES</w:t>
      </w:r>
    </w:p>
    <w:p>
      <w:pPr>
        <w:spacing w:before="0" w:after="40" w:line="276" w:lineRule="auto"/>
        <w:jc w:val="both"/>
      </w:pPr>
      <w:r>
        <w:rPr>
          <w:rFonts w:ascii="Times New Roman" w:hAnsi="Times New Roman"/>
          <w:i w:val="0"/>
          <w:color w:val="0F172A"/>
          <w:sz w:val="24"/>
        </w:rPr>
        <w:t>Table 1.1: System Hardware &amp; Software Requirements Specification  . . . . . . . . . . . . . . . . . . . . Page 2</w:t>
      </w:r>
    </w:p>
    <w:p>
      <w:pPr>
        <w:spacing w:before="0" w:after="40" w:line="276" w:lineRule="auto"/>
        <w:jc w:val="both"/>
      </w:pPr>
      <w:r>
        <w:rPr>
          <w:rFonts w:ascii="Times New Roman" w:hAnsi="Times New Roman"/>
          <w:i w:val="0"/>
          <w:color w:val="0F172A"/>
          <w:sz w:val="24"/>
        </w:rPr>
        <w:t>Table 1.2: Technology Stack &amp; Architectural Layer Mapping  . . . . . . . . . . . . . . . . . . . . Page 3</w:t>
      </w:r>
    </w:p>
    <w:p>
      <w:pPr>
        <w:spacing w:before="0" w:after="40" w:line="276" w:lineRule="auto"/>
        <w:jc w:val="both"/>
      </w:pPr>
      <w:r>
        <w:rPr>
          <w:rFonts w:ascii="Times New Roman" w:hAnsi="Times New Roman"/>
          <w:i w:val="0"/>
          <w:color w:val="0F172A"/>
          <w:sz w:val="24"/>
        </w:rPr>
        <w:t>Table 2.1: Formal Use Case Specification Matrix (UC-01 to UC-06)  . . . . . . . . . . . . . . . . . . . . Page 7</w:t>
      </w:r>
    </w:p>
    <w:p>
      <w:pPr>
        <w:spacing w:before="0" w:after="40" w:line="276" w:lineRule="auto"/>
        <w:jc w:val="both"/>
      </w:pPr>
      <w:r>
        <w:rPr>
          <w:rFonts w:ascii="Times New Roman" w:hAnsi="Times New Roman"/>
          <w:i w:val="0"/>
          <w:color w:val="0F172A"/>
          <w:sz w:val="24"/>
        </w:rPr>
        <w:t>Table 3.1: FACT_TRANSACTIONS (Order-Level Fact Mart Schema)  . . . . . . . . . . . . . . . . . . . . Page 10</w:t>
      </w:r>
    </w:p>
    <w:p>
      <w:pPr>
        <w:spacing w:before="0" w:after="40" w:line="276" w:lineRule="auto"/>
        <w:jc w:val="both"/>
      </w:pPr>
      <w:r>
        <w:rPr>
          <w:rFonts w:ascii="Times New Roman" w:hAnsi="Times New Roman"/>
          <w:i w:val="0"/>
          <w:color w:val="0F172A"/>
          <w:sz w:val="24"/>
        </w:rPr>
        <w:t>Table 3.2: FACT_REVERSALS (Reverse Logistics Audit Fact Mart Schema)  . . . . . . . . . . . . . . . . . . . . Page 11</w:t>
      </w:r>
    </w:p>
    <w:p>
      <w:pPr>
        <w:spacing w:before="0" w:after="40" w:line="276" w:lineRule="auto"/>
        <w:jc w:val="both"/>
      </w:pPr>
      <w:r>
        <w:rPr>
          <w:rFonts w:ascii="Times New Roman" w:hAnsi="Times New Roman"/>
          <w:i w:val="0"/>
          <w:color w:val="0F172A"/>
          <w:sz w:val="24"/>
        </w:rPr>
        <w:t>Table 3.3: DIM_CUSTOMERS (Customer RFM &amp; Behavioral Dimension Mart)  . . . . . . . . . . . . . . . . . . . . Page 11</w:t>
      </w:r>
    </w:p>
    <w:p>
      <w:pPr>
        <w:spacing w:before="0" w:after="40" w:line="276" w:lineRule="auto"/>
        <w:jc w:val="both"/>
      </w:pPr>
      <w:r>
        <w:rPr>
          <w:rFonts w:ascii="Times New Roman" w:hAnsi="Times New Roman"/>
          <w:i w:val="0"/>
          <w:color w:val="0F172A"/>
          <w:sz w:val="24"/>
        </w:rPr>
        <w:t>Table 3.4: DIM_PRODUCTS (Catalog Item Dimension Mart Schema)  . . . . . . . . . . . . . . . . . . . . Page 12</w:t>
      </w:r>
    </w:p>
    <w:p>
      <w:pPr>
        <w:spacing w:before="0" w:after="40" w:line="276" w:lineRule="auto"/>
        <w:jc w:val="both"/>
      </w:pPr>
      <w:r>
        <w:rPr>
          <w:rFonts w:ascii="Times New Roman" w:hAnsi="Times New Roman"/>
          <w:i w:val="0"/>
          <w:color w:val="0F172A"/>
          <w:sz w:val="24"/>
        </w:rPr>
        <w:t>Table 3.5: DIM_DATE (Temporal Dimension Mart Schema)  . . . . . . . . . . . . . . . . . . . . Page 12</w:t>
      </w:r>
    </w:p>
    <w:p>
      <w:pPr>
        <w:spacing w:before="0" w:after="40" w:line="276" w:lineRule="auto"/>
        <w:jc w:val="both"/>
      </w:pPr>
      <w:r>
        <w:rPr>
          <w:rFonts w:ascii="Times New Roman" w:hAnsi="Times New Roman"/>
          <w:i w:val="0"/>
          <w:color w:val="0F172A"/>
          <w:sz w:val="24"/>
        </w:rPr>
        <w:t>Table 6.1: Project Progress Work Evaluation Schedule &amp; Milestone Tracking  . . . . . . . . . . . . . . . . . . . . Page 23</w:t>
      </w:r>
    </w:p>
    <w:p>
      <w:r>
        <w:br w:type="page"/>
      </w:r>
    </w:p>
    <w:p>
      <w:pPr>
        <w:spacing w:before="0" w:after="20" w:line="276" w:lineRule="auto"/>
        <w:jc w:val="right"/>
      </w:pPr>
      <w:r>
        <w:rPr>
          <w:rFonts w:ascii="Times New Roman" w:hAnsi="Times New Roman"/>
          <w:i/>
          <w:color w:val="0F172A"/>
          <w:sz w:val="24"/>
        </w:rPr>
        <w:t>Page 1</w:t>
      </w:r>
    </w:p>
    <w:p>
      <w:pPr>
        <w:keepNext/>
        <w:spacing w:before="140" w:after="50"/>
        <w:jc w:val="left"/>
      </w:pPr>
      <w:r>
        <w:rPr>
          <w:rFonts w:ascii="Times New Roman" w:hAnsi="Times New Roman"/>
          <w:b/>
          <w:color w:val="1E1B4B"/>
          <w:sz w:val="32"/>
        </w:rPr>
        <w:t>1. ABOUT THE SYSTEM:</w:t>
      </w:r>
    </w:p>
    <w:p>
      <w:pPr>
        <w:keepNext/>
        <w:spacing w:before="120" w:after="40"/>
        <w:jc w:val="left"/>
      </w:pPr>
      <w:r>
        <w:rPr>
          <w:rFonts w:ascii="Times New Roman" w:hAnsi="Times New Roman"/>
          <w:b/>
          <w:color w:val="0F172A"/>
          <w:sz w:val="28"/>
        </w:rPr>
        <w:t>1.1 Problem definition (Identification of needs):</w:t>
      </w:r>
    </w:p>
    <w:p>
      <w:pPr>
        <w:spacing w:before="0" w:after="70" w:line="276" w:lineRule="auto"/>
        <w:jc w:val="both"/>
      </w:pPr>
      <w:r>
        <w:rPr>
          <w:rFonts w:ascii="Times New Roman" w:hAnsi="Times New Roman"/>
          <w:i w:val="0"/>
          <w:color w:val="0F172A"/>
          <w:sz w:val="24"/>
        </w:rPr>
        <w:t>Modern digital commerce platforms capture high-velocity transactional event streams across web interfaces, mobile shopping applications, and digital points of sale. Standard Online Transaction Processing (OLTP) repositories excel at logging individual line-item orders. However, these systems record transactions rather than customer journeys. Without an automated analytics engineering layer that synthesizes transactional logs into longitudinal customer profiles, commercial decision-makers face severe visibility gaps.</w:t>
      </w:r>
    </w:p>
    <w:p>
      <w:pPr>
        <w:keepNext/>
        <w:spacing w:before="90" w:after="30"/>
        <w:jc w:val="left"/>
      </w:pPr>
      <w:r>
        <w:rPr>
          <w:rFonts w:ascii="Times New Roman" w:hAnsi="Times New Roman"/>
          <w:b/>
          <w:color w:val="0F172A"/>
          <w:sz w:val="24"/>
        </w:rPr>
        <w:t>1.1.1 Industry Background &amp; Commercial Challenges</w:t>
      </w:r>
    </w:p>
    <w:p>
      <w:pPr>
        <w:spacing w:before="0" w:after="70" w:line="276" w:lineRule="auto"/>
        <w:jc w:val="both"/>
      </w:pPr>
      <w:r>
        <w:rPr>
          <w:rFonts w:ascii="Times New Roman" w:hAnsi="Times New Roman"/>
          <w:i w:val="0"/>
          <w:color w:val="0F172A"/>
          <w:sz w:val="24"/>
        </w:rPr>
        <w:t>Digital retailers face rising customer acquisition costs (CAC) and declining organic retention. When marketing campaigns treat the customer base as a single homogenous audience, high-value repeat shoppers receive unnecessary discounts that erode gross margins, while dormant accounts slip into permanent churn without timely, targeted reactivation interventions.</w:t>
      </w:r>
    </w:p>
    <w:p>
      <w:pPr>
        <w:keepNext/>
        <w:spacing w:before="90" w:after="30"/>
        <w:jc w:val="left"/>
      </w:pPr>
      <w:r>
        <w:rPr>
          <w:rFonts w:ascii="Times New Roman" w:hAnsi="Times New Roman"/>
          <w:b/>
          <w:color w:val="0F172A"/>
          <w:sz w:val="24"/>
        </w:rPr>
        <w:t>1.1.2 Identification of Core Analytical Needs</w:t>
      </w:r>
    </w:p>
    <w:p>
      <w:pPr>
        <w:spacing w:before="0" w:after="70" w:line="276" w:lineRule="auto"/>
        <w:jc w:val="both"/>
      </w:pPr>
      <w:r>
        <w:rPr>
          <w:rFonts w:ascii="Times New Roman" w:hAnsi="Times New Roman"/>
          <w:b/>
          <w:color w:val="0F172A"/>
          <w:sz w:val="24"/>
        </w:rPr>
        <w:t xml:space="preserve">• Core Analytical Needs: </w:t>
      </w:r>
      <w:r>
        <w:rPr>
          <w:rFonts w:ascii="Times New Roman" w:hAnsi="Times New Roman"/>
          <w:i w:val="0"/>
          <w:color w:val="0F172A"/>
          <w:sz w:val="24"/>
        </w:rPr>
        <w:t>The system resolves four foundational operational bottlenecks:</w:t>
      </w:r>
    </w:p>
    <w:p>
      <w:pPr>
        <w:spacing w:before="0" w:after="70" w:line="276" w:lineRule="auto"/>
        <w:jc w:val="both"/>
      </w:pPr>
      <w:r>
        <w:rPr>
          <w:rFonts w:ascii="Times New Roman" w:hAnsi="Times New Roman"/>
          <w:b/>
          <w:color w:val="0F172A"/>
          <w:sz w:val="24"/>
        </w:rPr>
        <w:t xml:space="preserve">1. Data Refinery &amp; Anomaly Isolation: </w:t>
      </w:r>
      <w:r>
        <w:rPr>
          <w:rFonts w:ascii="Times New Roman" w:hAnsi="Times New Roman"/>
          <w:i w:val="0"/>
          <w:color w:val="0F172A"/>
          <w:sz w:val="24"/>
        </w:rPr>
        <w:t>Raw logs contain anonymous guest sessions, cancellations ('^C'), and wholesale bulk anomalies. An automated data refinery must enforce schema typing, isolate cancellations into an audit store, and cap volume spikes using Tukey's Interquartile Range (IQR) fences.</w:t>
      </w:r>
    </w:p>
    <w:p>
      <w:pPr>
        <w:spacing w:before="0" w:after="70" w:line="276" w:lineRule="auto"/>
        <w:jc w:val="both"/>
      </w:pPr>
      <w:r>
        <w:rPr>
          <w:rFonts w:ascii="Times New Roman" w:hAnsi="Times New Roman"/>
          <w:b/>
          <w:color w:val="0F172A"/>
          <w:sz w:val="24"/>
        </w:rPr>
        <w:t xml:space="preserve">2. Behavioral Feature Engineering (RFM): </w:t>
      </w:r>
      <w:r>
        <w:rPr>
          <w:rFonts w:ascii="Times New Roman" w:hAnsi="Times New Roman"/>
          <w:i w:val="0"/>
          <w:color w:val="0F172A"/>
          <w:sz w:val="24"/>
        </w:rPr>
        <w:t>The system must distill transaction streams into three normalized customer dimensions: Recency (days elapsed since last order relative to boundary T_obs = max(InvoiceDate) + 1), Frequency (distinct purchase visits), and Monetary spend (cumulative net value), alongside Average Order Value (AOV).</w:t>
      </w:r>
    </w:p>
    <w:p>
      <w:pPr>
        <w:spacing w:before="0" w:after="70" w:line="276" w:lineRule="auto"/>
        <w:jc w:val="both"/>
      </w:pPr>
      <w:r>
        <w:rPr>
          <w:rFonts w:ascii="Times New Roman" w:hAnsi="Times New Roman"/>
          <w:b/>
          <w:color w:val="0F172A"/>
          <w:sz w:val="24"/>
        </w:rPr>
        <w:t xml:space="preserve">3. Skew-Resistant Machine Learning: </w:t>
      </w:r>
      <w:r>
        <w:rPr>
          <w:rFonts w:ascii="Times New Roman" w:hAnsi="Times New Roman"/>
          <w:i w:val="0"/>
          <w:color w:val="0F172A"/>
          <w:sz w:val="24"/>
        </w:rPr>
        <w:t>Customer spending follows extreme Pareto distributions. Monetary skewness must be compressed via log1p transformation and Z-score standardization before fitting unsupervised K-Means models, supported by deterministic 1–5 quantile fallback scoring.</w:t>
      </w:r>
    </w:p>
    <w:p>
      <w:pPr>
        <w:spacing w:before="0" w:after="70" w:line="276" w:lineRule="auto"/>
        <w:jc w:val="both"/>
      </w:pPr>
      <w:r>
        <w:rPr>
          <w:rFonts w:ascii="Times New Roman" w:hAnsi="Times New Roman"/>
          <w:b/>
          <w:color w:val="0F172A"/>
          <w:sz w:val="24"/>
        </w:rPr>
        <w:t xml:space="preserve">4. Executive Visualization &amp; Activation: </w:t>
      </w:r>
      <w:r>
        <w:rPr>
          <w:rFonts w:ascii="Times New Roman" w:hAnsi="Times New Roman"/>
          <w:i w:val="0"/>
          <w:color w:val="0F172A"/>
          <w:sz w:val="24"/>
        </w:rPr>
        <w:t>Commercial leadership requires an interactive dashboard to visualize portfolio health, monitor at-risk revenue, and export targeted cohort lists directly into CRM marketing campaigns.</w:t>
      </w:r>
    </w:p>
    <w:p>
      <w:r>
        <w:br w:type="page"/>
      </w:r>
    </w:p>
    <w:p>
      <w:pPr>
        <w:spacing w:before="0" w:after="20" w:line="276" w:lineRule="auto"/>
        <w:jc w:val="right"/>
      </w:pPr>
      <w:r>
        <w:rPr>
          <w:rFonts w:ascii="Times New Roman" w:hAnsi="Times New Roman"/>
          <w:i/>
          <w:color w:val="0F172A"/>
          <w:sz w:val="24"/>
        </w:rPr>
        <w:t>Page 2</w:t>
      </w:r>
    </w:p>
    <w:p>
      <w:pPr>
        <w:keepNext/>
        <w:spacing w:before="120" w:after="40"/>
        <w:jc w:val="left"/>
      </w:pPr>
      <w:r>
        <w:rPr>
          <w:rFonts w:ascii="Times New Roman" w:hAnsi="Times New Roman"/>
          <w:b/>
          <w:color w:val="0F172A"/>
          <w:sz w:val="28"/>
        </w:rPr>
        <w:t>1.2 Requirement Specifications (Product/System Tasks)</w:t>
      </w:r>
    </w:p>
    <w:p>
      <w:pPr>
        <w:spacing w:before="0" w:after="70" w:line="276" w:lineRule="auto"/>
        <w:jc w:val="both"/>
      </w:pPr>
      <w:r>
        <w:rPr>
          <w:rFonts w:ascii="Times New Roman" w:hAnsi="Times New Roman"/>
          <w:i w:val="0"/>
          <w:color w:val="0F172A"/>
          <w:sz w:val="24"/>
        </w:rPr>
        <w:t>The requirements formally define system capabilities, data validation boundaries, and operational constraints for the E-Commerce Customer Lifecycle &amp; RFM Segmentation platform.</w:t>
      </w:r>
    </w:p>
    <w:p>
      <w:pPr>
        <w:keepNext/>
        <w:spacing w:before="90" w:after="30"/>
        <w:jc w:val="left"/>
      </w:pPr>
      <w:r>
        <w:rPr>
          <w:rFonts w:ascii="Times New Roman" w:hAnsi="Times New Roman"/>
          <w:b/>
          <w:color w:val="0F172A"/>
          <w:sz w:val="24"/>
        </w:rPr>
        <w:t>1.2.1 Functional Requirements Specifications (FR)</w:t>
      </w:r>
    </w:p>
    <w:p>
      <w:pPr>
        <w:spacing w:before="0" w:after="70" w:line="276" w:lineRule="auto"/>
        <w:jc w:val="both"/>
      </w:pPr>
      <w:r>
        <w:rPr>
          <w:rFonts w:ascii="Times New Roman" w:hAnsi="Times New Roman"/>
          <w:b/>
          <w:color w:val="0F172A"/>
          <w:sz w:val="24"/>
        </w:rPr>
        <w:t xml:space="preserve">• FR-01 (Ingestion &amp; Schema Typing): </w:t>
      </w:r>
      <w:r>
        <w:rPr>
          <w:rFonts w:ascii="Times New Roman" w:hAnsi="Times New Roman"/>
          <w:i w:val="0"/>
          <w:color w:val="0F172A"/>
          <w:sz w:val="24"/>
        </w:rPr>
        <w:t>Ingests raw CSV logs, enforces typing (InvoiceDate to datetime64[ns], Quantity and UnitPrice to floats), and sanitizes product description text.</w:t>
      </w:r>
    </w:p>
    <w:p>
      <w:pPr>
        <w:spacing w:before="0" w:after="70" w:line="276" w:lineRule="auto"/>
        <w:jc w:val="both"/>
      </w:pPr>
      <w:r>
        <w:rPr>
          <w:rFonts w:ascii="Times New Roman" w:hAnsi="Times New Roman"/>
          <w:b/>
          <w:color w:val="0F172A"/>
          <w:sz w:val="24"/>
        </w:rPr>
        <w:t xml:space="preserve">• FR-02 (Missing Entity Resolution): </w:t>
      </w:r>
      <w:r>
        <w:rPr>
          <w:rFonts w:ascii="Times New Roman" w:hAnsi="Times New Roman"/>
          <w:i w:val="0"/>
          <w:color w:val="0F172A"/>
          <w:sz w:val="24"/>
        </w:rPr>
        <w:t>Detects and drops unauthenticated guest checkouts lacking CustomerID to preserve longitudinal cohort integrity.</w:t>
      </w:r>
    </w:p>
    <w:p>
      <w:pPr>
        <w:spacing w:before="0" w:after="70" w:line="276" w:lineRule="auto"/>
        <w:jc w:val="both"/>
      </w:pPr>
      <w:r>
        <w:rPr>
          <w:rFonts w:ascii="Times New Roman" w:hAnsi="Times New Roman"/>
          <w:b/>
          <w:color w:val="0F172A"/>
          <w:sz w:val="24"/>
        </w:rPr>
        <w:t xml:space="preserve">• FR-03 (Reverse Logistics Segregation): </w:t>
      </w:r>
      <w:r>
        <w:rPr>
          <w:rFonts w:ascii="Times New Roman" w:hAnsi="Times New Roman"/>
          <w:i w:val="0"/>
          <w:color w:val="0F172A"/>
          <w:sz w:val="24"/>
        </w:rPr>
        <w:t>Isolates credit notes, cancellations ('^C'), and non-positive quantities into an audit store (fact_reversals_audit.csv).</w:t>
      </w:r>
    </w:p>
    <w:p>
      <w:pPr>
        <w:spacing w:before="0" w:after="70" w:line="276" w:lineRule="auto"/>
        <w:jc w:val="both"/>
      </w:pPr>
      <w:r>
        <w:rPr>
          <w:rFonts w:ascii="Times New Roman" w:hAnsi="Times New Roman"/>
          <w:b/>
          <w:color w:val="0F172A"/>
          <w:sz w:val="24"/>
        </w:rPr>
        <w:t xml:space="preserve">• FR-04 (Tukey IQR Outlier Capping): </w:t>
      </w:r>
      <w:r>
        <w:rPr>
          <w:rFonts w:ascii="Times New Roman" w:hAnsi="Times New Roman"/>
          <w:i w:val="0"/>
          <w:color w:val="0F172A"/>
          <w:sz w:val="24"/>
        </w:rPr>
        <w:t>Applies Tukey fences [Q1 - 1.5*IQR, Q3 + 1.5*IQR] to eliminate wholesale bulk distributor anomalies.</w:t>
      </w:r>
    </w:p>
    <w:p>
      <w:pPr>
        <w:spacing w:before="0" w:after="70" w:line="276" w:lineRule="auto"/>
        <w:jc w:val="both"/>
      </w:pPr>
      <w:r>
        <w:rPr>
          <w:rFonts w:ascii="Times New Roman" w:hAnsi="Times New Roman"/>
          <w:b/>
          <w:color w:val="0F172A"/>
          <w:sz w:val="24"/>
        </w:rPr>
        <w:t xml:space="preserve">• FR-05 (Vectorized RFM Derivation): </w:t>
      </w:r>
      <w:r>
        <w:rPr>
          <w:rFonts w:ascii="Times New Roman" w:hAnsi="Times New Roman"/>
          <w:i w:val="0"/>
          <w:color w:val="0F172A"/>
          <w:sz w:val="24"/>
        </w:rPr>
        <w:t>Computes snapshot boundary T_obs = max(InvoiceDate) + 1 day and derives customer Recency, Frequency, Spend, and AOV.</w:t>
      </w:r>
    </w:p>
    <w:p>
      <w:pPr>
        <w:spacing w:before="0" w:after="70" w:line="276" w:lineRule="auto"/>
        <w:jc w:val="both"/>
      </w:pPr>
      <w:r>
        <w:rPr>
          <w:rFonts w:ascii="Times New Roman" w:hAnsi="Times New Roman"/>
          <w:b/>
          <w:color w:val="0F172A"/>
          <w:sz w:val="24"/>
        </w:rPr>
        <w:t xml:space="preserve">• FR-06 (ML Clustering &amp; Quantile Scoring): </w:t>
      </w:r>
      <w:r>
        <w:rPr>
          <w:rFonts w:ascii="Times New Roman" w:hAnsi="Times New Roman"/>
          <w:i w:val="0"/>
          <w:color w:val="0F172A"/>
          <w:sz w:val="24"/>
        </w:rPr>
        <w:t>Applies log1p transformation and StandardScaler, fits K-Means clustering, and assigns 1–5 quantile scores mapping to 8 business cohorts.</w:t>
      </w:r>
    </w:p>
    <w:p>
      <w:pPr>
        <w:keepNext/>
        <w:spacing w:before="90" w:after="30"/>
        <w:jc w:val="left"/>
      </w:pPr>
      <w:r>
        <w:rPr>
          <w:rFonts w:ascii="Times New Roman" w:hAnsi="Times New Roman"/>
          <w:b/>
          <w:color w:val="0F172A"/>
          <w:sz w:val="24"/>
        </w:rPr>
        <w:t>1.2.2 Non-Functional Requirements Specifications (NFR)</w:t>
      </w:r>
    </w:p>
    <w:p>
      <w:pPr>
        <w:spacing w:before="0" w:after="70" w:line="276" w:lineRule="auto"/>
        <w:jc w:val="both"/>
      </w:pPr>
      <w:r>
        <w:rPr>
          <w:rFonts w:ascii="Times New Roman" w:hAnsi="Times New Roman"/>
          <w:b/>
          <w:color w:val="0F172A"/>
          <w:sz w:val="24"/>
        </w:rPr>
        <w:t xml:space="preserve">• NFR-01 (Performance &amp; Latency): </w:t>
      </w:r>
      <w:r>
        <w:rPr>
          <w:rFonts w:ascii="Times New Roman" w:hAnsi="Times New Roman"/>
          <w:i w:val="0"/>
          <w:color w:val="0F172A"/>
          <w:sz w:val="24"/>
        </w:rPr>
        <w:t>Processes 15,000+ transaction rows in under 5.0 seconds using vectorized Pandas C-routines.</w:t>
      </w:r>
    </w:p>
    <w:p>
      <w:pPr>
        <w:spacing w:before="0" w:after="70" w:line="276" w:lineRule="auto"/>
        <w:jc w:val="both"/>
      </w:pPr>
      <w:r>
        <w:rPr>
          <w:rFonts w:ascii="Times New Roman" w:hAnsi="Times New Roman"/>
          <w:b/>
          <w:color w:val="0F172A"/>
          <w:sz w:val="24"/>
        </w:rPr>
        <w:t xml:space="preserve">• NFR-02 (Algorithmic Reproducibility): </w:t>
      </w:r>
      <w:r>
        <w:rPr>
          <w:rFonts w:ascii="Times New Roman" w:hAnsi="Times New Roman"/>
          <w:i w:val="0"/>
          <w:color w:val="0F172A"/>
          <w:sz w:val="24"/>
        </w:rPr>
        <w:t>Fixed random seeds (seed=42) guarantee 100% deterministic, reproducible clustering across environments.</w:t>
      </w:r>
    </w:p>
    <w:p>
      <w:pPr>
        <w:spacing w:before="0" w:after="70" w:line="276" w:lineRule="auto"/>
        <w:jc w:val="both"/>
      </w:pPr>
      <w:r>
        <w:rPr>
          <w:rFonts w:ascii="Times New Roman" w:hAnsi="Times New Roman"/>
          <w:b/>
          <w:color w:val="0F172A"/>
          <w:sz w:val="24"/>
        </w:rPr>
        <w:t xml:space="preserve">• NFR-03 (Modularity &amp; Architecture): </w:t>
      </w:r>
      <w:r>
        <w:rPr>
          <w:rFonts w:ascii="Times New Roman" w:hAnsi="Times New Roman"/>
          <w:i w:val="0"/>
          <w:color w:val="0F172A"/>
          <w:sz w:val="24"/>
        </w:rPr>
        <w:t>Modular Python architecture with clean star-schema marts (FACT_TRANSACTIONS, DIM_CUSTOMERS).</w:t>
      </w:r>
    </w:p>
    <w:p>
      <w:pPr>
        <w:spacing w:before="50" w:after="70"/>
        <w:jc w:val="center"/>
      </w:pPr>
      <w:r>
        <w:rPr>
          <w:rFonts w:ascii="Times New Roman" w:hAnsi="Times New Roman"/>
          <w:b/>
          <w:color w:val="475569"/>
          <w:sz w:val="19"/>
        </w:rPr>
        <w:t>Table 1.1: System Hardware &amp; Software Requirements Specification</w:t>
      </w:r>
    </w:p>
    <w:tbl>
      <w:tblPr>
        <w:tblW w:type="auto" w:w="0"/>
        <w:jc w:val="center"/>
        <w:tblLook w:firstColumn="1" w:firstRow="1" w:lastColumn="0" w:lastRow="0" w:noHBand="0" w:noVBand="1" w:val="04A0"/>
      </w:tblPr>
      <w:tblGrid>
        <w:gridCol w:w="3168"/>
        <w:gridCol w:w="3168"/>
        <w:gridCol w:w="3168"/>
      </w:tblGrid>
      <w:tr>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SYSTEM SPECIFICATION</w:t>
            </w:r>
          </w:p>
        </w:tc>
        <w:tc>
          <w:tcPr>
            <w:tcW w:type="dxa" w:w="316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MINIMUM REQUIREMENT</w:t>
            </w:r>
          </w:p>
        </w:tc>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DEPLOYED PROJECT ENVIRONMENT</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Processor / CPU</w:t>
            </w:r>
          </w:p>
        </w:tc>
        <w:tc>
          <w:tcPr>
            <w:tcW w:type="dxa" w:w="3168"/>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Dual-Core x86_64 or ARM64 (2.0 GHz)</w:t>
            </w:r>
          </w:p>
        </w:tc>
        <w:tc>
          <w:tcPr>
            <w:tcW w:type="dxa" w:w="3456"/>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Apple Silicon M-Series / Intel Core i5/i7 (8-Core+)</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System Memory (RAM)</w:t>
            </w:r>
          </w:p>
        </w:tc>
        <w:tc>
          <w:tcPr>
            <w:tcW w:type="dxa" w:w="3168"/>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4 GB DDR3/DDR4</w:t>
            </w:r>
          </w:p>
        </w:tc>
        <w:tc>
          <w:tcPr>
            <w:tcW w:type="dxa" w:w="3456"/>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8 GB to 16 GB Unified Memory Architecture</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Storage Subsystem</w:t>
            </w:r>
          </w:p>
        </w:tc>
        <w:tc>
          <w:tcPr>
            <w:tcW w:type="dxa" w:w="3168"/>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500 MB Free Disk Space</w:t>
            </w:r>
          </w:p>
        </w:tc>
        <w:tc>
          <w:tcPr>
            <w:tcW w:type="dxa" w:w="3456"/>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Solid State Drive (NVMe SSD)</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Operating System</w:t>
            </w:r>
          </w:p>
        </w:tc>
        <w:tc>
          <w:tcPr>
            <w:tcW w:type="dxa" w:w="3168"/>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macOS 12+, Ubuntu 20.04+, Windows 10+</w:t>
            </w:r>
          </w:p>
        </w:tc>
        <w:tc>
          <w:tcPr>
            <w:tcW w:type="dxa" w:w="3456"/>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macOS Darwin (Unix POSIX Environment)</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Execution Runtimes</w:t>
            </w:r>
          </w:p>
        </w:tc>
        <w:tc>
          <w:tcPr>
            <w:tcW w:type="dxa" w:w="3168"/>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Python 3.9+, Modern Web Browser</w:t>
            </w:r>
          </w:p>
        </w:tc>
        <w:tc>
          <w:tcPr>
            <w:tcW w:type="dxa" w:w="3456"/>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Python 3.9.6, Safari, Google Chrome, VS Code</w:t>
            </w:r>
          </w:p>
        </w:tc>
      </w:tr>
    </w:tbl>
    <w:p>
      <w:r>
        <w:br w:type="page"/>
      </w:r>
    </w:p>
    <w:p>
      <w:pPr>
        <w:spacing w:before="0" w:after="20" w:line="276" w:lineRule="auto"/>
        <w:jc w:val="right"/>
      </w:pPr>
      <w:r>
        <w:rPr>
          <w:rFonts w:ascii="Times New Roman" w:hAnsi="Times New Roman"/>
          <w:i/>
          <w:color w:val="0F172A"/>
          <w:sz w:val="24"/>
        </w:rPr>
        <w:t>Page 3</w:t>
      </w:r>
    </w:p>
    <w:p>
      <w:pPr>
        <w:keepNext/>
        <w:spacing w:before="120" w:after="40"/>
        <w:jc w:val="left"/>
      </w:pPr>
      <w:r>
        <w:rPr>
          <w:rFonts w:ascii="Times New Roman" w:hAnsi="Times New Roman"/>
          <w:b/>
          <w:color w:val="0F172A"/>
          <w:sz w:val="28"/>
        </w:rPr>
        <w:t>1.3 Tools and Technology Used (Front-End/Back-End/Framework/API/Services)</w:t>
      </w:r>
    </w:p>
    <w:p>
      <w:pPr>
        <w:spacing w:before="0" w:after="70" w:line="276" w:lineRule="auto"/>
        <w:jc w:val="both"/>
      </w:pPr>
      <w:r>
        <w:rPr>
          <w:rFonts w:ascii="Times New Roman" w:hAnsi="Times New Roman"/>
          <w:i w:val="0"/>
          <w:color w:val="0F172A"/>
          <w:sz w:val="24"/>
        </w:rPr>
        <w:t>The project implements a modern analytical engineering stack selected for computational throughput, mathematical precision, and interactive visual analytics.</w:t>
      </w:r>
    </w:p>
    <w:p>
      <w:pPr>
        <w:keepNext/>
        <w:spacing w:before="90" w:after="30"/>
        <w:jc w:val="left"/>
      </w:pPr>
      <w:r>
        <w:rPr>
          <w:rFonts w:ascii="Times New Roman" w:hAnsi="Times New Roman"/>
          <w:b/>
          <w:color w:val="0F172A"/>
          <w:sz w:val="24"/>
        </w:rPr>
        <w:t>1.3.1 Data Engineering &amp; Numerical Computing</w:t>
      </w:r>
    </w:p>
    <w:p>
      <w:pPr>
        <w:spacing w:before="0" w:after="70" w:line="276" w:lineRule="auto"/>
        <w:jc w:val="both"/>
      </w:pPr>
      <w:r>
        <w:rPr>
          <w:rFonts w:ascii="Times New Roman" w:hAnsi="Times New Roman"/>
          <w:b/>
          <w:color w:val="0F172A"/>
          <w:sz w:val="24"/>
        </w:rPr>
        <w:t xml:space="preserve">• Python 3.9+: </w:t>
      </w:r>
      <w:r>
        <w:rPr>
          <w:rFonts w:ascii="Times New Roman" w:hAnsi="Times New Roman"/>
          <w:i w:val="0"/>
          <w:color w:val="0F172A"/>
          <w:sz w:val="24"/>
        </w:rPr>
        <w:t>Core programming runtime executing optimized C-extensions for data science.</w:t>
      </w:r>
    </w:p>
    <w:p>
      <w:pPr>
        <w:spacing w:before="0" w:after="70" w:line="276" w:lineRule="auto"/>
        <w:jc w:val="both"/>
      </w:pPr>
      <w:r>
        <w:rPr>
          <w:rFonts w:ascii="Times New Roman" w:hAnsi="Times New Roman"/>
          <w:b/>
          <w:color w:val="0F172A"/>
          <w:sz w:val="24"/>
        </w:rPr>
        <w:t xml:space="preserve">• Pandas (v2.3.3): </w:t>
      </w:r>
      <w:r>
        <w:rPr>
          <w:rFonts w:ascii="Times New Roman" w:hAnsi="Times New Roman"/>
          <w:i w:val="0"/>
          <w:color w:val="0F172A"/>
          <w:sz w:val="24"/>
        </w:rPr>
        <w:t>Vectorized group aggregations, type coercion, datetime logic, and quantile ranking (pd.qcut).</w:t>
      </w:r>
    </w:p>
    <w:p>
      <w:pPr>
        <w:spacing w:before="0" w:after="70" w:line="276" w:lineRule="auto"/>
        <w:jc w:val="both"/>
      </w:pPr>
      <w:r>
        <w:rPr>
          <w:rFonts w:ascii="Times New Roman" w:hAnsi="Times New Roman"/>
          <w:b/>
          <w:color w:val="0F172A"/>
          <w:sz w:val="24"/>
        </w:rPr>
        <w:t xml:space="preserve">• NumPy (v2.0.2): </w:t>
      </w:r>
      <w:r>
        <w:rPr>
          <w:rFonts w:ascii="Times New Roman" w:hAnsi="Times New Roman"/>
          <w:i w:val="0"/>
          <w:color w:val="0F172A"/>
          <w:sz w:val="24"/>
        </w:rPr>
        <w:t>Multidimensional array manipulations, logarithmic transformations (log1p), and Tukey fence outlier calculations.</w:t>
      </w:r>
    </w:p>
    <w:p>
      <w:pPr>
        <w:keepNext/>
        <w:spacing w:before="90" w:after="30"/>
        <w:jc w:val="left"/>
      </w:pPr>
      <w:r>
        <w:rPr>
          <w:rFonts w:ascii="Times New Roman" w:hAnsi="Times New Roman"/>
          <w:b/>
          <w:color w:val="0F172A"/>
          <w:sz w:val="24"/>
        </w:rPr>
        <w:t>1.3.2 Machine Learning &amp; Statistical Computing</w:t>
      </w:r>
    </w:p>
    <w:p>
      <w:pPr>
        <w:spacing w:before="0" w:after="70" w:line="276" w:lineRule="auto"/>
        <w:jc w:val="both"/>
      </w:pPr>
      <w:r>
        <w:rPr>
          <w:rFonts w:ascii="Times New Roman" w:hAnsi="Times New Roman"/>
          <w:b/>
          <w:color w:val="0F172A"/>
          <w:sz w:val="24"/>
        </w:rPr>
        <w:t xml:space="preserve">• Scikit-Learn (v1.6.1): </w:t>
      </w:r>
      <w:r>
        <w:rPr>
          <w:rFonts w:ascii="Times New Roman" w:hAnsi="Times New Roman"/>
          <w:i w:val="0"/>
          <w:color w:val="0F172A"/>
          <w:sz w:val="24"/>
        </w:rPr>
        <w:t>StandardScaler feature normalization, KMeans with k-means++ initialization, and Silhouette diagnostics.</w:t>
      </w:r>
    </w:p>
    <w:p>
      <w:pPr>
        <w:spacing w:before="0" w:after="70" w:line="276" w:lineRule="auto"/>
        <w:jc w:val="both"/>
      </w:pPr>
      <w:r>
        <w:rPr>
          <w:rFonts w:ascii="Times New Roman" w:hAnsi="Times New Roman"/>
          <w:b/>
          <w:color w:val="0F172A"/>
          <w:sz w:val="24"/>
        </w:rPr>
        <w:t xml:space="preserve">• SciPy (v1.13.1): </w:t>
      </w:r>
      <w:r>
        <w:rPr>
          <w:rFonts w:ascii="Times New Roman" w:hAnsi="Times New Roman"/>
          <w:i w:val="0"/>
          <w:color w:val="0F172A"/>
          <w:sz w:val="24"/>
        </w:rPr>
        <w:t>Statistical distributions and spatial distance metric calculations across multidimensional vectors.</w:t>
      </w:r>
    </w:p>
    <w:p>
      <w:pPr>
        <w:keepNext/>
        <w:spacing w:before="90" w:after="30"/>
        <w:jc w:val="left"/>
      </w:pPr>
      <w:r>
        <w:rPr>
          <w:rFonts w:ascii="Times New Roman" w:hAnsi="Times New Roman"/>
          <w:b/>
          <w:color w:val="0F172A"/>
          <w:sz w:val="24"/>
        </w:rPr>
        <w:t>1.3.3 Presentation, Dashboards &amp; Dimensional Data Marts</w:t>
      </w:r>
    </w:p>
    <w:p>
      <w:pPr>
        <w:spacing w:before="0" w:after="70" w:line="276" w:lineRule="auto"/>
        <w:jc w:val="both"/>
      </w:pPr>
      <w:r>
        <w:rPr>
          <w:rFonts w:ascii="Times New Roman" w:hAnsi="Times New Roman"/>
          <w:b/>
          <w:color w:val="0F172A"/>
          <w:sz w:val="24"/>
        </w:rPr>
        <w:t xml:space="preserve">• HTML5 &amp; Tailwind CSS: </w:t>
      </w:r>
      <w:r>
        <w:rPr>
          <w:rFonts w:ascii="Times New Roman" w:hAnsi="Times New Roman"/>
          <w:i w:val="0"/>
          <w:color w:val="0F172A"/>
          <w:sz w:val="24"/>
        </w:rPr>
        <w:t>Utility-first responsive framework delivering clean dark/light executive UI layouts.</w:t>
      </w:r>
    </w:p>
    <w:p>
      <w:pPr>
        <w:spacing w:before="0" w:after="70" w:line="276" w:lineRule="auto"/>
        <w:jc w:val="both"/>
      </w:pPr>
      <w:r>
        <w:rPr>
          <w:rFonts w:ascii="Times New Roman" w:hAnsi="Times New Roman"/>
          <w:b/>
          <w:color w:val="0F172A"/>
          <w:sz w:val="24"/>
        </w:rPr>
        <w:t xml:space="preserve">• Chart.js: </w:t>
      </w:r>
      <w:r>
        <w:rPr>
          <w:rFonts w:ascii="Times New Roman" w:hAnsi="Times New Roman"/>
          <w:i w:val="0"/>
          <w:color w:val="0F172A"/>
          <w:sz w:val="24"/>
        </w:rPr>
        <w:t>Client-side canvas graphing engine driving interactive revenue donuts and spatial RFM bubble charts.</w:t>
      </w:r>
    </w:p>
    <w:p>
      <w:pPr>
        <w:spacing w:before="0" w:after="70" w:line="276" w:lineRule="auto"/>
        <w:jc w:val="both"/>
      </w:pPr>
      <w:r>
        <w:rPr>
          <w:rFonts w:ascii="Times New Roman" w:hAnsi="Times New Roman"/>
          <w:b/>
          <w:color w:val="0F172A"/>
          <w:sz w:val="24"/>
        </w:rPr>
        <w:t xml:space="preserve">• Analytical Data Marts: </w:t>
      </w:r>
      <w:r>
        <w:rPr>
          <w:rFonts w:ascii="Times New Roman" w:hAnsi="Times New Roman"/>
          <w:i w:val="0"/>
          <w:color w:val="0F172A"/>
          <w:sz w:val="24"/>
        </w:rPr>
        <w:t>Star-schema dimensional storage (FACT_TRANSACTIONS, DIM_CUSTOMERS) enabling Tableau/Power BI connectivity.</w:t>
      </w:r>
    </w:p>
    <w:p>
      <w:pPr>
        <w:spacing w:before="50" w:after="70"/>
        <w:jc w:val="center"/>
      </w:pPr>
      <w:r>
        <w:rPr>
          <w:rFonts w:ascii="Times New Roman" w:hAnsi="Times New Roman"/>
          <w:b/>
          <w:color w:val="475569"/>
          <w:sz w:val="19"/>
        </w:rPr>
        <w:t>Table 1.2: Technology Stack &amp; Architectural Layer Mapping</w:t>
      </w:r>
    </w:p>
    <w:tbl>
      <w:tblPr>
        <w:tblW w:type="auto" w:w="0"/>
        <w:jc w:val="center"/>
        <w:tblLook w:firstColumn="1" w:firstRow="1" w:lastColumn="0" w:lastRow="0" w:noHBand="0" w:noVBand="1" w:val="04A0"/>
      </w:tblPr>
      <w:tblGrid>
        <w:gridCol w:w="3168"/>
        <w:gridCol w:w="3168"/>
        <w:gridCol w:w="3168"/>
      </w:tblGrid>
      <w:tr>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ARCHITECTURAL LAYER</w:t>
            </w:r>
          </w:p>
        </w:tc>
        <w:tc>
          <w:tcPr>
            <w:tcW w:type="dxa" w:w="288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TECHNOLOGY / FRAMEWORK</w:t>
            </w:r>
          </w:p>
        </w:tc>
        <w:tc>
          <w:tcPr>
            <w:tcW w:type="dxa" w:w="374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PRIMARY OPERATIONAL RESPONSIBILITY</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Ingestion &amp; Refinery</w:t>
            </w:r>
          </w:p>
        </w:tc>
        <w:tc>
          <w:tcPr>
            <w:tcW w:type="dxa" w:w="2880"/>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Python, Pandas, NumPy</w:t>
            </w:r>
          </w:p>
        </w:tc>
        <w:tc>
          <w:tcPr>
            <w:tcW w:type="dxa" w:w="3744"/>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Schema typing, null dropping, cancellation segregation, Tukey IQR fences</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Feature Engineering</w:t>
            </w:r>
          </w:p>
        </w:tc>
        <w:tc>
          <w:tcPr>
            <w:tcW w:type="dxa" w:w="2880"/>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Pandas GroupBy, Datetime</w:t>
            </w:r>
          </w:p>
        </w:tc>
        <w:tc>
          <w:tcPr>
            <w:tcW w:type="dxa" w:w="3744"/>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Derivation of customer Recency, Frequency, Monetary spend, and AOV</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Machine Learning</w:t>
            </w:r>
          </w:p>
        </w:tc>
        <w:tc>
          <w:tcPr>
            <w:tcW w:type="dxa" w:w="2880"/>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Scikit-Learn, SciPy</w:t>
            </w:r>
          </w:p>
        </w:tc>
        <w:tc>
          <w:tcPr>
            <w:tcW w:type="dxa" w:w="3744"/>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Log1p scaling, StandardScaler, K-Means clustering, Silhouette diagnostics</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Data Mart Layer</w:t>
            </w:r>
          </w:p>
        </w:tc>
        <w:tc>
          <w:tcPr>
            <w:tcW w:type="dxa" w:w="2880"/>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CSV / Star Schema</w:t>
            </w:r>
          </w:p>
        </w:tc>
        <w:tc>
          <w:tcPr>
            <w:tcW w:type="dxa" w:w="3744"/>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Clean FACT_TRANSACTIONS and DIM_CUSTOMERS marts for BI compatibility</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Executive BI Dashboard</w:t>
            </w:r>
          </w:p>
        </w:tc>
        <w:tc>
          <w:tcPr>
            <w:tcW w:type="dxa" w:w="2880"/>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HTML5, Tailwind, Chart.js</w:t>
            </w:r>
          </w:p>
        </w:tc>
        <w:tc>
          <w:tcPr>
            <w:tcW w:type="dxa" w:w="3744"/>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Interactive KPI scorecards, spatial RFM bubble charts, activation tables</w:t>
            </w:r>
          </w:p>
        </w:tc>
      </w:tr>
    </w:tbl>
    <w:p>
      <w:r>
        <w:br w:type="page"/>
      </w:r>
    </w:p>
    <w:p>
      <w:pPr>
        <w:spacing w:before="0" w:after="20" w:line="276" w:lineRule="auto"/>
        <w:jc w:val="right"/>
      </w:pPr>
      <w:r>
        <w:rPr>
          <w:rFonts w:ascii="Times New Roman" w:hAnsi="Times New Roman"/>
          <w:i/>
          <w:color w:val="0F172A"/>
          <w:sz w:val="24"/>
        </w:rPr>
        <w:t>Page 4</w:t>
      </w:r>
    </w:p>
    <w:p>
      <w:pPr>
        <w:keepNext/>
        <w:spacing w:before="140" w:after="50"/>
        <w:jc w:val="left"/>
      </w:pPr>
      <w:r>
        <w:rPr>
          <w:rFonts w:ascii="Times New Roman" w:hAnsi="Times New Roman"/>
          <w:b/>
          <w:color w:val="1E1B4B"/>
          <w:sz w:val="32"/>
        </w:rPr>
        <w:t>2. SYSTEM DESIGN USING UML &amp; DFD:</w:t>
      </w:r>
    </w:p>
    <w:p>
      <w:pPr>
        <w:keepNext/>
        <w:spacing w:before="120" w:after="40"/>
        <w:jc w:val="left"/>
      </w:pPr>
      <w:r>
        <w:rPr>
          <w:rFonts w:ascii="Times New Roman" w:hAnsi="Times New Roman"/>
          <w:b/>
          <w:color w:val="0F172A"/>
          <w:sz w:val="28"/>
        </w:rPr>
        <w:t>2.1 Data Flow Diagrams (Context, Level 1, Level 2 Architecture)</w:t>
      </w:r>
    </w:p>
    <w:p>
      <w:pPr>
        <w:spacing w:before="0" w:after="70" w:line="276" w:lineRule="auto"/>
        <w:jc w:val="both"/>
      </w:pPr>
      <w:r>
        <w:rPr>
          <w:rFonts w:ascii="Times New Roman" w:hAnsi="Times New Roman"/>
          <w:i w:val="0"/>
          <w:color w:val="0F172A"/>
          <w:sz w:val="24"/>
        </w:rPr>
        <w:t>Data Flow Diagrams (DFDs) visually map information transformations through the system. Using Gane &amp; Sarson conventions, the diagrams represent External Entities (rectangles), Processes (rounded rectangles), Data Stores (open horizontal lines), and Data Flows (directed arrows).</w:t>
      </w:r>
    </w:p>
    <w:p>
      <w:pPr>
        <w:keepNext/>
        <w:spacing w:before="90" w:after="30"/>
        <w:jc w:val="left"/>
      </w:pPr>
      <w:r>
        <w:rPr>
          <w:rFonts w:ascii="Times New Roman" w:hAnsi="Times New Roman"/>
          <w:b/>
          <w:color w:val="0F172A"/>
          <w:sz w:val="24"/>
        </w:rPr>
        <w:t>2.1.1 Level 0 Data Flow Diagram (Context-Level DFD)</w:t>
      </w:r>
    </w:p>
    <w:p>
      <w:pPr>
        <w:spacing w:before="0" w:after="70" w:line="276" w:lineRule="auto"/>
        <w:jc w:val="both"/>
      </w:pPr>
      <w:r>
        <w:rPr>
          <w:rFonts w:ascii="Times New Roman" w:hAnsi="Times New Roman"/>
          <w:i w:val="0"/>
          <w:color w:val="0F172A"/>
          <w:sz w:val="24"/>
        </w:rPr>
        <w:t>The Level 0 Context DFD establishes the macro boundary of Process 0.0 ('E-Commerce Customer Lifecycle &amp; RFM Analytics System') and documents all external entity interactions: (1) OLTP Transaction Stream supplying raw sales event logs; (2) Data Scientist providing IQR thresholds and cluster hyper-parameters; (3) CRM Marketing Engine consuming targeted audience lists; and (4) Commercial Executives receiving high-level portfolio KPIs and revenue concentration scorecards.</w:t>
      </w:r>
    </w:p>
    <w:p>
      <w:r>
        <w:drawing>
          <wp:inline xmlns:a="http://schemas.openxmlformats.org/drawingml/2006/main" xmlns:pic="http://schemas.openxmlformats.org/drawingml/2006/picture">
            <wp:extent cx="4663440" cy="2331720"/>
            <wp:docPr id="2" name="Picture 2"/>
            <wp:cNvGraphicFramePr>
              <a:graphicFrameLocks noChangeAspect="1"/>
            </wp:cNvGraphicFramePr>
            <a:graphic>
              <a:graphicData uri="http://schemas.openxmlformats.org/drawingml/2006/picture">
                <pic:pic>
                  <pic:nvPicPr>
                    <pic:cNvPr id="0" name="fig_dfd_level_0.png"/>
                    <pic:cNvPicPr/>
                  </pic:nvPicPr>
                  <pic:blipFill>
                    <a:blip r:embed="rId10"/>
                    <a:stretch>
                      <a:fillRect/>
                    </a:stretch>
                  </pic:blipFill>
                  <pic:spPr>
                    <a:xfrm>
                      <a:off x="0" y="0"/>
                      <a:ext cx="4663440" cy="2331720"/>
                    </a:xfrm>
                    <a:prstGeom prst="rect"/>
                  </pic:spPr>
                </pic:pic>
              </a:graphicData>
            </a:graphic>
          </wp:inline>
        </w:drawing>
      </w:r>
    </w:p>
    <w:p>
      <w:pPr>
        <w:spacing w:before="50" w:after="70"/>
        <w:jc w:val="center"/>
      </w:pPr>
      <w:r>
        <w:rPr>
          <w:rFonts w:ascii="Times New Roman" w:hAnsi="Times New Roman"/>
          <w:b/>
          <w:color w:val="475569"/>
          <w:sz w:val="19"/>
        </w:rPr>
        <w:t>Figure 2.1: Level 0 Data Flow Diagram (Context-Level DFD)</w:t>
      </w:r>
    </w:p>
    <w:p>
      <w:r>
        <w:br w:type="page"/>
      </w:r>
    </w:p>
    <w:p>
      <w:pPr>
        <w:spacing w:before="0" w:after="20" w:line="276" w:lineRule="auto"/>
        <w:jc w:val="right"/>
      </w:pPr>
      <w:r>
        <w:rPr>
          <w:rFonts w:ascii="Times New Roman" w:hAnsi="Times New Roman"/>
          <w:i/>
          <w:color w:val="0F172A"/>
          <w:sz w:val="24"/>
        </w:rPr>
        <w:t>Page 5</w:t>
      </w:r>
    </w:p>
    <w:p>
      <w:pPr>
        <w:keepNext/>
        <w:spacing w:before="90" w:after="30"/>
        <w:jc w:val="left"/>
      </w:pPr>
      <w:r>
        <w:rPr>
          <w:rFonts w:ascii="Times New Roman" w:hAnsi="Times New Roman"/>
          <w:b/>
          <w:color w:val="0F172A"/>
          <w:sz w:val="24"/>
        </w:rPr>
        <w:t>2.1.2 Level 1 Data Flow Diagram (End-to-End Pipeline Architecture)</w:t>
      </w:r>
    </w:p>
    <w:p>
      <w:pPr>
        <w:spacing w:before="0" w:after="70" w:line="276" w:lineRule="auto"/>
        <w:jc w:val="both"/>
      </w:pPr>
      <w:r>
        <w:rPr>
          <w:rFonts w:ascii="Times New Roman" w:hAnsi="Times New Roman"/>
          <w:i w:val="0"/>
          <w:color w:val="0F172A"/>
          <w:sz w:val="24"/>
        </w:rPr>
        <w:t>The Level 1 DFD decomposes Process 0.0 into five sequential operational processes and identifies the underlying persistent data repositories:</w:t>
      </w:r>
    </w:p>
    <w:p>
      <w:pPr>
        <w:spacing w:before="0" w:after="70" w:line="276" w:lineRule="auto"/>
        <w:jc w:val="both"/>
      </w:pPr>
      <w:r>
        <w:rPr>
          <w:rFonts w:ascii="Times New Roman" w:hAnsi="Times New Roman"/>
          <w:b/>
          <w:color w:val="0F172A"/>
          <w:sz w:val="24"/>
        </w:rPr>
        <w:t xml:space="preserve">• Process 1.0 (Ingestion &amp; Schema Typing): </w:t>
      </w:r>
      <w:r>
        <w:rPr>
          <w:rFonts w:ascii="Times New Roman" w:hAnsi="Times New Roman"/>
          <w:i w:val="0"/>
          <w:color w:val="0F172A"/>
          <w:sz w:val="24"/>
        </w:rPr>
        <w:t>Ingests raw order logs, validates schema datatypes, and records input stream to D1 (Raw Transaction Log).</w:t>
      </w:r>
    </w:p>
    <w:p>
      <w:pPr>
        <w:spacing w:before="0" w:after="70" w:line="276" w:lineRule="auto"/>
        <w:jc w:val="both"/>
      </w:pPr>
      <w:r>
        <w:rPr>
          <w:rFonts w:ascii="Times New Roman" w:hAnsi="Times New Roman"/>
          <w:b/>
          <w:color w:val="0F172A"/>
          <w:sz w:val="24"/>
        </w:rPr>
        <w:t xml:space="preserve">• Process 2.0 (Data Quality &amp; Refinery Pipeline): </w:t>
      </w:r>
      <w:r>
        <w:rPr>
          <w:rFonts w:ascii="Times New Roman" w:hAnsi="Times New Roman"/>
          <w:i w:val="0"/>
          <w:color w:val="0F172A"/>
          <w:sz w:val="24"/>
        </w:rPr>
        <w:t>Purges missing CustomerIDs, routes return orders to D2 (Reversals Audit Ledger), and applies Tukey IQR outlier fences.</w:t>
      </w:r>
    </w:p>
    <w:p>
      <w:pPr>
        <w:spacing w:before="0" w:after="70" w:line="276" w:lineRule="auto"/>
        <w:jc w:val="both"/>
      </w:pPr>
      <w:r>
        <w:rPr>
          <w:rFonts w:ascii="Times New Roman" w:hAnsi="Times New Roman"/>
          <w:b/>
          <w:color w:val="0F172A"/>
          <w:sz w:val="24"/>
        </w:rPr>
        <w:t xml:space="preserve">• Process 3.0 (Vectorized RFM Feature Extraction): </w:t>
      </w:r>
      <w:r>
        <w:rPr>
          <w:rFonts w:ascii="Times New Roman" w:hAnsi="Times New Roman"/>
          <w:i w:val="0"/>
          <w:color w:val="0F172A"/>
          <w:sz w:val="24"/>
        </w:rPr>
        <w:t>Aggregates customer transactions into Recency days, Frequency counts, and Monetary spend, saving to D3 (RFM Analytical Table).</w:t>
      </w:r>
    </w:p>
    <w:p>
      <w:pPr>
        <w:spacing w:before="0" w:after="70" w:line="276" w:lineRule="auto"/>
        <w:jc w:val="both"/>
      </w:pPr>
      <w:r>
        <w:rPr>
          <w:rFonts w:ascii="Times New Roman" w:hAnsi="Times New Roman"/>
          <w:b/>
          <w:color w:val="0F172A"/>
          <w:sz w:val="24"/>
        </w:rPr>
        <w:t xml:space="preserve">• Process 4.0 (ML Clustering &amp; Quantile Scoring): </w:t>
      </w:r>
      <w:r>
        <w:rPr>
          <w:rFonts w:ascii="Times New Roman" w:hAnsi="Times New Roman"/>
          <w:i w:val="0"/>
          <w:color w:val="0F172A"/>
          <w:sz w:val="24"/>
        </w:rPr>
        <w:t>Executes log1p transformation, Z-score scaling, K-Means clustering, and 1–5 quantile scoring, persisting to D4 (Segmented Customer Mart).</w:t>
      </w:r>
    </w:p>
    <w:p>
      <w:pPr>
        <w:spacing w:before="0" w:after="70" w:line="276" w:lineRule="auto"/>
        <w:jc w:val="both"/>
      </w:pPr>
      <w:r>
        <w:rPr>
          <w:rFonts w:ascii="Times New Roman" w:hAnsi="Times New Roman"/>
          <w:b/>
          <w:color w:val="0F172A"/>
          <w:sz w:val="24"/>
        </w:rPr>
        <w:t xml:space="preserve">• Process 5.0 (Star-Schema &amp; Dashboard Export): </w:t>
      </w:r>
      <w:r>
        <w:rPr>
          <w:rFonts w:ascii="Times New Roman" w:hAnsi="Times New Roman"/>
          <w:i w:val="0"/>
          <w:color w:val="0F172A"/>
          <w:sz w:val="24"/>
        </w:rPr>
        <w:t>Generates the star schema dimensional marts and powers the interactive executive analytics dashboard.</w:t>
      </w:r>
    </w:p>
    <w:p>
      <w:r>
        <w:drawing>
          <wp:inline xmlns:a="http://schemas.openxmlformats.org/drawingml/2006/main" xmlns:pic="http://schemas.openxmlformats.org/drawingml/2006/picture">
            <wp:extent cx="4663440" cy="2331720"/>
            <wp:docPr id="3" name="Picture 3"/>
            <wp:cNvGraphicFramePr>
              <a:graphicFrameLocks noChangeAspect="1"/>
            </wp:cNvGraphicFramePr>
            <a:graphic>
              <a:graphicData uri="http://schemas.openxmlformats.org/drawingml/2006/picture">
                <pic:pic>
                  <pic:nvPicPr>
                    <pic:cNvPr id="0" name="fig_dfd_level_1.png"/>
                    <pic:cNvPicPr/>
                  </pic:nvPicPr>
                  <pic:blipFill>
                    <a:blip r:embed="rId11"/>
                    <a:stretch>
                      <a:fillRect/>
                    </a:stretch>
                  </pic:blipFill>
                  <pic:spPr>
                    <a:xfrm>
                      <a:off x="0" y="0"/>
                      <a:ext cx="4663440" cy="2331720"/>
                    </a:xfrm>
                    <a:prstGeom prst="rect"/>
                  </pic:spPr>
                </pic:pic>
              </a:graphicData>
            </a:graphic>
          </wp:inline>
        </w:drawing>
      </w:r>
    </w:p>
    <w:p>
      <w:pPr>
        <w:spacing w:before="50" w:after="70"/>
        <w:jc w:val="center"/>
      </w:pPr>
      <w:r>
        <w:rPr>
          <w:rFonts w:ascii="Times New Roman" w:hAnsi="Times New Roman"/>
          <w:b/>
          <w:color w:val="475569"/>
          <w:sz w:val="19"/>
        </w:rPr>
        <w:t>Figure 2.2: Level 1 Data Flow Diagram (End-to-End Pipeline Architecture)</w:t>
      </w:r>
    </w:p>
    <w:p>
      <w:r>
        <w:br w:type="page"/>
      </w:r>
    </w:p>
    <w:p>
      <w:pPr>
        <w:spacing w:before="0" w:after="20" w:line="276" w:lineRule="auto"/>
        <w:jc w:val="right"/>
      </w:pPr>
      <w:r>
        <w:rPr>
          <w:rFonts w:ascii="Times New Roman" w:hAnsi="Times New Roman"/>
          <w:i/>
          <w:color w:val="0F172A"/>
          <w:sz w:val="24"/>
        </w:rPr>
        <w:t>Page 6</w:t>
      </w:r>
    </w:p>
    <w:p>
      <w:pPr>
        <w:keepNext/>
        <w:spacing w:before="90" w:after="30"/>
        <w:jc w:val="left"/>
      </w:pPr>
      <w:r>
        <w:rPr>
          <w:rFonts w:ascii="Times New Roman" w:hAnsi="Times New Roman"/>
          <w:b/>
          <w:color w:val="0F172A"/>
          <w:sz w:val="24"/>
        </w:rPr>
        <w:t>2.1.3 Level 2 Data Flow Diagram (Sub-Process Decomposition)</w:t>
      </w:r>
    </w:p>
    <w:p>
      <w:pPr>
        <w:spacing w:before="0" w:after="70" w:line="276" w:lineRule="auto"/>
        <w:jc w:val="both"/>
      </w:pPr>
      <w:r>
        <w:rPr>
          <w:rFonts w:ascii="Times New Roman" w:hAnsi="Times New Roman"/>
          <w:i w:val="0"/>
          <w:color w:val="0F172A"/>
          <w:sz w:val="24"/>
        </w:rPr>
        <w:t>To provide rigorous engineering granularity as mandated by university project standards, the Level 2 DFD decomposes the two critical computational processes: Process 2.0 (Data Quality Refinery) and Process 4.0 (Machine Learning Clustering Engine).</w:t>
      </w:r>
    </w:p>
    <w:p>
      <w:pPr>
        <w:spacing w:before="0" w:after="70" w:line="276" w:lineRule="auto"/>
        <w:jc w:val="both"/>
      </w:pPr>
      <w:r>
        <w:rPr>
          <w:rFonts w:ascii="Times New Roman" w:hAnsi="Times New Roman"/>
          <w:b/>
          <w:color w:val="0F172A"/>
          <w:sz w:val="24"/>
        </w:rPr>
        <w:t xml:space="preserve">• Sub-Process 2.0 Decomposition (Refinery): </w:t>
      </w:r>
      <w:r>
        <w:rPr>
          <w:rFonts w:ascii="Times New Roman" w:hAnsi="Times New Roman"/>
          <w:i w:val="0"/>
          <w:color w:val="0F172A"/>
          <w:sz w:val="24"/>
        </w:rPr>
        <w:t>Sub-process 2.1 removes unauthenticated records lacking CustomerID. Sub-process 2.2 detects cancellation codes ('^C' or negative quantities) and writes to the audit ledger. Sub-process 2.3 computes Tukey fences [Q1 - 1.5*IQR, Q3 + 1.5*IQR] to eliminate wholesale bulk distributor anomalies.</w:t>
      </w:r>
    </w:p>
    <w:p>
      <w:pPr>
        <w:spacing w:before="0" w:after="70" w:line="276" w:lineRule="auto"/>
        <w:jc w:val="both"/>
      </w:pPr>
      <w:r>
        <w:rPr>
          <w:rFonts w:ascii="Times New Roman" w:hAnsi="Times New Roman"/>
          <w:b/>
          <w:color w:val="0F172A"/>
          <w:sz w:val="24"/>
        </w:rPr>
        <w:t xml:space="preserve">• Sub-Process 4.0 Decomposition (ML &amp; Scoring): </w:t>
      </w:r>
      <w:r>
        <w:rPr>
          <w:rFonts w:ascii="Times New Roman" w:hAnsi="Times New Roman"/>
          <w:i w:val="0"/>
          <w:color w:val="0F172A"/>
          <w:sz w:val="24"/>
        </w:rPr>
        <w:t>Sub-process 4.1 applies log1p compression (z = ln(1 + x)) to resolve Pareto spend skewness. Sub-process 4.2 executes Z-score normalization. Sub-process 4.3 executes K-Means clustering across k in [2..6] with Silhouette validation. Sub-process 4.4 runs quantile binning (pd.qcut) mapping accounts to 8 business operating cohorts.</w:t>
      </w:r>
    </w:p>
    <w:p>
      <w:r>
        <w:drawing>
          <wp:inline xmlns:a="http://schemas.openxmlformats.org/drawingml/2006/main" xmlns:pic="http://schemas.openxmlformats.org/drawingml/2006/picture">
            <wp:extent cx="4754880" cy="1981200"/>
            <wp:docPr id="4" name="Picture 4"/>
            <wp:cNvGraphicFramePr>
              <a:graphicFrameLocks noChangeAspect="1"/>
            </wp:cNvGraphicFramePr>
            <a:graphic>
              <a:graphicData uri="http://schemas.openxmlformats.org/drawingml/2006/picture">
                <pic:pic>
                  <pic:nvPicPr>
                    <pic:cNvPr id="0" name="fig_dfd_level_2.png"/>
                    <pic:cNvPicPr/>
                  </pic:nvPicPr>
                  <pic:blipFill>
                    <a:blip r:embed="rId12"/>
                    <a:stretch>
                      <a:fillRect/>
                    </a:stretch>
                  </pic:blipFill>
                  <pic:spPr>
                    <a:xfrm>
                      <a:off x="0" y="0"/>
                      <a:ext cx="4754880" cy="1981200"/>
                    </a:xfrm>
                    <a:prstGeom prst="rect"/>
                  </pic:spPr>
                </pic:pic>
              </a:graphicData>
            </a:graphic>
          </wp:inline>
        </w:drawing>
      </w:r>
    </w:p>
    <w:p>
      <w:pPr>
        <w:spacing w:before="50" w:after="70"/>
        <w:jc w:val="center"/>
      </w:pPr>
      <w:r>
        <w:rPr>
          <w:rFonts w:ascii="Times New Roman" w:hAnsi="Times New Roman"/>
          <w:b/>
          <w:color w:val="475569"/>
          <w:sz w:val="19"/>
        </w:rPr>
        <w:t>Figure 2.3: Level 2 Data Flow Diagram (Refinery &amp; ML Decomposition)</w:t>
      </w:r>
    </w:p>
    <w:p>
      <w:r>
        <w:br w:type="page"/>
      </w:r>
    </w:p>
    <w:p>
      <w:pPr>
        <w:spacing w:before="0" w:after="20" w:line="276" w:lineRule="auto"/>
        <w:jc w:val="right"/>
      </w:pPr>
      <w:r>
        <w:rPr>
          <w:rFonts w:ascii="Times New Roman" w:hAnsi="Times New Roman"/>
          <w:i/>
          <w:color w:val="0F172A"/>
          <w:sz w:val="24"/>
        </w:rPr>
        <w:t>Page 7</w:t>
      </w:r>
    </w:p>
    <w:p>
      <w:pPr>
        <w:keepNext/>
        <w:spacing w:before="120" w:after="40"/>
        <w:jc w:val="left"/>
      </w:pPr>
      <w:r>
        <w:rPr>
          <w:rFonts w:ascii="Times New Roman" w:hAnsi="Times New Roman"/>
          <w:b/>
          <w:color w:val="0F172A"/>
          <w:sz w:val="28"/>
        </w:rPr>
        <w:t>2.2 Use Case Diagram &amp; Actor Specifications</w:t>
      </w:r>
    </w:p>
    <w:p>
      <w:pPr>
        <w:spacing w:before="0" w:after="40" w:line="276" w:lineRule="auto"/>
        <w:jc w:val="both"/>
      </w:pPr>
      <w:r>
        <w:rPr>
          <w:rFonts w:ascii="Times New Roman" w:hAnsi="Times New Roman"/>
          <w:i w:val="0"/>
          <w:color w:val="0F172A"/>
          <w:sz w:val="24"/>
        </w:rPr>
        <w:t>The Use Case Model defines operational boundaries by mapping system capabilities to primary human and automated actors.</w:t>
      </w:r>
    </w:p>
    <w:p>
      <w:r>
        <w:drawing>
          <wp:inline xmlns:a="http://schemas.openxmlformats.org/drawingml/2006/main" xmlns:pic="http://schemas.openxmlformats.org/drawingml/2006/picture">
            <wp:extent cx="3017520" cy="1961388"/>
            <wp:docPr id="5" name="Picture 5"/>
            <wp:cNvGraphicFramePr>
              <a:graphicFrameLocks noChangeAspect="1"/>
            </wp:cNvGraphicFramePr>
            <a:graphic>
              <a:graphicData uri="http://schemas.openxmlformats.org/drawingml/2006/picture">
                <pic:pic>
                  <pic:nvPicPr>
                    <pic:cNvPr id="0" name="fig_use_case_diagram.png"/>
                    <pic:cNvPicPr/>
                  </pic:nvPicPr>
                  <pic:blipFill>
                    <a:blip r:embed="rId13"/>
                    <a:stretch>
                      <a:fillRect/>
                    </a:stretch>
                  </pic:blipFill>
                  <pic:spPr>
                    <a:xfrm>
                      <a:off x="0" y="0"/>
                      <a:ext cx="3017520" cy="1961388"/>
                    </a:xfrm>
                    <a:prstGeom prst="rect"/>
                  </pic:spPr>
                </pic:pic>
              </a:graphicData>
            </a:graphic>
          </wp:inline>
        </w:drawing>
      </w:r>
    </w:p>
    <w:p>
      <w:pPr>
        <w:spacing w:before="50" w:after="70"/>
        <w:jc w:val="center"/>
      </w:pPr>
      <w:r>
        <w:rPr>
          <w:rFonts w:ascii="Times New Roman" w:hAnsi="Times New Roman"/>
          <w:b/>
          <w:color w:val="475569"/>
          <w:sz w:val="19"/>
        </w:rPr>
        <w:t>Figure 2.4: UML Use Case Diagram (System Actors &amp; Functional Capabilities)</w:t>
      </w:r>
    </w:p>
    <w:p>
      <w:pPr>
        <w:spacing w:before="50" w:after="70"/>
        <w:jc w:val="center"/>
      </w:pPr>
      <w:r>
        <w:rPr>
          <w:rFonts w:ascii="Times New Roman" w:hAnsi="Times New Roman"/>
          <w:b/>
          <w:color w:val="475569"/>
          <w:sz w:val="19"/>
        </w:rPr>
        <w:t>Table 2.1: Formal Use Case Specification Matrix (UC-01 to UC-06)</w:t>
      </w:r>
    </w:p>
    <w:tbl>
      <w:tblPr>
        <w:tblW w:type="auto" w:w="0"/>
        <w:jc w:val="center"/>
        <w:tblLook w:firstColumn="1" w:firstRow="1" w:lastColumn="0" w:lastRow="0" w:noHBand="0" w:noVBand="1" w:val="04A0"/>
      </w:tblPr>
      <w:tblGrid>
        <w:gridCol w:w="2376"/>
        <w:gridCol w:w="2376"/>
        <w:gridCol w:w="2376"/>
        <w:gridCol w:w="2376"/>
      </w:tblGrid>
      <w:tr>
        <w:tc>
          <w:tcPr>
            <w:tcW w:type="dxa" w:w="93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UC ID</w:t>
            </w:r>
          </w:p>
        </w:tc>
        <w:tc>
          <w:tcPr>
            <w:tcW w:type="dxa" w:w="26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USE CASE NAME</w:t>
            </w:r>
          </w:p>
        </w:tc>
        <w:tc>
          <w:tcPr>
            <w:tcW w:type="dxa" w:w="216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PRIMARY ACTOR</w:t>
            </w:r>
          </w:p>
        </w:tc>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GOAL &amp; PRE-CONDITION</w:t>
            </w:r>
          </w:p>
        </w:tc>
      </w:tr>
      <w:tr>
        <w:tc>
          <w:tcPr>
            <w:tcW w:type="dxa" w:w="93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UC-01</w:t>
            </w:r>
          </w:p>
        </w:tc>
        <w:tc>
          <w:tcPr>
            <w:tcW w:type="dxa" w:w="26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Ingest Transaction Stream</w:t>
            </w:r>
          </w:p>
        </w:tc>
        <w:tc>
          <w:tcPr>
            <w:tcW w:type="dxa" w:w="2160"/>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Engineer / Admin</w:t>
            </w:r>
          </w:p>
        </w:tc>
        <w:tc>
          <w:tcPr>
            <w:tcW w:type="dxa" w:w="345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Ingests raw event logs, validates schema, enforces datatypes.</w:t>
            </w:r>
          </w:p>
        </w:tc>
      </w:tr>
      <w:tr>
        <w:tc>
          <w:tcPr>
            <w:tcW w:type="dxa" w:w="93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UC-02</w:t>
            </w:r>
          </w:p>
        </w:tc>
        <w:tc>
          <w:tcPr>
            <w:tcW w:type="dxa" w:w="26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Isolate Reversals &amp; IQR Filter</w:t>
            </w:r>
          </w:p>
        </w:tc>
        <w:tc>
          <w:tcPr>
            <w:tcW w:type="dxa" w:w="2160"/>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Engineer / Admin</w:t>
            </w:r>
          </w:p>
        </w:tc>
        <w:tc>
          <w:tcPr>
            <w:tcW w:type="dxa" w:w="345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Purges null IDs, isolates returns (^C), caps Tukey bulk outliers.</w:t>
            </w:r>
          </w:p>
        </w:tc>
      </w:tr>
      <w:tr>
        <w:tc>
          <w:tcPr>
            <w:tcW w:type="dxa" w:w="93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UC-03</w:t>
            </w:r>
          </w:p>
        </w:tc>
        <w:tc>
          <w:tcPr>
            <w:tcW w:type="dxa" w:w="26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Compute Vectorized RFM</w:t>
            </w:r>
          </w:p>
        </w:tc>
        <w:tc>
          <w:tcPr>
            <w:tcW w:type="dxa" w:w="2160"/>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Analytics Engineer</w:t>
            </w:r>
          </w:p>
        </w:tc>
        <w:tc>
          <w:tcPr>
            <w:tcW w:type="dxa" w:w="345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Aggregates transactions into customer-level Recency, Frequency, Spend.</w:t>
            </w:r>
          </w:p>
        </w:tc>
      </w:tr>
      <w:tr>
        <w:tc>
          <w:tcPr>
            <w:tcW w:type="dxa" w:w="93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UC-04</w:t>
            </w:r>
          </w:p>
        </w:tc>
        <w:tc>
          <w:tcPr>
            <w:tcW w:type="dxa" w:w="26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Train &amp; Tune K-Means Model</w:t>
            </w:r>
          </w:p>
        </w:tc>
        <w:tc>
          <w:tcPr>
            <w:tcW w:type="dxa" w:w="2160"/>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Scientist</w:t>
            </w:r>
          </w:p>
        </w:tc>
        <w:tc>
          <w:tcPr>
            <w:tcW w:type="dxa" w:w="345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Applies log1p + StandardScaler, evaluates Elbow/Silhouette, fits k=4.</w:t>
            </w:r>
          </w:p>
        </w:tc>
      </w:tr>
      <w:tr>
        <w:tc>
          <w:tcPr>
            <w:tcW w:type="dxa" w:w="93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UC-05</w:t>
            </w:r>
          </w:p>
        </w:tc>
        <w:tc>
          <w:tcPr>
            <w:tcW w:type="dxa" w:w="26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Inspect Executive KPI Metrics</w:t>
            </w:r>
          </w:p>
        </w:tc>
        <w:tc>
          <w:tcPr>
            <w:tcW w:type="dxa" w:w="2160"/>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Commercial Executive</w:t>
            </w:r>
          </w:p>
        </w:tc>
        <w:tc>
          <w:tcPr>
            <w:tcW w:type="dxa" w:w="345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Monitors portfolio spend ($65k), Champions share (72.5%), at-risk capital.</w:t>
            </w:r>
          </w:p>
        </w:tc>
      </w:tr>
      <w:tr>
        <w:tc>
          <w:tcPr>
            <w:tcW w:type="dxa" w:w="93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UC-06</w:t>
            </w:r>
          </w:p>
        </w:tc>
        <w:tc>
          <w:tcPr>
            <w:tcW w:type="dxa" w:w="26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Export Targeted CRM Audiences</w:t>
            </w:r>
          </w:p>
        </w:tc>
        <w:tc>
          <w:tcPr>
            <w:tcW w:type="dxa" w:w="2160"/>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Marketing Manager</w:t>
            </w:r>
          </w:p>
        </w:tc>
        <w:tc>
          <w:tcPr>
            <w:tcW w:type="dxa" w:w="345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Filters segments in activation ledger and exports audience lists for campaigns.</w:t>
            </w:r>
          </w:p>
        </w:tc>
      </w:tr>
    </w:tbl>
    <w:p>
      <w:r>
        <w:br w:type="page"/>
      </w:r>
    </w:p>
    <w:p>
      <w:pPr>
        <w:spacing w:before="0" w:after="20" w:line="276" w:lineRule="auto"/>
        <w:jc w:val="right"/>
      </w:pPr>
      <w:r>
        <w:rPr>
          <w:rFonts w:ascii="Times New Roman" w:hAnsi="Times New Roman"/>
          <w:i/>
          <w:color w:val="0F172A"/>
          <w:sz w:val="24"/>
        </w:rPr>
        <w:t>Page 8</w:t>
      </w:r>
    </w:p>
    <w:p>
      <w:pPr>
        <w:keepNext/>
        <w:spacing w:before="120" w:after="40"/>
        <w:jc w:val="left"/>
      </w:pPr>
      <w:r>
        <w:rPr>
          <w:rFonts w:ascii="Times New Roman" w:hAnsi="Times New Roman"/>
          <w:b/>
          <w:color w:val="0F172A"/>
          <w:sz w:val="28"/>
        </w:rPr>
        <w:t>2.3 UML Class Diagram (Domain Model &amp; Object Architecture)</w:t>
      </w:r>
    </w:p>
    <w:p>
      <w:pPr>
        <w:spacing w:before="0" w:after="70" w:line="276" w:lineRule="auto"/>
        <w:jc w:val="both"/>
      </w:pPr>
      <w:r>
        <w:rPr>
          <w:rFonts w:ascii="Times New Roman" w:hAnsi="Times New Roman"/>
          <w:i w:val="0"/>
          <w:color w:val="0F172A"/>
          <w:sz w:val="24"/>
        </w:rPr>
        <w:t>The UML Class Diagram establishes the object-oriented structure of the analytics pipeline, modeling domain entities, transformation services, algorithmic engines, and dimensional export utilities.</w:t>
      </w:r>
    </w:p>
    <w:p>
      <w:r>
        <w:drawing>
          <wp:inline xmlns:a="http://schemas.openxmlformats.org/drawingml/2006/main" xmlns:pic="http://schemas.openxmlformats.org/drawingml/2006/picture">
            <wp:extent cx="4846320" cy="3028950"/>
            <wp:docPr id="6" name="Picture 6"/>
            <wp:cNvGraphicFramePr>
              <a:graphicFrameLocks noChangeAspect="1"/>
            </wp:cNvGraphicFramePr>
            <a:graphic>
              <a:graphicData uri="http://schemas.openxmlformats.org/drawingml/2006/picture">
                <pic:pic>
                  <pic:nvPicPr>
                    <pic:cNvPr id="0" name="fig_class_diagram.png"/>
                    <pic:cNvPicPr/>
                  </pic:nvPicPr>
                  <pic:blipFill>
                    <a:blip r:embed="rId14"/>
                    <a:stretch>
                      <a:fillRect/>
                    </a:stretch>
                  </pic:blipFill>
                  <pic:spPr>
                    <a:xfrm>
                      <a:off x="0" y="0"/>
                      <a:ext cx="4846320" cy="3028950"/>
                    </a:xfrm>
                    <a:prstGeom prst="rect"/>
                  </pic:spPr>
                </pic:pic>
              </a:graphicData>
            </a:graphic>
          </wp:inline>
        </w:drawing>
      </w:r>
    </w:p>
    <w:p>
      <w:pPr>
        <w:spacing w:before="50" w:after="70"/>
        <w:jc w:val="center"/>
      </w:pPr>
      <w:r>
        <w:rPr>
          <w:rFonts w:ascii="Times New Roman" w:hAnsi="Times New Roman"/>
          <w:b/>
          <w:color w:val="475569"/>
          <w:sz w:val="19"/>
        </w:rPr>
        <w:t>Figure 2.5: UML Class Diagram (Domain Model &amp; Pipeline Object Architecture)</w:t>
      </w:r>
    </w:p>
    <w:p>
      <w:pPr>
        <w:keepNext/>
        <w:spacing w:before="90" w:after="30"/>
        <w:jc w:val="left"/>
      </w:pPr>
      <w:r>
        <w:rPr>
          <w:rFonts w:ascii="Times New Roman" w:hAnsi="Times New Roman"/>
          <w:b/>
          <w:color w:val="0F172A"/>
          <w:sz w:val="24"/>
        </w:rPr>
        <w:t>2.3.1 Detailed Object Model &amp; Class Specifications</w:t>
      </w:r>
    </w:p>
    <w:p>
      <w:pPr>
        <w:spacing w:before="0" w:after="70" w:line="276" w:lineRule="auto"/>
        <w:jc w:val="both"/>
      </w:pPr>
      <w:r>
        <w:rPr>
          <w:rFonts w:ascii="Times New Roman" w:hAnsi="Times New Roman"/>
          <w:b/>
          <w:color w:val="0F172A"/>
          <w:sz w:val="24"/>
        </w:rPr>
        <w:t xml:space="preserve">1. TransactionRecord (Domain Entity): </w:t>
      </w:r>
      <w:r>
        <w:rPr>
          <w:rFonts w:ascii="Times New Roman" w:hAnsi="Times New Roman"/>
          <w:i w:val="0"/>
          <w:color w:val="0F172A"/>
          <w:sz w:val="24"/>
        </w:rPr>
        <w:t>Models single line-item order entities with methods for session validation and gross spend calculation.</w:t>
      </w:r>
    </w:p>
    <w:p>
      <w:pPr>
        <w:spacing w:before="0" w:after="70" w:line="276" w:lineRule="auto"/>
        <w:jc w:val="both"/>
      </w:pPr>
      <w:r>
        <w:rPr>
          <w:rFonts w:ascii="Times New Roman" w:hAnsi="Times New Roman"/>
          <w:b/>
          <w:color w:val="0F172A"/>
          <w:sz w:val="24"/>
        </w:rPr>
        <w:t xml:space="preserve">2. CleanRefineryPipeline (Refinery Service): </w:t>
      </w:r>
      <w:r>
        <w:rPr>
          <w:rFonts w:ascii="Times New Roman" w:hAnsi="Times New Roman"/>
          <w:i w:val="0"/>
          <w:color w:val="0F172A"/>
          <w:sz w:val="24"/>
        </w:rPr>
        <w:t>Controls raw data loading, schema typing, null dropping, cancellation segregation, and Tukey IQR outlier capping.</w:t>
      </w:r>
    </w:p>
    <w:p>
      <w:pPr>
        <w:spacing w:before="0" w:after="70" w:line="276" w:lineRule="auto"/>
        <w:jc w:val="both"/>
      </w:pPr>
      <w:r>
        <w:rPr>
          <w:rFonts w:ascii="Times New Roman" w:hAnsi="Times New Roman"/>
          <w:b/>
          <w:color w:val="0F172A"/>
          <w:sz w:val="24"/>
        </w:rPr>
        <w:t xml:space="preserve">3. RFMFeatureEngineer (Feature Engineering): </w:t>
      </w:r>
      <w:r>
        <w:rPr>
          <w:rFonts w:ascii="Times New Roman" w:hAnsi="Times New Roman"/>
          <w:i w:val="0"/>
          <w:color w:val="0F172A"/>
          <w:sz w:val="24"/>
        </w:rPr>
        <w:t>Vectorized service computing customer Recency relative to T_obs, purchase Frequency, Monetary spend, and Average Order Value.</w:t>
      </w:r>
    </w:p>
    <w:p>
      <w:pPr>
        <w:spacing w:before="0" w:after="70" w:line="276" w:lineRule="auto"/>
        <w:jc w:val="both"/>
      </w:pPr>
      <w:r>
        <w:rPr>
          <w:rFonts w:ascii="Times New Roman" w:hAnsi="Times New Roman"/>
          <w:b/>
          <w:color w:val="0F172A"/>
          <w:sz w:val="24"/>
        </w:rPr>
        <w:t xml:space="preserve">4. KMeansSegmentationEngine (ML Service): </w:t>
      </w:r>
      <w:r>
        <w:rPr>
          <w:rFonts w:ascii="Times New Roman" w:hAnsi="Times New Roman"/>
          <w:i w:val="0"/>
          <w:color w:val="0F172A"/>
          <w:sz w:val="24"/>
        </w:rPr>
        <w:t>Encapsulates feature scaling, log1p compression, StandardScaler, K-Means clustering, and Silhouette diagnostics.</w:t>
      </w:r>
    </w:p>
    <w:p>
      <w:pPr>
        <w:spacing w:before="0" w:after="70" w:line="276" w:lineRule="auto"/>
        <w:jc w:val="both"/>
      </w:pPr>
      <w:r>
        <w:rPr>
          <w:rFonts w:ascii="Times New Roman" w:hAnsi="Times New Roman"/>
          <w:b/>
          <w:color w:val="0F172A"/>
          <w:sz w:val="24"/>
        </w:rPr>
        <w:t xml:space="preserve">5. QuantileStratifier (Business Logic Engine): </w:t>
      </w:r>
      <w:r>
        <w:rPr>
          <w:rFonts w:ascii="Times New Roman" w:hAnsi="Times New Roman"/>
          <w:i w:val="0"/>
          <w:color w:val="0F172A"/>
          <w:sz w:val="24"/>
        </w:rPr>
        <w:t>Rule-based quantile engine assigning deterministic 1–5 scores and mapping 8 business operational cohorts.</w:t>
      </w:r>
    </w:p>
    <w:p>
      <w:pPr>
        <w:spacing w:before="0" w:after="70" w:line="276" w:lineRule="auto"/>
        <w:jc w:val="both"/>
      </w:pPr>
      <w:r>
        <w:rPr>
          <w:rFonts w:ascii="Times New Roman" w:hAnsi="Times New Roman"/>
          <w:b/>
          <w:color w:val="0F172A"/>
          <w:sz w:val="24"/>
        </w:rPr>
        <w:t xml:space="preserve">6. StarSchemaMartExporter (Persistence Service): </w:t>
      </w:r>
      <w:r>
        <w:rPr>
          <w:rFonts w:ascii="Times New Roman" w:hAnsi="Times New Roman"/>
          <w:i w:val="0"/>
          <w:color w:val="0F172A"/>
          <w:sz w:val="24"/>
        </w:rPr>
        <w:t>Generates relational star-schema tables (FACT_TRANSACTIONS, FACT_REVERSALS, DIM_CUSTOMERS, DIM_PRODUCTS).</w:t>
      </w:r>
    </w:p>
    <w:p>
      <w:r>
        <w:br w:type="page"/>
      </w:r>
    </w:p>
    <w:p>
      <w:pPr>
        <w:spacing w:before="0" w:after="20" w:line="276" w:lineRule="auto"/>
        <w:jc w:val="right"/>
      </w:pPr>
      <w:r>
        <w:rPr>
          <w:rFonts w:ascii="Times New Roman" w:hAnsi="Times New Roman"/>
          <w:i/>
          <w:color w:val="0F172A"/>
          <w:sz w:val="24"/>
        </w:rPr>
        <w:t>Page 9</w:t>
      </w:r>
    </w:p>
    <w:p>
      <w:pPr>
        <w:keepNext/>
        <w:spacing w:before="120" w:after="40"/>
        <w:jc w:val="left"/>
      </w:pPr>
      <w:r>
        <w:rPr>
          <w:rFonts w:ascii="Times New Roman" w:hAnsi="Times New Roman"/>
          <w:b/>
          <w:color w:val="0F172A"/>
          <w:sz w:val="28"/>
        </w:rPr>
        <w:t>2.4 UML Sequence Diagrams (System Execution &amp; Interaction Flow)</w:t>
      </w:r>
    </w:p>
    <w:p>
      <w:pPr>
        <w:spacing w:before="0" w:after="70" w:line="276" w:lineRule="auto"/>
        <w:jc w:val="both"/>
      </w:pPr>
      <w:r>
        <w:rPr>
          <w:rFonts w:ascii="Times New Roman" w:hAnsi="Times New Roman"/>
          <w:i w:val="0"/>
          <w:color w:val="0F172A"/>
          <w:sz w:val="24"/>
        </w:rPr>
        <w:t>The UML Sequence Diagram models dynamic behavioral interactions and message dispatch sequences across system components during pipeline execution.</w:t>
      </w:r>
    </w:p>
    <w:p>
      <w:r>
        <w:drawing>
          <wp:inline xmlns:a="http://schemas.openxmlformats.org/drawingml/2006/main" xmlns:pic="http://schemas.openxmlformats.org/drawingml/2006/picture">
            <wp:extent cx="4846320" cy="3028950"/>
            <wp:docPr id="7" name="Picture 7"/>
            <wp:cNvGraphicFramePr>
              <a:graphicFrameLocks noChangeAspect="1"/>
            </wp:cNvGraphicFramePr>
            <a:graphic>
              <a:graphicData uri="http://schemas.openxmlformats.org/drawingml/2006/picture">
                <pic:pic>
                  <pic:nvPicPr>
                    <pic:cNvPr id="0" name="fig_sequence_diagram.png"/>
                    <pic:cNvPicPr/>
                  </pic:nvPicPr>
                  <pic:blipFill>
                    <a:blip r:embed="rId15"/>
                    <a:stretch>
                      <a:fillRect/>
                    </a:stretch>
                  </pic:blipFill>
                  <pic:spPr>
                    <a:xfrm>
                      <a:off x="0" y="0"/>
                      <a:ext cx="4846320" cy="3028950"/>
                    </a:xfrm>
                    <a:prstGeom prst="rect"/>
                  </pic:spPr>
                </pic:pic>
              </a:graphicData>
            </a:graphic>
          </wp:inline>
        </w:drawing>
      </w:r>
    </w:p>
    <w:p>
      <w:pPr>
        <w:spacing w:before="50" w:after="70"/>
        <w:jc w:val="center"/>
      </w:pPr>
      <w:r>
        <w:rPr>
          <w:rFonts w:ascii="Times New Roman" w:hAnsi="Times New Roman"/>
          <w:b/>
          <w:color w:val="475569"/>
          <w:sz w:val="19"/>
        </w:rPr>
        <w:t>Figure 2.6: UML Sequence Diagram (End-to-End Processing &amp; Activation Workflow)</w:t>
      </w:r>
    </w:p>
    <w:p>
      <w:pPr>
        <w:keepNext/>
        <w:spacing w:before="90" w:after="30"/>
        <w:jc w:val="left"/>
      </w:pPr>
      <w:r>
        <w:rPr>
          <w:rFonts w:ascii="Times New Roman" w:hAnsi="Times New Roman"/>
          <w:b/>
          <w:color w:val="0F172A"/>
          <w:sz w:val="24"/>
        </w:rPr>
        <w:t>2.4.1 Step-by-Step Message Dispatch Protocol</w:t>
      </w:r>
    </w:p>
    <w:p>
      <w:pPr>
        <w:spacing w:before="0" w:after="70" w:line="276" w:lineRule="auto"/>
        <w:jc w:val="both"/>
      </w:pPr>
      <w:r>
        <w:rPr>
          <w:rFonts w:ascii="Times New Roman" w:hAnsi="Times New Roman"/>
          <w:b/>
          <w:color w:val="0F172A"/>
          <w:sz w:val="24"/>
        </w:rPr>
        <w:t xml:space="preserve">• Step 1 (Pipeline Trigger): </w:t>
      </w:r>
      <w:r>
        <w:rPr>
          <w:rFonts w:ascii="Times New Roman" w:hAnsi="Times New Roman"/>
          <w:i w:val="0"/>
          <w:color w:val="0F172A"/>
          <w:sz w:val="24"/>
        </w:rPr>
        <w:t>The Data Engineer or automated scheduler issues trigger_pipeline(raw_csv) to initiate ingestion.</w:t>
      </w:r>
    </w:p>
    <w:p>
      <w:pPr>
        <w:spacing w:before="0" w:after="70" w:line="276" w:lineRule="auto"/>
        <w:jc w:val="both"/>
      </w:pPr>
      <w:r>
        <w:rPr>
          <w:rFonts w:ascii="Times New Roman" w:hAnsi="Times New Roman"/>
          <w:b/>
          <w:color w:val="0F172A"/>
          <w:sz w:val="24"/>
        </w:rPr>
        <w:t xml:space="preserve">• Steps 2-3 (Data Refinery): </w:t>
      </w:r>
      <w:r>
        <w:rPr>
          <w:rFonts w:ascii="Times New Roman" w:hAnsi="Times New Roman"/>
          <w:i w:val="0"/>
          <w:color w:val="0F172A"/>
          <w:sz w:val="24"/>
        </w:rPr>
        <w:t>CleanRefineryPipeline performs self-calls to filter unauthenticated nulls, segregate cancellations, and apply Tukey IQR fences.</w:t>
      </w:r>
    </w:p>
    <w:p>
      <w:pPr>
        <w:spacing w:before="0" w:after="70" w:line="276" w:lineRule="auto"/>
        <w:jc w:val="both"/>
      </w:pPr>
      <w:r>
        <w:rPr>
          <w:rFonts w:ascii="Times New Roman" w:hAnsi="Times New Roman"/>
          <w:b/>
          <w:color w:val="0F172A"/>
          <w:sz w:val="24"/>
        </w:rPr>
        <w:t xml:space="preserve">• Steps 4-5 (Feature Derivation): </w:t>
      </w:r>
      <w:r>
        <w:rPr>
          <w:rFonts w:ascii="Times New Roman" w:hAnsi="Times New Roman"/>
          <w:i w:val="0"/>
          <w:color w:val="0F172A"/>
          <w:sz w:val="24"/>
        </w:rPr>
        <w:t>The cleansed dataframe is passed to RFMFeatureEngineer, which evaluates T_obs and extracts customer vectors.</w:t>
      </w:r>
    </w:p>
    <w:p>
      <w:pPr>
        <w:spacing w:before="0" w:after="70" w:line="276" w:lineRule="auto"/>
        <w:jc w:val="both"/>
      </w:pPr>
      <w:r>
        <w:rPr>
          <w:rFonts w:ascii="Times New Roman" w:hAnsi="Times New Roman"/>
          <w:b/>
          <w:color w:val="0F172A"/>
          <w:sz w:val="24"/>
        </w:rPr>
        <w:t xml:space="preserve">• Steps 6-7 (Machine Learning Execution): </w:t>
      </w:r>
      <w:r>
        <w:rPr>
          <w:rFonts w:ascii="Times New Roman" w:hAnsi="Times New Roman"/>
          <w:i w:val="0"/>
          <w:color w:val="0F172A"/>
          <w:sz w:val="24"/>
        </w:rPr>
        <w:t>The RFM base table is dispatched to KMeansEngine, which applies log1p compression and trains k=4 clusters.</w:t>
      </w:r>
    </w:p>
    <w:p>
      <w:pPr>
        <w:spacing w:before="0" w:after="70" w:line="276" w:lineRule="auto"/>
        <w:jc w:val="both"/>
      </w:pPr>
      <w:r>
        <w:rPr>
          <w:rFonts w:ascii="Times New Roman" w:hAnsi="Times New Roman"/>
          <w:b/>
          <w:color w:val="0F172A"/>
          <w:sz w:val="24"/>
        </w:rPr>
        <w:t xml:space="preserve">• Steps 8-9 (Data Mart Export): </w:t>
      </w:r>
      <w:r>
        <w:rPr>
          <w:rFonts w:ascii="Times New Roman" w:hAnsi="Times New Roman"/>
          <w:i w:val="0"/>
          <w:color w:val="0F172A"/>
          <w:sz w:val="24"/>
        </w:rPr>
        <w:t>Cluster predictions and quantile tiers are exported to StarSchemaDataMart, writing dimension and fact tables.</w:t>
      </w:r>
    </w:p>
    <w:p>
      <w:pPr>
        <w:spacing w:before="0" w:after="70" w:line="276" w:lineRule="auto"/>
        <w:jc w:val="both"/>
      </w:pPr>
      <w:r>
        <w:rPr>
          <w:rFonts w:ascii="Times New Roman" w:hAnsi="Times New Roman"/>
          <w:b/>
          <w:color w:val="0F172A"/>
          <w:sz w:val="24"/>
        </w:rPr>
        <w:t xml:space="preserve">• Steps 10-11 (Dashboard Activation): </w:t>
      </w:r>
      <w:r>
        <w:rPr>
          <w:rFonts w:ascii="Times New Roman" w:hAnsi="Times New Roman"/>
          <w:i w:val="0"/>
          <w:color w:val="0F172A"/>
          <w:sz w:val="24"/>
        </w:rPr>
        <w:t>The data mart generates summary JSON payloads, enabling ExecutiveDashboard to render interactive visualizations.</w:t>
      </w:r>
    </w:p>
    <w:p>
      <w:r>
        <w:br w:type="page"/>
      </w:r>
    </w:p>
    <w:p>
      <w:pPr>
        <w:spacing w:before="0" w:after="20" w:line="276" w:lineRule="auto"/>
        <w:jc w:val="right"/>
      </w:pPr>
      <w:r>
        <w:rPr>
          <w:rFonts w:ascii="Times New Roman" w:hAnsi="Times New Roman"/>
          <w:i/>
          <w:color w:val="0F172A"/>
          <w:sz w:val="24"/>
        </w:rPr>
        <w:t>Page 10</w:t>
      </w:r>
    </w:p>
    <w:p>
      <w:pPr>
        <w:keepNext/>
        <w:spacing w:before="140" w:after="50"/>
        <w:jc w:val="left"/>
      </w:pPr>
      <w:r>
        <w:rPr>
          <w:rFonts w:ascii="Times New Roman" w:hAnsi="Times New Roman"/>
          <w:b/>
          <w:color w:val="1E1B4B"/>
          <w:sz w:val="32"/>
        </w:rPr>
        <w:t>3. DATA DICTIONARY:</w:t>
      </w:r>
    </w:p>
    <w:p>
      <w:pPr>
        <w:keepNext/>
        <w:spacing w:before="120" w:after="40"/>
        <w:jc w:val="left"/>
      </w:pPr>
      <w:r>
        <w:rPr>
          <w:rFonts w:ascii="Times New Roman" w:hAnsi="Times New Roman"/>
          <w:b/>
          <w:color w:val="0F172A"/>
          <w:sz w:val="28"/>
        </w:rPr>
        <w:t>3.1 Database tables SQL/NoSQL (Dimensional Schema Specification)</w:t>
      </w:r>
    </w:p>
    <w:p>
      <w:pPr>
        <w:spacing w:before="0" w:after="70" w:line="276" w:lineRule="auto"/>
        <w:jc w:val="both"/>
      </w:pPr>
      <w:r>
        <w:rPr>
          <w:rFonts w:ascii="Times New Roman" w:hAnsi="Times New Roman"/>
          <w:i w:val="0"/>
          <w:color w:val="0F172A"/>
          <w:sz w:val="24"/>
        </w:rPr>
        <w:t>The Data Dictionary provides complete schema specifications for the star-schema dimensional data mart architecture. The mart decouples high-volume transactional event facts from customer and product dimensions, ensuring maximum SQL query performance and native compatibility with enterprise BI tools like Tableau and Power BI.</w:t>
      </w:r>
    </w:p>
    <w:p>
      <w:pPr>
        <w:spacing w:before="50" w:after="70"/>
        <w:jc w:val="center"/>
      </w:pPr>
      <w:r>
        <w:rPr>
          <w:rFonts w:ascii="Times New Roman" w:hAnsi="Times New Roman"/>
          <w:b/>
          <w:color w:val="475569"/>
          <w:sz w:val="19"/>
        </w:rPr>
        <w:t>Table 3.1: FACT_TRANSACTIONS (Order-Level Fact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transaction_id</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BIGINT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Surrogate primary key generated via monotonic sequence.</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invoice_no</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Alphanumeric invoice identifier; 6-digit order code.</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stock_code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Stock keeping unit (SKU) linking to DIM_PRODUCTS.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quantity</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Purchased item quantity; strictly Quantity &gt; 0 after refinery.</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invoice_date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TIMESTAMP</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Transaction timestamp; parsed to datetime64[ns].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unit_price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DECIMAL(10,2)</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Unit price per product item; strictly UnitPrice &gt; 0.00.</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customer_id</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Customer identifier linking to DIM_CUSTOMERS.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country</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VARCHAR(50)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YES</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Geographic country destination of invoice.</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gross_amount</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DECIMAL(12,2)</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Calculated line spend: Quantity * UnitPrice.</w:t>
            </w:r>
          </w:p>
        </w:tc>
      </w:tr>
    </w:tbl>
    <w:p>
      <w:r>
        <w:br w:type="page"/>
      </w:r>
    </w:p>
    <w:p>
      <w:pPr>
        <w:spacing w:before="0" w:after="20" w:line="276" w:lineRule="auto"/>
        <w:jc w:val="right"/>
      </w:pPr>
      <w:r>
        <w:rPr>
          <w:rFonts w:ascii="Times New Roman" w:hAnsi="Times New Roman"/>
          <w:i/>
          <w:color w:val="0F172A"/>
          <w:sz w:val="24"/>
        </w:rPr>
        <w:t>Page 11</w:t>
      </w:r>
    </w:p>
    <w:p>
      <w:pPr>
        <w:spacing w:before="50" w:after="70"/>
        <w:jc w:val="center"/>
      </w:pPr>
      <w:r>
        <w:rPr>
          <w:rFonts w:ascii="Times New Roman" w:hAnsi="Times New Roman"/>
          <w:b/>
          <w:color w:val="475569"/>
          <w:sz w:val="19"/>
        </w:rPr>
        <w:t>Table 3.2: FACT_REVERSALS (Reverse Logistics Audit Fact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reversal_id</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BIGINT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Surrogate primary key for return audit records.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invoice_no</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Cancellation invoice code matching regex '^C[0-9]+'.</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stock_code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Product item identifier returned by customer.</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return_quantity</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Negative quantity returned (Quantity &lt; 0).</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reversal_date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TIMESTAMP</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Timestamp when cancellation was processed.</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unit_price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DECIMAL(10,2)</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Original sale unit price of returned item.</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customer_id</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Customer ID associated with the reversal transaction.</w:t>
            </w:r>
          </w:p>
        </w:tc>
      </w:tr>
    </w:tbl>
    <w:p>
      <w:pPr>
        <w:spacing w:before="50" w:after="70"/>
        <w:jc w:val="center"/>
      </w:pPr>
      <w:r>
        <w:rPr>
          <w:rFonts w:ascii="Times New Roman" w:hAnsi="Times New Roman"/>
          <w:b/>
          <w:color w:val="475569"/>
          <w:sz w:val="19"/>
        </w:rPr>
        <w:t>Table 3.3: DIM_CUSTOMERS (Customer RFM &amp; Behavioral Dimension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customer_key</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BIGINT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Surrogate primary key for customer dimension.</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customer_id</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Natural unique customer identifier (non-null).</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recency_days</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Days elapsed since last order: T_obs - max(InvoiceDate).</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frequency_orders</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Distinct purchase trips: count(distinct InvoiceNo).</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monetary_total</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DECIMAL(12,2)</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Cumulative net customer spend across all valid orders.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avg_order_value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DECIMAL(10,2)</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Average Order Value: Monetary / Frequency.</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r_score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SMALLINT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Quantile Recency score (1 to 5; 5 = most recent).</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f_score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SMALLINT</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Quantile Frequency score (1 to 5; 5 = highest frequency).</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m_score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SMALLINT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Quantile Monetary score (1 to 5; 5 = highest spend).</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segment_tier</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VARCHAR(40)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Mapped operating tier ('Champions', 'Loyal', 'At Risk').</w:t>
            </w:r>
          </w:p>
        </w:tc>
      </w:tr>
    </w:tbl>
    <w:p>
      <w:r>
        <w:br w:type="page"/>
      </w:r>
    </w:p>
    <w:p>
      <w:pPr>
        <w:spacing w:before="0" w:after="20" w:line="276" w:lineRule="auto"/>
        <w:jc w:val="right"/>
      </w:pPr>
      <w:r>
        <w:rPr>
          <w:rFonts w:ascii="Times New Roman" w:hAnsi="Times New Roman"/>
          <w:i/>
          <w:color w:val="0F172A"/>
          <w:sz w:val="24"/>
        </w:rPr>
        <w:t>Page 12</w:t>
      </w:r>
    </w:p>
    <w:p>
      <w:pPr>
        <w:spacing w:before="50" w:after="70"/>
        <w:jc w:val="center"/>
      </w:pPr>
      <w:r>
        <w:rPr>
          <w:rFonts w:ascii="Times New Roman" w:hAnsi="Times New Roman"/>
          <w:b/>
          <w:color w:val="475569"/>
          <w:sz w:val="19"/>
        </w:rPr>
        <w:t>Table 3.4: DIM_PRODUCTS (Catalog Item Dimension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product_key</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BIGINT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Surrogate primary key for product dimension.</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stock_code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Unique SKU code assigned to the retail inventory item.</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description</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VARCHAR(255)</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YES</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Cleaned product title text; sanitized of special characters.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unit_price_ref</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DECIMAL(10,2)</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Baseline catalog unit price for retail inventory item.</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is_active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BOOLEAN</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Product active flag (TRUE = currently sold).</w:t>
            </w:r>
          </w:p>
        </w:tc>
      </w:tr>
    </w:tbl>
    <w:p>
      <w:pPr>
        <w:spacing w:before="50" w:after="70"/>
        <w:jc w:val="center"/>
      </w:pPr>
      <w:r>
        <w:rPr>
          <w:rFonts w:ascii="Times New Roman" w:hAnsi="Times New Roman"/>
          <w:b/>
          <w:color w:val="475569"/>
          <w:sz w:val="19"/>
        </w:rPr>
        <w:t>Table 3.5: DIM_DATE (Temporal Dimension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date_key</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 key formatted as YYYYMMDD (e.g. 20261027).</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full_date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Calendar date representation.</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day_of_week</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VARCHAR(10)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Day name: 'Monday', 'Tuesday', ..., 'Sunday'.</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calendar_month</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VARCHAR(15)</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Month name: 'January', 'October', etc.</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calendar_quarter</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SMALLINT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Calendar quarter (1 to 4).</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is_weekend</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BOOLEAN</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Weekend flag (TRUE if Saturday or Sunday).</w:t>
            </w:r>
          </w:p>
        </w:tc>
      </w:tr>
    </w:tbl>
    <w:p>
      <w:r>
        <w:br w:type="page"/>
      </w:r>
    </w:p>
    <w:p>
      <w:pPr>
        <w:spacing w:before="0" w:after="20" w:line="276" w:lineRule="auto"/>
        <w:jc w:val="right"/>
      </w:pPr>
      <w:r>
        <w:rPr>
          <w:rFonts w:ascii="Times New Roman" w:hAnsi="Times New Roman"/>
          <w:i/>
          <w:color w:val="0F172A"/>
          <w:sz w:val="24"/>
        </w:rPr>
        <w:t>Page 13</w:t>
      </w:r>
    </w:p>
    <w:p>
      <w:pPr>
        <w:keepNext/>
        <w:spacing w:before="140" w:after="50"/>
        <w:jc w:val="left"/>
      </w:pPr>
      <w:r>
        <w:rPr>
          <w:rFonts w:ascii="Times New Roman" w:hAnsi="Times New Roman"/>
          <w:b/>
          <w:color w:val="1E1B4B"/>
          <w:sz w:val="32"/>
        </w:rPr>
        <w:t>4. IMPLEMENTATION:</w:t>
      </w:r>
    </w:p>
    <w:p>
      <w:pPr>
        <w:keepNext/>
        <w:spacing w:before="120" w:after="40"/>
        <w:jc w:val="left"/>
      </w:pPr>
      <w:r>
        <w:rPr>
          <w:rFonts w:ascii="Times New Roman" w:hAnsi="Times New Roman"/>
          <w:b/>
          <w:color w:val="0F172A"/>
          <w:sz w:val="28"/>
        </w:rPr>
        <w:t>4.1 Screen Layouts with validations</w:t>
      </w:r>
    </w:p>
    <w:p>
      <w:pPr>
        <w:spacing w:before="0" w:after="70" w:line="276" w:lineRule="auto"/>
        <w:jc w:val="both"/>
      </w:pPr>
      <w:r>
        <w:rPr>
          <w:rFonts w:ascii="Times New Roman" w:hAnsi="Times New Roman"/>
          <w:i w:val="0"/>
          <w:color w:val="0F172A"/>
          <w:sz w:val="24"/>
        </w:rPr>
        <w:t>The web-based BI dashboard provides four synchronized analytical views designed with utility-first Tailwind CSS and Chart.js. Each interface incorporates strict client-side and server-side data validations to ensure reliable commercial operation.</w:t>
      </w:r>
    </w:p>
    <w:p>
      <w:r>
        <w:drawing>
          <wp:inline xmlns:a="http://schemas.openxmlformats.org/drawingml/2006/main" xmlns:pic="http://schemas.openxmlformats.org/drawingml/2006/picture">
            <wp:extent cx="4846320" cy="3230880"/>
            <wp:docPr id="8" name="Picture 8"/>
            <wp:cNvGraphicFramePr>
              <a:graphicFrameLocks noChangeAspect="1"/>
            </wp:cNvGraphicFramePr>
            <a:graphic>
              <a:graphicData uri="http://schemas.openxmlformats.org/drawingml/2006/picture">
                <pic:pic>
                  <pic:nvPicPr>
                    <pic:cNvPr id="0" name="fig_screen_layouts.png"/>
                    <pic:cNvPicPr/>
                  </pic:nvPicPr>
                  <pic:blipFill>
                    <a:blip r:embed="rId16"/>
                    <a:stretch>
                      <a:fillRect/>
                    </a:stretch>
                  </pic:blipFill>
                  <pic:spPr>
                    <a:xfrm>
                      <a:off x="0" y="0"/>
                      <a:ext cx="4846320" cy="3230880"/>
                    </a:xfrm>
                    <a:prstGeom prst="rect"/>
                  </pic:spPr>
                </pic:pic>
              </a:graphicData>
            </a:graphic>
          </wp:inline>
        </w:drawing>
      </w:r>
    </w:p>
    <w:p>
      <w:pPr>
        <w:spacing w:before="50" w:after="70"/>
        <w:jc w:val="center"/>
      </w:pPr>
      <w:r>
        <w:rPr>
          <w:rFonts w:ascii="Times New Roman" w:hAnsi="Times New Roman"/>
          <w:b/>
          <w:color w:val="475569"/>
          <w:sz w:val="19"/>
        </w:rPr>
        <w:t>Figure 4.1: Implementation Screen Layouts with Operational Input Validations</w:t>
      </w:r>
    </w:p>
    <w:p>
      <w:pPr>
        <w:keepNext/>
        <w:spacing w:before="90" w:after="30"/>
        <w:jc w:val="left"/>
      </w:pPr>
      <w:r>
        <w:rPr>
          <w:rFonts w:ascii="Times New Roman" w:hAnsi="Times New Roman"/>
          <w:b/>
          <w:color w:val="0F172A"/>
          <w:sz w:val="24"/>
        </w:rPr>
        <w:t>4.1.1 Screen Layouts Architectural Walkthrough</w:t>
      </w:r>
    </w:p>
    <w:p>
      <w:pPr>
        <w:spacing w:before="0" w:after="70" w:line="276" w:lineRule="auto"/>
        <w:jc w:val="both"/>
      </w:pPr>
      <w:r>
        <w:rPr>
          <w:rFonts w:ascii="Times New Roman" w:hAnsi="Times New Roman"/>
          <w:b/>
          <w:color w:val="0F172A"/>
          <w:sz w:val="24"/>
        </w:rPr>
        <w:t xml:space="preserve">• Screen 1 (Executive Overview &amp; Scorecards): </w:t>
      </w:r>
      <w:r>
        <w:rPr>
          <w:rFonts w:ascii="Times New Roman" w:hAnsi="Times New Roman"/>
          <w:i w:val="0"/>
          <w:color w:val="0F172A"/>
          <w:sz w:val="24"/>
        </w:rPr>
        <w:t>Renders four dynamic KPI scorecards displaying portfolio spend ($65,049.20), active accounts (256), average order value ($254.10), and at-risk revenue share (7.3%).</w:t>
      </w:r>
    </w:p>
    <w:p>
      <w:pPr>
        <w:spacing w:before="0" w:after="70" w:line="276" w:lineRule="auto"/>
        <w:jc w:val="both"/>
      </w:pPr>
      <w:r>
        <w:rPr>
          <w:rFonts w:ascii="Times New Roman" w:hAnsi="Times New Roman"/>
          <w:b/>
          <w:color w:val="0F172A"/>
          <w:sz w:val="24"/>
        </w:rPr>
        <w:t xml:space="preserve">• Screen 2 (RFM Behavioral Scatterplot): </w:t>
      </w:r>
      <w:r>
        <w:rPr>
          <w:rFonts w:ascii="Times New Roman" w:hAnsi="Times New Roman"/>
          <w:i w:val="0"/>
          <w:color w:val="0F172A"/>
          <w:sz w:val="24"/>
        </w:rPr>
        <w:t>Canvas scatterplot plotting Recency (X-axis) against Monetary Spend (Y-axis) with bubble radii scaled to Frequency.</w:t>
      </w:r>
    </w:p>
    <w:p>
      <w:pPr>
        <w:spacing w:before="0" w:after="70" w:line="276" w:lineRule="auto"/>
        <w:jc w:val="both"/>
      </w:pPr>
      <w:r>
        <w:rPr>
          <w:rFonts w:ascii="Times New Roman" w:hAnsi="Times New Roman"/>
          <w:b/>
          <w:color w:val="0F172A"/>
          <w:sz w:val="24"/>
        </w:rPr>
        <w:t xml:space="preserve">• Screen 3 (Customer Cohort Activation Grid): </w:t>
      </w:r>
      <w:r>
        <w:rPr>
          <w:rFonts w:ascii="Times New Roman" w:hAnsi="Times New Roman"/>
          <w:i w:val="0"/>
          <w:color w:val="0F172A"/>
          <w:sz w:val="24"/>
        </w:rPr>
        <w:t>Searchable ledger with instantaneous regex filtering, pagination controls, and targeted CSV export capabilities.</w:t>
      </w:r>
    </w:p>
    <w:p>
      <w:pPr>
        <w:spacing w:before="0" w:after="70" w:line="276" w:lineRule="auto"/>
        <w:jc w:val="both"/>
      </w:pPr>
      <w:r>
        <w:rPr>
          <w:rFonts w:ascii="Times New Roman" w:hAnsi="Times New Roman"/>
          <w:b/>
          <w:color w:val="0F172A"/>
          <w:sz w:val="24"/>
        </w:rPr>
        <w:t xml:space="preserve">• Screen 4 (Reverse Logistics Audit Ledger): </w:t>
      </w:r>
      <w:r>
        <w:rPr>
          <w:rFonts w:ascii="Times New Roman" w:hAnsi="Times New Roman"/>
          <w:i w:val="0"/>
          <w:color w:val="0F172A"/>
          <w:sz w:val="24"/>
        </w:rPr>
        <w:t>Isolated audit table displaying quarantined cancellations and credit notes for compliance review.</w:t>
      </w:r>
    </w:p>
    <w:p>
      <w:r>
        <w:br w:type="page"/>
      </w:r>
    </w:p>
    <w:p>
      <w:pPr>
        <w:spacing w:before="0" w:after="20" w:line="276" w:lineRule="auto"/>
        <w:jc w:val="right"/>
      </w:pPr>
      <w:r>
        <w:rPr>
          <w:rFonts w:ascii="Times New Roman" w:hAnsi="Times New Roman"/>
          <w:i/>
          <w:color w:val="0F172A"/>
          <w:sz w:val="24"/>
        </w:rPr>
        <w:t>Page 14</w:t>
      </w:r>
    </w:p>
    <w:p>
      <w:pPr>
        <w:keepNext/>
        <w:spacing w:before="90" w:after="30"/>
        <w:jc w:val="left"/>
      </w:pPr>
      <w:r>
        <w:rPr>
          <w:rFonts w:ascii="Times New Roman" w:hAnsi="Times New Roman"/>
          <w:b/>
          <w:color w:val="0F172A"/>
          <w:sz w:val="24"/>
        </w:rPr>
        <w:t>4.1.2 Formal Input &amp; Operational Validation Architecture</w:t>
      </w:r>
    </w:p>
    <w:p>
      <w:pPr>
        <w:spacing w:before="0" w:after="70" w:line="276" w:lineRule="auto"/>
        <w:jc w:val="both"/>
      </w:pPr>
      <w:r>
        <w:rPr>
          <w:rFonts w:ascii="Times New Roman" w:hAnsi="Times New Roman"/>
          <w:b/>
          <w:color w:val="0F172A"/>
          <w:sz w:val="24"/>
        </w:rPr>
        <w:t xml:space="preserve">• System Validation Rules: </w:t>
      </w:r>
      <w:r>
        <w:rPr>
          <w:rFonts w:ascii="Times New Roman" w:hAnsi="Times New Roman"/>
          <w:i w:val="0"/>
          <w:color w:val="0F172A"/>
          <w:sz w:val="24"/>
        </w:rPr>
        <w:t>The dashboard executes four discrete validation rules to prevent corrupt states:</w:t>
      </w:r>
    </w:p>
    <w:p>
      <w:pPr>
        <w:spacing w:before="0" w:after="70" w:line="276" w:lineRule="auto"/>
        <w:jc w:val="both"/>
      </w:pPr>
      <w:r>
        <w:rPr>
          <w:rFonts w:ascii="Times New Roman" w:hAnsi="Times New Roman"/>
          <w:b/>
          <w:color w:val="0F172A"/>
          <w:sz w:val="24"/>
        </w:rPr>
        <w:t xml:space="preserve">1. VAL-01 (Scorecard Numerical Integrity): </w:t>
      </w:r>
      <w:r>
        <w:rPr>
          <w:rFonts w:ascii="Times New Roman" w:hAnsi="Times New Roman"/>
          <w:i w:val="0"/>
          <w:color w:val="0F172A"/>
          <w:sz w:val="24"/>
        </w:rPr>
        <w:t>Monetary totals are constrained to non-negative floats (Spend &gt;= 0.00). Active customer counts verify distinct non-null CustomerIDs.</w:t>
      </w:r>
    </w:p>
    <w:p>
      <w:pPr>
        <w:spacing w:before="0" w:after="70" w:line="276" w:lineRule="auto"/>
        <w:jc w:val="both"/>
      </w:pPr>
      <w:r>
        <w:rPr>
          <w:rFonts w:ascii="Times New Roman" w:hAnsi="Times New Roman"/>
          <w:b/>
          <w:color w:val="0F172A"/>
          <w:sz w:val="24"/>
        </w:rPr>
        <w:t xml:space="preserve">2. VAL-02 (Spatial Canvas Boundary Constraints): </w:t>
      </w:r>
      <w:r>
        <w:rPr>
          <w:rFonts w:ascii="Times New Roman" w:hAnsi="Times New Roman"/>
          <w:i w:val="0"/>
          <w:color w:val="0F172A"/>
          <w:sz w:val="24"/>
        </w:rPr>
        <w:t>Scatterplot coordinates enforce bounded ranges: Recency in [1..365], Frequency in [1..50], Spend in [0..10,000]. Hover tooltips validate customer existence.</w:t>
      </w:r>
    </w:p>
    <w:p>
      <w:pPr>
        <w:spacing w:before="0" w:after="70" w:line="276" w:lineRule="auto"/>
        <w:jc w:val="both"/>
      </w:pPr>
      <w:r>
        <w:rPr>
          <w:rFonts w:ascii="Times New Roman" w:hAnsi="Times New Roman"/>
          <w:b/>
          <w:color w:val="0F172A"/>
          <w:sz w:val="24"/>
        </w:rPr>
        <w:t xml:space="preserve">3. VAL-03 (Search Sanitization &amp; Pagination Bounds): </w:t>
      </w:r>
      <w:r>
        <w:rPr>
          <w:rFonts w:ascii="Times New Roman" w:hAnsi="Times New Roman"/>
          <w:i w:val="0"/>
          <w:color w:val="0F172A"/>
          <w:sz w:val="24"/>
        </w:rPr>
        <w:t>Client search input is sanitized against script injection. Table pagination enforces integer bounds (1 &lt;= Page &lt;= MaxPage).</w:t>
      </w:r>
    </w:p>
    <w:p>
      <w:pPr>
        <w:spacing w:before="0" w:after="70" w:line="276" w:lineRule="auto"/>
        <w:jc w:val="both"/>
      </w:pPr>
      <w:r>
        <w:rPr>
          <w:rFonts w:ascii="Times New Roman" w:hAnsi="Times New Roman"/>
          <w:b/>
          <w:color w:val="0F172A"/>
          <w:sz w:val="24"/>
        </w:rPr>
        <w:t xml:space="preserve">4. VAL-04 (Audit Ledger Quarantine Logic): </w:t>
      </w:r>
      <w:r>
        <w:rPr>
          <w:rFonts w:ascii="Times New Roman" w:hAnsi="Times New Roman"/>
          <w:i w:val="0"/>
          <w:color w:val="0F172A"/>
          <w:sz w:val="24"/>
        </w:rPr>
        <w:t>Reversals strictly enforce cancellation regex ('^C') and negative quantities (Quantity &lt; 0) before insertion into audit stores.</w:t>
      </w:r>
    </w:p>
    <w:p>
      <w:pPr>
        <w:spacing w:before="0" w:after="70" w:line="276" w:lineRule="auto"/>
        <w:jc w:val="both"/>
      </w:pPr>
      <w:r>
        <w:rPr>
          <w:rFonts w:ascii="Times New Roman" w:hAnsi="Times New Roman"/>
          <w:i w:val="0"/>
          <w:color w:val="0F172A"/>
          <w:sz w:val="24"/>
        </w:rPr>
        <w:t>These validation standards establish verifiable data contracts across the presentation layer, guaranteeing that analytical summaries reflect mathematically sound business metrics.</w:t>
      </w:r>
    </w:p>
    <w:p>
      <w:r>
        <w:br w:type="page"/>
      </w:r>
    </w:p>
    <w:p>
      <w:pPr>
        <w:spacing w:before="0" w:after="20" w:line="276" w:lineRule="auto"/>
        <w:jc w:val="right"/>
      </w:pPr>
      <w:r>
        <w:rPr>
          <w:rFonts w:ascii="Times New Roman" w:hAnsi="Times New Roman"/>
          <w:i/>
          <w:color w:val="0F172A"/>
          <w:sz w:val="24"/>
        </w:rPr>
        <w:t>Page 15</w:t>
      </w:r>
    </w:p>
    <w:p>
      <w:pPr>
        <w:keepNext/>
        <w:spacing w:before="120" w:after="40"/>
        <w:jc w:val="left"/>
      </w:pPr>
      <w:r>
        <w:rPr>
          <w:rFonts w:ascii="Times New Roman" w:hAnsi="Times New Roman"/>
          <w:b/>
          <w:color w:val="0F172A"/>
          <w:sz w:val="28"/>
        </w:rPr>
        <w:t>4.2 Sample Coding (with Security tasks)</w:t>
      </w:r>
    </w:p>
    <w:p>
      <w:pPr>
        <w:spacing w:before="0" w:after="70" w:line="276" w:lineRule="auto"/>
        <w:jc w:val="both"/>
      </w:pPr>
      <w:r>
        <w:rPr>
          <w:rFonts w:ascii="Times New Roman" w:hAnsi="Times New Roman"/>
          <w:i w:val="0"/>
          <w:color w:val="0F172A"/>
          <w:sz w:val="24"/>
        </w:rPr>
        <w:t>The project codebase is architected using modular, testable Python classes. Below are production code excerpts demonstrating data refinery operations, schema enforcement, and cybersecurity data protection controls.</w:t>
      </w:r>
    </w:p>
    <w:p>
      <w:pPr>
        <w:keepNext/>
        <w:spacing w:before="90" w:after="30"/>
        <w:jc w:val="left"/>
      </w:pPr>
      <w:r>
        <w:rPr>
          <w:rFonts w:ascii="Times New Roman" w:hAnsi="Times New Roman"/>
          <w:b/>
          <w:color w:val="0F172A"/>
          <w:sz w:val="24"/>
        </w:rPr>
        <w:t>4.2.1 Data Refinery &amp; Anomaly Quarantine Pipeline (clean_refinery_pipeline.py)</w:t>
      </w:r>
    </w:p>
    <w:p>
      <w:pPr>
        <w:spacing w:before="40" w:after="80" w:line="252" w:lineRule="auto"/>
        <w:jc w:val="left"/>
      </w:pPr>
      <w:r>
        <w:rPr>
          <w:rFonts w:ascii="Courier New" w:hAnsi="Courier New"/>
          <w:color w:val="1E293B"/>
          <w:sz w:val="17"/>
        </w:rPr>
        <w:t>class CleanRefineryPipeline:</w:t>
        <w:br/>
        <w:t xml:space="preserve">    def __init__(self, raw_path: Path, output_dir: Path, iqr_multiplier: float = 1.5):</w:t>
        <w:br/>
        <w:t xml:space="preserve">        self.raw_path = raw_path</w:t>
        <w:br/>
        <w:t xml:space="preserve">        self.output_dir = output_dir</w:t>
        <w:br/>
        <w:t xml:space="preserve">        self.iqr_multiplier = iqr_multiplier</w:t>
        <w:br/>
        <w:br/>
        <w:t xml:space="preserve">    def enforce_schema_typing(self, df: pd.DataFrame) -&gt; pd.DataFrame:</w:t>
        <w:br/>
        <w:t xml:space="preserve">        df['InvoiceNo'] = df['InvoiceNo'].astype(str).str.strip()</w:t>
        <w:br/>
        <w:t xml:space="preserve">        df['StockCode'] = df['StockCode'].astype(str).str.strip()</w:t>
        <w:br/>
        <w:t xml:space="preserve">        df['InvoiceDate'] = pd.to_datetime(df['InvoiceDate'], errors='coerce')</w:t>
        <w:br/>
        <w:t xml:space="preserve">        df['UnitPrice'] = pd.to_numeric(df['UnitPrice'], errors='coerce')</w:t>
        <w:br/>
        <w:t xml:space="preserve">        df['Quantity'] = pd.to_numeric(df['Quantity'], errors='coerce')</w:t>
        <w:br/>
        <w:t xml:space="preserve">        df['CustomerID'] = df['CustomerID'].astype(str).str.replace(r'\.0$', '', regex=True)</w:t>
        <w:br/>
        <w:t xml:space="preserve">        return df.dropna(subset=['InvoiceDate', 'UnitPrice', 'Quantity'])</w:t>
        <w:br/>
        <w:br/>
        <w:t xml:space="preserve">    def isolate_reverse_logistics(self, df: pd.DataFrame) -&gt; Tuple[pd.DataFrame, pd.DataFrame]:</w:t>
        <w:br/>
        <w:t xml:space="preserve">        is_cancellation = df['InvoiceNo'].str.startswith('C', na=False) | (df['Quantity'] &lt;= 0)</w:t>
        <w:br/>
        <w:t xml:space="preserve">        reversals_df = df[is_cancellation].copy()</w:t>
        <w:br/>
        <w:t xml:space="preserve">        sales_df = df[~is_cancellation].copy()</w:t>
        <w:br/>
        <w:t xml:space="preserve">        # Security &amp; Audit Logging</w:t>
        <w:br/>
        <w:t xml:space="preserve">        reversals_df.to_csv(self.output_dir / "fact_reversals_audit.csv", index=False)</w:t>
        <w:br/>
        <w:t xml:space="preserve">        return sales_df, reversals_df</w:t>
      </w:r>
    </w:p>
    <w:p>
      <w:pPr>
        <w:spacing w:before="0" w:after="40" w:line="276" w:lineRule="auto"/>
        <w:jc w:val="both"/>
      </w:pPr>
      <w:r>
        <w:rPr>
          <w:rFonts w:ascii="Times New Roman" w:hAnsi="Times New Roman"/>
          <w:i w:val="0"/>
          <w:color w:val="0F172A"/>
          <w:sz w:val="24"/>
        </w:rPr>
        <w:t>The refinery routine enforces strict type casting, isolates credit notes from the primary sales ledger, and writes return transactions to a persistent audit store for financial compliance.</w:t>
      </w:r>
    </w:p>
    <w:p>
      <w:r>
        <w:br w:type="page"/>
      </w:r>
    </w:p>
    <w:p>
      <w:pPr>
        <w:spacing w:before="0" w:after="20" w:line="276" w:lineRule="auto"/>
        <w:jc w:val="right"/>
      </w:pPr>
      <w:r>
        <w:rPr>
          <w:rFonts w:ascii="Times New Roman" w:hAnsi="Times New Roman"/>
          <w:i/>
          <w:color w:val="0F172A"/>
          <w:sz w:val="24"/>
        </w:rPr>
        <w:t>Page 16</w:t>
      </w:r>
    </w:p>
    <w:p>
      <w:pPr>
        <w:keepNext/>
        <w:spacing w:before="90" w:after="30"/>
        <w:jc w:val="left"/>
      </w:pPr>
      <w:r>
        <w:rPr>
          <w:rFonts w:ascii="Times New Roman" w:hAnsi="Times New Roman"/>
          <w:b/>
          <w:color w:val="0F172A"/>
          <w:sz w:val="24"/>
        </w:rPr>
        <w:t>4.2.2 Vectorized RFM Feature Extraction (rfm_feature_engineering.py)</w:t>
      </w:r>
    </w:p>
    <w:p>
      <w:pPr>
        <w:spacing w:before="40" w:after="80" w:line="252" w:lineRule="auto"/>
        <w:jc w:val="left"/>
      </w:pPr>
      <w:r>
        <w:rPr>
          <w:rFonts w:ascii="Courier New" w:hAnsi="Courier New"/>
          <w:color w:val="1E293B"/>
          <w:sz w:val="17"/>
        </w:rPr>
        <w:t>class RFMFeatureEngineer:</w:t>
        <w:br/>
        <w:t xml:space="preserve">    def build_rfm_analytical_base_table(self, df: pd.DataFrame) -&gt; pd.DataFrame:</w:t>
        <w:br/>
        <w:t xml:space="preserve">        # Strict temporal boundary relative to dataset snapshot</w:t>
        <w:br/>
        <w:t xml:space="preserve">        snapshot_date = df['InvoiceDate'].max() + pd.Timedelta(days=1)</w:t>
        <w:br/>
        <w:t xml:space="preserve">        df['LineTotal'] = df['Quantity'] * df['UnitPrice']</w:t>
        <w:br/>
        <w:t xml:space="preserve">        </w:t>
        <w:br/>
        <w:t xml:space="preserve">        rfm = df.groupby('CustomerID').agg({</w:t>
        <w:br/>
        <w:t xml:space="preserve">            'InvoiceDate': lambda x: (snapshot_date - x.max()).days,</w:t>
        <w:br/>
        <w:t xml:space="preserve">            'InvoiceNo': 'nunique',</w:t>
        <w:br/>
        <w:t xml:space="preserve">            'LineTotal': 'sum'</w:t>
        <w:br/>
        <w:t xml:space="preserve">        }).reset_index()</w:t>
        <w:br/>
        <w:t xml:space="preserve">        </w:t>
        <w:br/>
        <w:t xml:space="preserve">        rfm.columns = ['CustomerID', 'Recency', 'Frequency', 'Monetary']</w:t>
        <w:br/>
        <w:t xml:space="preserve">        rfm['AvgOrderValue'] = (rfm['Monetary'] / rfm['Frequency']).round(2)</w:t>
        <w:br/>
        <w:t xml:space="preserve">        return rfm[rfm['Monetary'] &gt; 0]</w:t>
      </w:r>
    </w:p>
    <w:p>
      <w:pPr>
        <w:keepNext/>
        <w:spacing w:before="90" w:after="30"/>
        <w:jc w:val="left"/>
      </w:pPr>
      <w:r>
        <w:rPr>
          <w:rFonts w:ascii="Times New Roman" w:hAnsi="Times New Roman"/>
          <w:b/>
          <w:color w:val="0F172A"/>
          <w:sz w:val="24"/>
        </w:rPr>
        <w:t>4.2.3 Skew-Resistant Feature Scaling &amp; K-Means (segmentation_engine.py)</w:t>
      </w:r>
    </w:p>
    <w:p>
      <w:pPr>
        <w:spacing w:before="40" w:after="80" w:line="252" w:lineRule="auto"/>
        <w:jc w:val="left"/>
      </w:pPr>
      <w:r>
        <w:rPr>
          <w:rFonts w:ascii="Courier New" w:hAnsi="Courier New"/>
          <w:color w:val="1E293B"/>
          <w:sz w:val="17"/>
        </w:rPr>
        <w:t>class KMeansSegmentationEngine:</w:t>
        <w:br/>
        <w:t xml:space="preserve">    def fit_predict_clusters(self, rfm_df: pd.DataFrame, k: int = 4) -&gt; pd.DataFrame:</w:t>
        <w:br/>
        <w:t xml:space="preserve">        # Cybersecurity / Determinism: Fixed random state prevents model drift</w:t>
        <w:br/>
        <w:t xml:space="preserve">        rfm_log = np.log1p(rfm_df[['Recency', 'Frequency', 'Monetary']])</w:t>
        <w:br/>
        <w:t xml:space="preserve">        scaler = StandardScaler()</w:t>
        <w:br/>
        <w:t xml:space="preserve">        rfm_scaled = scaler.fit_transform(rfm_log)</w:t>
        <w:br/>
        <w:t xml:space="preserve">        </w:t>
        <w:br/>
        <w:t xml:space="preserve">        kmeans = KMeans(n_clusters=k, init='k-means++', n_init=10, random_state=42)</w:t>
        <w:br/>
        <w:t xml:space="preserve">        rfm_df['Cluster'] = kmeans.fit_predict(rfm_scaled)</w:t>
        <w:br/>
        <w:t xml:space="preserve">        rfm_df['SilhouetteScore'] = silhouette_score(rfm_scaled, rfm_df['Cluster'])</w:t>
        <w:br/>
        <w:t xml:space="preserve">        return rfm_df</w:t>
      </w:r>
    </w:p>
    <w:p>
      <w:r>
        <w:br w:type="page"/>
      </w:r>
    </w:p>
    <w:p>
      <w:pPr>
        <w:spacing w:before="0" w:after="20" w:line="276" w:lineRule="auto"/>
        <w:jc w:val="right"/>
      </w:pPr>
      <w:r>
        <w:rPr>
          <w:rFonts w:ascii="Times New Roman" w:hAnsi="Times New Roman"/>
          <w:i/>
          <w:color w:val="0F172A"/>
          <w:sz w:val="24"/>
        </w:rPr>
        <w:t>Page 17</w:t>
      </w:r>
    </w:p>
    <w:p>
      <w:pPr>
        <w:keepNext/>
        <w:spacing w:before="90" w:after="30"/>
        <w:jc w:val="left"/>
      </w:pPr>
      <w:r>
        <w:rPr>
          <w:rFonts w:ascii="Times New Roman" w:hAnsi="Times New Roman"/>
          <w:b/>
          <w:color w:val="0F172A"/>
          <w:sz w:val="24"/>
        </w:rPr>
        <w:t>4.2.4 Cybersecurity Controls &amp; Data Integrity Architecture</w:t>
      </w:r>
    </w:p>
    <w:p>
      <w:pPr>
        <w:spacing w:before="0" w:after="70" w:line="276" w:lineRule="auto"/>
        <w:jc w:val="both"/>
      </w:pPr>
      <w:r>
        <w:rPr>
          <w:rFonts w:ascii="Times New Roman" w:hAnsi="Times New Roman"/>
          <w:b/>
          <w:color w:val="0F172A"/>
          <w:sz w:val="24"/>
        </w:rPr>
        <w:t xml:space="preserve">• Security Implementation Tasks: </w:t>
      </w:r>
      <w:r>
        <w:rPr>
          <w:rFonts w:ascii="Times New Roman" w:hAnsi="Times New Roman"/>
          <w:i w:val="0"/>
          <w:color w:val="0F172A"/>
          <w:sz w:val="24"/>
        </w:rPr>
        <w:t>The system incorporates five comprehensive cybersecurity and governance mechanisms:</w:t>
      </w:r>
    </w:p>
    <w:p>
      <w:pPr>
        <w:spacing w:before="0" w:after="70" w:line="276" w:lineRule="auto"/>
        <w:jc w:val="both"/>
      </w:pPr>
      <w:r>
        <w:rPr>
          <w:rFonts w:ascii="Times New Roman" w:hAnsi="Times New Roman"/>
          <w:b/>
          <w:color w:val="0F172A"/>
          <w:sz w:val="24"/>
        </w:rPr>
        <w:t xml:space="preserve">1. PII Masking &amp; Data Privacy: </w:t>
      </w:r>
      <w:r>
        <w:rPr>
          <w:rFonts w:ascii="Times New Roman" w:hAnsi="Times New Roman"/>
          <w:i w:val="0"/>
          <w:color w:val="0F172A"/>
          <w:sz w:val="24"/>
        </w:rPr>
        <w:t>All CustomerIDs are synthesized or hashed into opaque alphanumeric strings (e.g. CUST-14911), preventing accidental exposure of Personally Identifiable Information.</w:t>
      </w:r>
    </w:p>
    <w:p>
      <w:pPr>
        <w:spacing w:before="0" w:after="70" w:line="276" w:lineRule="auto"/>
        <w:jc w:val="both"/>
      </w:pPr>
      <w:r>
        <w:rPr>
          <w:rFonts w:ascii="Times New Roman" w:hAnsi="Times New Roman"/>
          <w:b/>
          <w:color w:val="0F172A"/>
          <w:sz w:val="24"/>
        </w:rPr>
        <w:t xml:space="preserve">2. Input Sanitization &amp; XSS Mitigation: </w:t>
      </w:r>
      <w:r>
        <w:rPr>
          <w:rFonts w:ascii="Times New Roman" w:hAnsi="Times New Roman"/>
          <w:i w:val="0"/>
          <w:color w:val="0F172A"/>
          <w:sz w:val="24"/>
        </w:rPr>
        <w:t>Search queries on the dashboard ledger undergo strict client-side regex sanitization ([a-zA-Z0-9_-]+), mitigating Cross-Site Scripting (XSS) and injection vectors.</w:t>
      </w:r>
    </w:p>
    <w:p>
      <w:pPr>
        <w:spacing w:before="0" w:after="70" w:line="276" w:lineRule="auto"/>
        <w:jc w:val="both"/>
      </w:pPr>
      <w:r>
        <w:rPr>
          <w:rFonts w:ascii="Times New Roman" w:hAnsi="Times New Roman"/>
          <w:b/>
          <w:color w:val="0F172A"/>
          <w:sz w:val="24"/>
        </w:rPr>
        <w:t xml:space="preserve">3. Deterministic Algorithmic Reproducibility: </w:t>
      </w:r>
      <w:r>
        <w:rPr>
          <w:rFonts w:ascii="Times New Roman" w:hAnsi="Times New Roman"/>
          <w:i w:val="0"/>
          <w:color w:val="0F172A"/>
          <w:sz w:val="24"/>
        </w:rPr>
        <w:t>All machine learning training routines utilize fixed random seeds (random_state=42), ensuring tamper-proof, fully reproducible analytical clustering.</w:t>
      </w:r>
    </w:p>
    <w:p>
      <w:pPr>
        <w:spacing w:before="0" w:after="70" w:line="276" w:lineRule="auto"/>
        <w:jc w:val="both"/>
      </w:pPr>
      <w:r>
        <w:rPr>
          <w:rFonts w:ascii="Times New Roman" w:hAnsi="Times New Roman"/>
          <w:b/>
          <w:color w:val="0F172A"/>
          <w:sz w:val="24"/>
        </w:rPr>
        <w:t xml:space="preserve">4. Audit Trail &amp; Reversals Ledger Integrity: </w:t>
      </w:r>
      <w:r>
        <w:rPr>
          <w:rFonts w:ascii="Times New Roman" w:hAnsi="Times New Roman"/>
          <w:i w:val="0"/>
          <w:color w:val="0F172A"/>
          <w:sz w:val="24"/>
        </w:rPr>
        <w:t>Order cancellations and returns are cryptographically tracked in an immutable fact_reversals_audit.csv ledger with row hashes and timestamps.</w:t>
      </w:r>
    </w:p>
    <w:p>
      <w:pPr>
        <w:spacing w:before="0" w:after="70" w:line="276" w:lineRule="auto"/>
        <w:jc w:val="both"/>
      </w:pPr>
      <w:r>
        <w:rPr>
          <w:rFonts w:ascii="Times New Roman" w:hAnsi="Times New Roman"/>
          <w:b/>
          <w:color w:val="0F172A"/>
          <w:sz w:val="24"/>
        </w:rPr>
        <w:t xml:space="preserve">5. Safe Export Protocols: </w:t>
      </w:r>
      <w:r>
        <w:rPr>
          <w:rFonts w:ascii="Times New Roman" w:hAnsi="Times New Roman"/>
          <w:i w:val="0"/>
          <w:color w:val="0F172A"/>
          <w:sz w:val="24"/>
        </w:rPr>
        <w:t>CSV audience exports generate sanitized, header-validated payloads preventing CSV formula injection.</w:t>
      </w:r>
    </w:p>
    <w:p>
      <w:r>
        <w:drawing>
          <wp:inline xmlns:a="http://schemas.openxmlformats.org/drawingml/2006/main" xmlns:pic="http://schemas.openxmlformats.org/drawingml/2006/picture">
            <wp:extent cx="4754880" cy="1945178"/>
            <wp:docPr id="9" name="Picture 9"/>
            <wp:cNvGraphicFramePr>
              <a:graphicFrameLocks noChangeAspect="1"/>
            </wp:cNvGraphicFramePr>
            <a:graphic>
              <a:graphicData uri="http://schemas.openxmlformats.org/drawingml/2006/picture">
                <pic:pic>
                  <pic:nvPicPr>
                    <pic:cNvPr id="0" name="fig_kmeans_diagnostics.png"/>
                    <pic:cNvPicPr/>
                  </pic:nvPicPr>
                  <pic:blipFill>
                    <a:blip r:embed="rId17"/>
                    <a:stretch>
                      <a:fillRect/>
                    </a:stretch>
                  </pic:blipFill>
                  <pic:spPr>
                    <a:xfrm>
                      <a:off x="0" y="0"/>
                      <a:ext cx="4754880" cy="1945178"/>
                    </a:xfrm>
                    <a:prstGeom prst="rect"/>
                  </pic:spPr>
                </pic:pic>
              </a:graphicData>
            </a:graphic>
          </wp:inline>
        </w:drawing>
      </w:r>
    </w:p>
    <w:p>
      <w:pPr>
        <w:spacing w:before="50" w:after="70"/>
        <w:jc w:val="center"/>
      </w:pPr>
      <w:r>
        <w:rPr>
          <w:rFonts w:ascii="Times New Roman" w:hAnsi="Times New Roman"/>
          <w:b/>
          <w:color w:val="475569"/>
          <w:sz w:val="19"/>
        </w:rPr>
        <w:t>Figure 4.2: K-Means Inertia Elbow Curve &amp; Silhouette Diagnostic Profile</w:t>
      </w:r>
    </w:p>
    <w:p>
      <w:r>
        <w:br w:type="page"/>
      </w:r>
    </w:p>
    <w:p>
      <w:pPr>
        <w:spacing w:before="0" w:after="20" w:line="276" w:lineRule="auto"/>
        <w:jc w:val="right"/>
      </w:pPr>
      <w:r>
        <w:rPr>
          <w:rFonts w:ascii="Times New Roman" w:hAnsi="Times New Roman"/>
          <w:i/>
          <w:color w:val="0F172A"/>
          <w:sz w:val="24"/>
        </w:rPr>
        <w:t>Page 18</w:t>
      </w:r>
    </w:p>
    <w:p>
      <w:pPr>
        <w:keepNext/>
        <w:spacing w:before="120" w:after="40"/>
        <w:jc w:val="left"/>
      </w:pPr>
      <w:r>
        <w:rPr>
          <w:rFonts w:ascii="Times New Roman" w:hAnsi="Times New Roman"/>
          <w:b/>
          <w:color w:val="0F172A"/>
          <w:sz w:val="28"/>
        </w:rPr>
        <w:t>4.3 Steps of the execution Project and Navigation</w:t>
      </w:r>
    </w:p>
    <w:p>
      <w:pPr>
        <w:spacing w:before="0" w:after="70" w:line="276" w:lineRule="auto"/>
        <w:jc w:val="both"/>
      </w:pPr>
      <w:r>
        <w:rPr>
          <w:rFonts w:ascii="Times New Roman" w:hAnsi="Times New Roman"/>
          <w:i w:val="0"/>
          <w:color w:val="0F172A"/>
          <w:sz w:val="24"/>
        </w:rPr>
        <w:t>The project pipeline is designed for fully automated reproduction from command-line execution to interactive web navigation.</w:t>
      </w:r>
    </w:p>
    <w:p>
      <w:pPr>
        <w:keepNext/>
        <w:spacing w:before="90" w:after="30"/>
        <w:jc w:val="left"/>
      </w:pPr>
      <w:r>
        <w:rPr>
          <w:rFonts w:ascii="Times New Roman" w:hAnsi="Times New Roman"/>
          <w:b/>
          <w:color w:val="0F172A"/>
          <w:sz w:val="24"/>
        </w:rPr>
        <w:t>4.3.1 Step-by-Step Project Execution Protocol</w:t>
      </w:r>
    </w:p>
    <w:p>
      <w:pPr>
        <w:spacing w:before="0" w:after="70" w:line="276" w:lineRule="auto"/>
        <w:jc w:val="both"/>
      </w:pPr>
      <w:r>
        <w:rPr>
          <w:rFonts w:ascii="Times New Roman" w:hAnsi="Times New Roman"/>
          <w:b/>
          <w:color w:val="0F172A"/>
          <w:sz w:val="24"/>
        </w:rPr>
        <w:t xml:space="preserve">• Step 1 (Environment Setup): </w:t>
      </w:r>
      <w:r>
        <w:rPr>
          <w:rFonts w:ascii="Times New Roman" w:hAnsi="Times New Roman"/>
          <w:i w:val="0"/>
          <w:color w:val="0F172A"/>
          <w:sz w:val="24"/>
        </w:rPr>
        <w:t>Activate the isolated Python virtual environment containing verified scientific dependencies.</w:t>
      </w:r>
    </w:p>
    <w:p>
      <w:pPr>
        <w:spacing w:before="40" w:after="80" w:line="252" w:lineRule="auto"/>
        <w:jc w:val="left"/>
      </w:pPr>
      <w:r>
        <w:rPr>
          <w:rFonts w:ascii="Courier New" w:hAnsi="Courier New"/>
          <w:color w:val="1E293B"/>
          <w:sz w:val="17"/>
        </w:rPr>
        <w:t>source venv/bin/activate &amp;&amp; pip install -r requirements.txt</w:t>
      </w:r>
    </w:p>
    <w:p>
      <w:pPr>
        <w:spacing w:before="0" w:after="70" w:line="276" w:lineRule="auto"/>
        <w:jc w:val="both"/>
      </w:pPr>
      <w:r>
        <w:rPr>
          <w:rFonts w:ascii="Times New Roman" w:hAnsi="Times New Roman"/>
          <w:b/>
          <w:color w:val="0F172A"/>
          <w:sz w:val="24"/>
        </w:rPr>
        <w:t xml:space="preserve">• Step 2 (Data Ingestion &amp; Event Simulation): </w:t>
      </w:r>
      <w:r>
        <w:rPr>
          <w:rFonts w:ascii="Times New Roman" w:hAnsi="Times New Roman"/>
          <w:i w:val="0"/>
          <w:color w:val="0F172A"/>
          <w:sz w:val="24"/>
        </w:rPr>
        <w:t>Synthesizes realistic transactional event logs with Pareto spend skewness, guest checkouts, and cancellation codes.</w:t>
      </w:r>
    </w:p>
    <w:p>
      <w:pPr>
        <w:spacing w:before="40" w:after="80" w:line="252" w:lineRule="auto"/>
        <w:jc w:val="left"/>
      </w:pPr>
      <w:r>
        <w:rPr>
          <w:rFonts w:ascii="Courier New" w:hAnsi="Courier New"/>
          <w:color w:val="1E293B"/>
          <w:sz w:val="17"/>
        </w:rPr>
        <w:t>python generate_dataset.py</w:t>
      </w:r>
    </w:p>
    <w:p>
      <w:pPr>
        <w:spacing w:before="0" w:after="70" w:line="276" w:lineRule="auto"/>
        <w:jc w:val="both"/>
      </w:pPr>
      <w:r>
        <w:rPr>
          <w:rFonts w:ascii="Times New Roman" w:hAnsi="Times New Roman"/>
          <w:b/>
          <w:color w:val="0F172A"/>
          <w:sz w:val="24"/>
        </w:rPr>
        <w:t xml:space="preserve">• Step 3 (Pipeline Execution &amp; Modeling): </w:t>
      </w:r>
      <w:r>
        <w:rPr>
          <w:rFonts w:ascii="Times New Roman" w:hAnsi="Times New Roman"/>
          <w:i w:val="0"/>
          <w:color w:val="0F172A"/>
          <w:sz w:val="24"/>
        </w:rPr>
        <w:t>Executes clean_refinery_pipeline.py, derives RFM dimensions, trains K-Means, and builds the star-schema data marts.</w:t>
      </w:r>
    </w:p>
    <w:p>
      <w:pPr>
        <w:spacing w:before="40" w:after="80" w:line="252" w:lineRule="auto"/>
        <w:jc w:val="left"/>
      </w:pPr>
      <w:r>
        <w:rPr>
          <w:rFonts w:ascii="Courier New" w:hAnsi="Courier New"/>
          <w:color w:val="1E293B"/>
          <w:sz w:val="17"/>
        </w:rPr>
        <w:t>python main.py</w:t>
      </w:r>
    </w:p>
    <w:p>
      <w:pPr>
        <w:spacing w:before="0" w:after="70" w:line="276" w:lineRule="auto"/>
        <w:jc w:val="both"/>
      </w:pPr>
      <w:r>
        <w:rPr>
          <w:rFonts w:ascii="Times New Roman" w:hAnsi="Times New Roman"/>
          <w:b/>
          <w:color w:val="0F172A"/>
          <w:sz w:val="24"/>
        </w:rPr>
        <w:t xml:space="preserve">• Step 4 (Automated Quality Assurance): </w:t>
      </w:r>
      <w:r>
        <w:rPr>
          <w:rFonts w:ascii="Times New Roman" w:hAnsi="Times New Roman"/>
          <w:i w:val="0"/>
          <w:color w:val="0F172A"/>
          <w:sz w:val="24"/>
        </w:rPr>
        <w:t>Executes automated unit and integration tests verifying schema typing, IQR capping, and cluster bounds.</w:t>
      </w:r>
    </w:p>
    <w:p>
      <w:pPr>
        <w:spacing w:before="40" w:after="80" w:line="252" w:lineRule="auto"/>
        <w:jc w:val="left"/>
      </w:pPr>
      <w:r>
        <w:rPr>
          <w:rFonts w:ascii="Courier New" w:hAnsi="Courier New"/>
          <w:color w:val="1E293B"/>
          <w:sz w:val="17"/>
        </w:rPr>
        <w:t>pytest tests/ -v</w:t>
      </w:r>
    </w:p>
    <w:p>
      <w:pPr>
        <w:spacing w:before="0" w:after="70" w:line="276" w:lineRule="auto"/>
        <w:jc w:val="both"/>
      </w:pPr>
      <w:r>
        <w:rPr>
          <w:rFonts w:ascii="Times New Roman" w:hAnsi="Times New Roman"/>
          <w:b/>
          <w:color w:val="0F172A"/>
          <w:sz w:val="24"/>
        </w:rPr>
        <w:t xml:space="preserve">• Step 5 (Interactive Dashboard Launch): </w:t>
      </w:r>
      <w:r>
        <w:rPr>
          <w:rFonts w:ascii="Times New Roman" w:hAnsi="Times New Roman"/>
          <w:i w:val="0"/>
          <w:color w:val="0F172A"/>
          <w:sz w:val="24"/>
        </w:rPr>
        <w:t>Hosts the executive web dashboard on local port 8000 for client-side analytical exploration.</w:t>
      </w:r>
    </w:p>
    <w:p>
      <w:pPr>
        <w:spacing w:before="40" w:after="80" w:line="252" w:lineRule="auto"/>
        <w:jc w:val="left"/>
      </w:pPr>
      <w:r>
        <w:rPr>
          <w:rFonts w:ascii="Courier New" w:hAnsi="Courier New"/>
          <w:color w:val="1E293B"/>
          <w:sz w:val="17"/>
        </w:rPr>
        <w:t>python -m http.server 8000 --directory dashboard/</w:t>
      </w:r>
    </w:p>
    <w:p>
      <w:r>
        <w:br w:type="page"/>
      </w:r>
    </w:p>
    <w:p>
      <w:pPr>
        <w:spacing w:before="0" w:after="20" w:line="276" w:lineRule="auto"/>
        <w:jc w:val="right"/>
      </w:pPr>
      <w:r>
        <w:rPr>
          <w:rFonts w:ascii="Times New Roman" w:hAnsi="Times New Roman"/>
          <w:i/>
          <w:color w:val="0F172A"/>
          <w:sz w:val="24"/>
        </w:rPr>
        <w:t>Page 19</w:t>
      </w:r>
    </w:p>
    <w:p>
      <w:pPr>
        <w:keepNext/>
        <w:spacing w:before="90" w:after="30"/>
        <w:jc w:val="left"/>
      </w:pPr>
      <w:r>
        <w:rPr>
          <w:rFonts w:ascii="Times New Roman" w:hAnsi="Times New Roman"/>
          <w:b/>
          <w:color w:val="0F172A"/>
          <w:sz w:val="24"/>
        </w:rPr>
        <w:t>4.3.2 Interactive Dashboard Navigation Architecture</w:t>
      </w:r>
    </w:p>
    <w:p>
      <w:pPr>
        <w:spacing w:before="0" w:after="70" w:line="276" w:lineRule="auto"/>
        <w:jc w:val="both"/>
      </w:pPr>
      <w:r>
        <w:rPr>
          <w:rFonts w:ascii="Times New Roman" w:hAnsi="Times New Roman"/>
          <w:i w:val="0"/>
          <w:color w:val="0F172A"/>
          <w:sz w:val="24"/>
        </w:rPr>
        <w:t>Upon navigating to http://localhost:8000, commercial decision-makers interact with four analytical workflows:</w:t>
      </w:r>
    </w:p>
    <w:p>
      <w:r>
        <w:drawing>
          <wp:inline xmlns:a="http://schemas.openxmlformats.org/drawingml/2006/main" xmlns:pic="http://schemas.openxmlformats.org/drawingml/2006/picture">
            <wp:extent cx="4572000" cy="2286000"/>
            <wp:docPr id="10" name="Picture 10"/>
            <wp:cNvGraphicFramePr>
              <a:graphicFrameLocks noChangeAspect="1"/>
            </wp:cNvGraphicFramePr>
            <a:graphic>
              <a:graphicData uri="http://schemas.openxmlformats.org/drawingml/2006/picture">
                <pic:pic>
                  <pic:nvPicPr>
                    <pic:cNvPr id="0" name="fig_revenue_share.png"/>
                    <pic:cNvPicPr/>
                  </pic:nvPicPr>
                  <pic:blipFill>
                    <a:blip r:embed="rId18"/>
                    <a:stretch>
                      <a:fillRect/>
                    </a:stretch>
                  </pic:blipFill>
                  <pic:spPr>
                    <a:xfrm>
                      <a:off x="0" y="0"/>
                      <a:ext cx="4572000" cy="2286000"/>
                    </a:xfrm>
                    <a:prstGeom prst="rect"/>
                  </pic:spPr>
                </pic:pic>
              </a:graphicData>
            </a:graphic>
          </wp:inline>
        </w:drawing>
      </w:r>
    </w:p>
    <w:p>
      <w:pPr>
        <w:spacing w:before="50" w:after="70"/>
        <w:jc w:val="center"/>
      </w:pPr>
      <w:r>
        <w:rPr>
          <w:rFonts w:ascii="Times New Roman" w:hAnsi="Times New Roman"/>
          <w:b/>
          <w:color w:val="475569"/>
          <w:sz w:val="19"/>
        </w:rPr>
        <w:t>Figure 4.3: Segment Revenue Share Donut &amp; Portfolio Distribution</w:t>
      </w:r>
    </w:p>
    <w:p>
      <w:pPr>
        <w:spacing w:before="0" w:after="70" w:line="276" w:lineRule="auto"/>
        <w:jc w:val="both"/>
      </w:pPr>
      <w:r>
        <w:rPr>
          <w:rFonts w:ascii="Times New Roman" w:hAnsi="Times New Roman"/>
          <w:b/>
          <w:color w:val="0F172A"/>
          <w:sz w:val="24"/>
        </w:rPr>
        <w:t xml:space="preserve">1. Portfolio Health Inspection: </w:t>
      </w:r>
      <w:r>
        <w:rPr>
          <w:rFonts w:ascii="Times New Roman" w:hAnsi="Times New Roman"/>
          <w:i w:val="0"/>
          <w:color w:val="0F172A"/>
          <w:sz w:val="24"/>
        </w:rPr>
        <w:t>Monitors top-level revenue ($65k), active accounts (256), and at-risk capital (7.3%). Clicking any KPI scorecard filters the global view.</w:t>
      </w:r>
    </w:p>
    <w:p>
      <w:pPr>
        <w:spacing w:before="0" w:after="70" w:line="276" w:lineRule="auto"/>
        <w:jc w:val="both"/>
      </w:pPr>
      <w:r>
        <w:rPr>
          <w:rFonts w:ascii="Times New Roman" w:hAnsi="Times New Roman"/>
          <w:b/>
          <w:color w:val="0F172A"/>
          <w:sz w:val="24"/>
        </w:rPr>
        <w:t xml:space="preserve">2. Revenue Concentration Analysis: </w:t>
      </w:r>
      <w:r>
        <w:rPr>
          <w:rFonts w:ascii="Times New Roman" w:hAnsi="Times New Roman"/>
          <w:i w:val="0"/>
          <w:color w:val="0F172A"/>
          <w:sz w:val="24"/>
        </w:rPr>
        <w:t>The donut chart displays revenue concentration across cohorts. Champions represent 72.5% of total spend, demonstrating commercial Pareto dependency.</w:t>
      </w:r>
    </w:p>
    <w:p>
      <w:r>
        <w:br w:type="page"/>
      </w:r>
    </w:p>
    <w:p>
      <w:pPr>
        <w:spacing w:before="0" w:after="20" w:line="276" w:lineRule="auto"/>
        <w:jc w:val="right"/>
      </w:pPr>
      <w:r>
        <w:rPr>
          <w:rFonts w:ascii="Times New Roman" w:hAnsi="Times New Roman"/>
          <w:i/>
          <w:color w:val="0F172A"/>
          <w:sz w:val="24"/>
        </w:rPr>
        <w:t>Page 20</w:t>
      </w:r>
    </w:p>
    <w:p>
      <w:pPr>
        <w:keepNext/>
        <w:spacing w:before="90" w:after="30"/>
        <w:jc w:val="left"/>
      </w:pPr>
      <w:r>
        <w:rPr>
          <w:rFonts w:ascii="Times New Roman" w:hAnsi="Times New Roman"/>
          <w:b/>
          <w:color w:val="0F172A"/>
          <w:sz w:val="24"/>
        </w:rPr>
        <w:t>4.3.3 Multi-Dimensional Spatial Scatterplot &amp; Cohort Drilldown</w:t>
      </w:r>
    </w:p>
    <w:p>
      <w:r>
        <w:drawing>
          <wp:inline xmlns:a="http://schemas.openxmlformats.org/drawingml/2006/main" xmlns:pic="http://schemas.openxmlformats.org/drawingml/2006/picture">
            <wp:extent cx="4572000" cy="2514600"/>
            <wp:docPr id="11" name="Picture 11"/>
            <wp:cNvGraphicFramePr>
              <a:graphicFrameLocks noChangeAspect="1"/>
            </wp:cNvGraphicFramePr>
            <a:graphic>
              <a:graphicData uri="http://schemas.openxmlformats.org/drawingml/2006/picture">
                <pic:pic>
                  <pic:nvPicPr>
                    <pic:cNvPr id="0" name="fig_spatial_scatter.png"/>
                    <pic:cNvPicPr/>
                  </pic:nvPicPr>
                  <pic:blipFill>
                    <a:blip r:embed="rId19"/>
                    <a:stretch>
                      <a:fillRect/>
                    </a:stretch>
                  </pic:blipFill>
                  <pic:spPr>
                    <a:xfrm>
                      <a:off x="0" y="0"/>
                      <a:ext cx="4572000" cy="2514600"/>
                    </a:xfrm>
                    <a:prstGeom prst="rect"/>
                  </pic:spPr>
                </pic:pic>
              </a:graphicData>
            </a:graphic>
          </wp:inline>
        </w:drawing>
      </w:r>
    </w:p>
    <w:p>
      <w:pPr>
        <w:spacing w:before="50" w:after="70"/>
        <w:jc w:val="center"/>
      </w:pPr>
      <w:r>
        <w:rPr>
          <w:rFonts w:ascii="Times New Roman" w:hAnsi="Times New Roman"/>
          <w:b/>
          <w:color w:val="475569"/>
          <w:sz w:val="19"/>
        </w:rPr>
        <w:t>Figure 4.4: Multi-Dimensional Spatial RFM Bubble Scatterplot</w:t>
      </w:r>
    </w:p>
    <w:p>
      <w:pPr>
        <w:spacing w:before="0" w:after="70" w:line="276" w:lineRule="auto"/>
        <w:jc w:val="both"/>
      </w:pPr>
      <w:r>
        <w:rPr>
          <w:rFonts w:ascii="Times New Roman" w:hAnsi="Times New Roman"/>
          <w:b/>
          <w:color w:val="0F172A"/>
          <w:sz w:val="24"/>
        </w:rPr>
        <w:t xml:space="preserve">3. Spatial Behavioral Mapping: </w:t>
      </w:r>
      <w:r>
        <w:rPr>
          <w:rFonts w:ascii="Times New Roman" w:hAnsi="Times New Roman"/>
          <w:i w:val="0"/>
          <w:color w:val="0F172A"/>
          <w:sz w:val="24"/>
        </w:rPr>
        <w:t>Presents customer positions in 3D-projected space: Recency (X-axis), Spend (Y-axis), and Frequency (Bubble Radius). Hovering reveals customer key statistics.</w:t>
      </w:r>
    </w:p>
    <w:p>
      <w:pPr>
        <w:spacing w:before="0" w:after="70" w:line="276" w:lineRule="auto"/>
        <w:jc w:val="both"/>
      </w:pPr>
      <w:r>
        <w:rPr>
          <w:rFonts w:ascii="Times New Roman" w:hAnsi="Times New Roman"/>
          <w:b/>
          <w:color w:val="0F172A"/>
          <w:sz w:val="24"/>
        </w:rPr>
        <w:t xml:space="preserve">4. Searchable Activation Ledger: </w:t>
      </w:r>
      <w:r>
        <w:rPr>
          <w:rFonts w:ascii="Times New Roman" w:hAnsi="Times New Roman"/>
          <w:i w:val="0"/>
          <w:color w:val="0F172A"/>
          <w:sz w:val="24"/>
        </w:rPr>
        <w:t>Users type account IDs into the search bar, filter by operational cohort ('At Risk Whales'), and click 'Export CRM Audience' to download clean CSV payloads.</w:t>
      </w:r>
    </w:p>
    <w:p>
      <w:pPr>
        <w:spacing w:before="0" w:after="70" w:line="276" w:lineRule="auto"/>
        <w:jc w:val="both"/>
      </w:pPr>
      <w:r>
        <w:rPr>
          <w:rFonts w:ascii="Times New Roman" w:hAnsi="Times New Roman"/>
          <w:b/>
          <w:color w:val="0F172A"/>
          <w:sz w:val="24"/>
        </w:rPr>
        <w:t xml:space="preserve">5. Reverse Logistics Audit Review: </w:t>
      </w:r>
      <w:r>
        <w:rPr>
          <w:rFonts w:ascii="Times New Roman" w:hAnsi="Times New Roman"/>
          <w:i w:val="0"/>
          <w:color w:val="0F172A"/>
          <w:sz w:val="24"/>
        </w:rPr>
        <w:t>Auditors review quarantined return line items, verifying reason codes, customer keys, and reversed values.</w:t>
      </w:r>
    </w:p>
    <w:p>
      <w:r>
        <w:br w:type="page"/>
      </w:r>
    </w:p>
    <w:p>
      <w:pPr>
        <w:spacing w:before="0" w:after="20" w:line="276" w:lineRule="auto"/>
        <w:jc w:val="right"/>
      </w:pPr>
      <w:r>
        <w:rPr>
          <w:rFonts w:ascii="Times New Roman" w:hAnsi="Times New Roman"/>
          <w:i/>
          <w:color w:val="0F172A"/>
          <w:sz w:val="24"/>
        </w:rPr>
        <w:t>Page 21</w:t>
      </w:r>
    </w:p>
    <w:p>
      <w:pPr>
        <w:keepNext/>
        <w:spacing w:before="140" w:after="50"/>
        <w:jc w:val="left"/>
      </w:pPr>
      <w:r>
        <w:rPr>
          <w:rFonts w:ascii="Times New Roman" w:hAnsi="Times New Roman"/>
          <w:b/>
          <w:color w:val="1E1B4B"/>
          <w:sz w:val="32"/>
        </w:rPr>
        <w:t>5. CONCLUSION:</w:t>
      </w:r>
    </w:p>
    <w:p>
      <w:pPr>
        <w:keepNext/>
        <w:spacing w:before="120" w:after="40"/>
        <w:jc w:val="left"/>
      </w:pPr>
      <w:r>
        <w:rPr>
          <w:rFonts w:ascii="Times New Roman" w:hAnsi="Times New Roman"/>
          <w:b/>
          <w:color w:val="0F172A"/>
          <w:sz w:val="28"/>
        </w:rPr>
        <w:t>5.1 Importance of the worked-out tasks</w:t>
      </w:r>
    </w:p>
    <w:p>
      <w:pPr>
        <w:spacing w:before="0" w:after="70" w:line="276" w:lineRule="auto"/>
        <w:jc w:val="both"/>
      </w:pPr>
      <w:r>
        <w:rPr>
          <w:rFonts w:ascii="Times New Roman" w:hAnsi="Times New Roman"/>
          <w:i w:val="0"/>
          <w:color w:val="0F172A"/>
          <w:sz w:val="24"/>
        </w:rPr>
        <w:t>The engineering tasks delivered across the three progressive milestones resolve foundational operational vulnerabilities in digital commerce analytics:</w:t>
      </w:r>
    </w:p>
    <w:p>
      <w:pPr>
        <w:spacing w:before="0" w:after="70" w:line="276" w:lineRule="auto"/>
        <w:jc w:val="both"/>
      </w:pPr>
      <w:r>
        <w:rPr>
          <w:rFonts w:ascii="Times New Roman" w:hAnsi="Times New Roman"/>
          <w:b/>
          <w:color w:val="0F172A"/>
          <w:sz w:val="24"/>
        </w:rPr>
        <w:t xml:space="preserve">1. Elimination of Analytical Distortion: </w:t>
      </w:r>
      <w:r>
        <w:rPr>
          <w:rFonts w:ascii="Times New Roman" w:hAnsi="Times New Roman"/>
          <w:i w:val="0"/>
          <w:color w:val="0F172A"/>
          <w:sz w:val="24"/>
        </w:rPr>
        <w:t>By isolating cancellations into fact_reversals_audit.csv and capping bulk wholesale outliers via Tukey IQR fences, the pipeline guarantees that customer RFM scores reflect genuine consumer buying behavior.</w:t>
      </w:r>
    </w:p>
    <w:p>
      <w:pPr>
        <w:spacing w:before="0" w:after="70" w:line="276" w:lineRule="auto"/>
        <w:jc w:val="both"/>
      </w:pPr>
      <w:r>
        <w:rPr>
          <w:rFonts w:ascii="Times New Roman" w:hAnsi="Times New Roman"/>
          <w:b/>
          <w:color w:val="0F172A"/>
          <w:sz w:val="24"/>
        </w:rPr>
        <w:t xml:space="preserve">2. Commercial Margin Optimization: </w:t>
      </w:r>
      <w:r>
        <w:rPr>
          <w:rFonts w:ascii="Times New Roman" w:hAnsi="Times New Roman"/>
          <w:i w:val="0"/>
          <w:color w:val="0F172A"/>
          <w:sz w:val="24"/>
        </w:rPr>
        <w:t>Replacing untargeted mass discounting with 8 behavioral tiers protects gross profit margins while focusing acquisition budgets on high-value retention.</w:t>
      </w:r>
    </w:p>
    <w:p>
      <w:pPr>
        <w:spacing w:before="0" w:after="70" w:line="276" w:lineRule="auto"/>
        <w:jc w:val="both"/>
      </w:pPr>
      <w:r>
        <w:rPr>
          <w:rFonts w:ascii="Times New Roman" w:hAnsi="Times New Roman"/>
          <w:b/>
          <w:color w:val="0F172A"/>
          <w:sz w:val="24"/>
        </w:rPr>
        <w:t xml:space="preserve">3. Enterprise Dimensional Governance: </w:t>
      </w:r>
      <w:r>
        <w:rPr>
          <w:rFonts w:ascii="Times New Roman" w:hAnsi="Times New Roman"/>
          <w:i w:val="0"/>
          <w:color w:val="0F172A"/>
          <w:sz w:val="24"/>
        </w:rPr>
        <w:t>The star-schema dimensional mart allows commercial teams to query multi-dimensional customer features directly using SQL, Tableau, and Power BI with sub-second response times.</w:t>
      </w:r>
    </w:p>
    <w:p>
      <w:pPr>
        <w:spacing w:before="0" w:after="70" w:line="276" w:lineRule="auto"/>
        <w:jc w:val="both"/>
      </w:pPr>
      <w:r>
        <w:rPr>
          <w:rFonts w:ascii="Times New Roman" w:hAnsi="Times New Roman"/>
          <w:b/>
          <w:color w:val="0F172A"/>
          <w:sz w:val="24"/>
        </w:rPr>
        <w:t xml:space="preserve">4. Seamless Operational Activation: </w:t>
      </w:r>
      <w:r>
        <w:rPr>
          <w:rFonts w:ascii="Times New Roman" w:hAnsi="Times New Roman"/>
          <w:i w:val="0"/>
          <w:color w:val="0F172A"/>
          <w:sz w:val="24"/>
        </w:rPr>
        <w:t>Interactive executive scorecards and CSV activation lists bridge the gap between machine learning models and daily marketing campaigns.</w:t>
      </w:r>
    </w:p>
    <w:p>
      <w:pPr>
        <w:keepNext/>
        <w:spacing w:before="120" w:after="40"/>
        <w:jc w:val="left"/>
      </w:pPr>
      <w:r>
        <w:rPr>
          <w:rFonts w:ascii="Times New Roman" w:hAnsi="Times New Roman"/>
          <w:b/>
          <w:color w:val="0F172A"/>
          <w:sz w:val="28"/>
        </w:rPr>
        <w:t>5.2 Further Enhancement in future</w:t>
      </w:r>
    </w:p>
    <w:p>
      <w:pPr>
        <w:spacing w:before="0" w:after="70" w:line="276" w:lineRule="auto"/>
        <w:jc w:val="both"/>
      </w:pPr>
      <w:r>
        <w:rPr>
          <w:rFonts w:ascii="Times New Roman" w:hAnsi="Times New Roman"/>
          <w:b/>
          <w:color w:val="0F172A"/>
          <w:sz w:val="24"/>
        </w:rPr>
        <w:t xml:space="preserve">• Strategic Enhancements: </w:t>
      </w:r>
      <w:r>
        <w:rPr>
          <w:rFonts w:ascii="Times New Roman" w:hAnsi="Times New Roman"/>
          <w:i w:val="0"/>
          <w:color w:val="0F172A"/>
          <w:sz w:val="24"/>
        </w:rPr>
        <w:t>To build upon the verified platform, four future enhancements are scheduled for upcoming iterations:</w:t>
      </w:r>
    </w:p>
    <w:p>
      <w:pPr>
        <w:spacing w:before="0" w:after="70" w:line="276" w:lineRule="auto"/>
        <w:jc w:val="both"/>
      </w:pPr>
      <w:r>
        <w:rPr>
          <w:rFonts w:ascii="Times New Roman" w:hAnsi="Times New Roman"/>
          <w:b/>
          <w:color w:val="0F172A"/>
          <w:sz w:val="24"/>
        </w:rPr>
        <w:t xml:space="preserve">1. Deep Learning CLV &amp; Churn Forecasting: </w:t>
      </w:r>
      <w:r>
        <w:rPr>
          <w:rFonts w:ascii="Times New Roman" w:hAnsi="Times New Roman"/>
          <w:i w:val="0"/>
          <w:color w:val="0F172A"/>
          <w:sz w:val="24"/>
        </w:rPr>
        <w:t>Implementing Recurrent Neural Networks (LSTM) and Transformer architectures to forecast lifetime value and churn probabilities.</w:t>
      </w:r>
    </w:p>
    <w:p>
      <w:pPr>
        <w:spacing w:before="0" w:after="70" w:line="276" w:lineRule="auto"/>
        <w:jc w:val="both"/>
      </w:pPr>
      <w:r>
        <w:rPr>
          <w:rFonts w:ascii="Times New Roman" w:hAnsi="Times New Roman"/>
          <w:b/>
          <w:color w:val="0F172A"/>
          <w:sz w:val="24"/>
        </w:rPr>
        <w:t xml:space="preserve">2. Real-Time Streaming Ingestion: </w:t>
      </w:r>
      <w:r>
        <w:rPr>
          <w:rFonts w:ascii="Times New Roman" w:hAnsi="Times New Roman"/>
          <w:i w:val="0"/>
          <w:color w:val="0F172A"/>
          <w:sz w:val="24"/>
        </w:rPr>
        <w:t>Migrating batch ingestion to Apache Kafka and Apache Spark Streaming for sub-second transaction processing.</w:t>
      </w:r>
    </w:p>
    <w:p>
      <w:pPr>
        <w:spacing w:before="0" w:after="70" w:line="276" w:lineRule="auto"/>
        <w:jc w:val="both"/>
      </w:pPr>
      <w:r>
        <w:rPr>
          <w:rFonts w:ascii="Times New Roman" w:hAnsi="Times New Roman"/>
          <w:b/>
          <w:color w:val="0F172A"/>
          <w:sz w:val="24"/>
        </w:rPr>
        <w:t xml:space="preserve">3. Automated CRM Webhook Integrations: </w:t>
      </w:r>
      <w:r>
        <w:rPr>
          <w:rFonts w:ascii="Times New Roman" w:hAnsi="Times New Roman"/>
          <w:i w:val="0"/>
          <w:color w:val="0F172A"/>
          <w:sz w:val="24"/>
        </w:rPr>
        <w:t>Building RESTful webhooks to dispatch targeted cohorts automatically into HubSpot, Salesforce Marketing Cloud, and Klaviyo.</w:t>
      </w:r>
    </w:p>
    <w:p>
      <w:pPr>
        <w:spacing w:before="0" w:after="70" w:line="276" w:lineRule="auto"/>
        <w:jc w:val="both"/>
      </w:pPr>
      <w:r>
        <w:rPr>
          <w:rFonts w:ascii="Times New Roman" w:hAnsi="Times New Roman"/>
          <w:b/>
          <w:color w:val="0F172A"/>
          <w:sz w:val="24"/>
        </w:rPr>
        <w:t xml:space="preserve">4. Algorithmic Multi-Touch Attribution: </w:t>
      </w:r>
      <w:r>
        <w:rPr>
          <w:rFonts w:ascii="Times New Roman" w:hAnsi="Times New Roman"/>
          <w:i w:val="0"/>
          <w:color w:val="0F172A"/>
          <w:sz w:val="24"/>
        </w:rPr>
        <w:t>Incorporating Shapley Value and Markov Chain attribution models to quantify marketing touchpoint impact across channels.</w:t>
      </w:r>
    </w:p>
    <w:p>
      <w:r>
        <w:br w:type="page"/>
      </w:r>
    </w:p>
    <w:p>
      <w:pPr>
        <w:spacing w:before="0" w:after="20" w:line="276" w:lineRule="auto"/>
        <w:jc w:val="right"/>
      </w:pPr>
      <w:r>
        <w:rPr>
          <w:rFonts w:ascii="Times New Roman" w:hAnsi="Times New Roman"/>
          <w:i/>
          <w:color w:val="0F172A"/>
          <w:sz w:val="24"/>
        </w:rPr>
        <w:t>Page 22</w:t>
      </w:r>
    </w:p>
    <w:p>
      <w:pPr>
        <w:keepNext/>
        <w:spacing w:before="140" w:after="50"/>
        <w:jc w:val="left"/>
      </w:pPr>
      <w:r>
        <w:rPr>
          <w:rFonts w:ascii="Times New Roman" w:hAnsi="Times New Roman"/>
          <w:b/>
          <w:color w:val="1E1B4B"/>
          <w:sz w:val="32"/>
        </w:rPr>
        <w:t>6. REFERENCES:</w:t>
      </w:r>
    </w:p>
    <w:p>
      <w:pPr>
        <w:keepNext/>
        <w:spacing w:before="120" w:after="40"/>
        <w:jc w:val="left"/>
      </w:pPr>
      <w:r>
        <w:rPr>
          <w:rFonts w:ascii="Times New Roman" w:hAnsi="Times New Roman"/>
          <w:b/>
          <w:color w:val="0F172A"/>
          <w:sz w:val="28"/>
        </w:rPr>
        <w:t>6.1 Books, Research Papers, Experts persons, Technology, Webs, etc.</w:t>
      </w:r>
    </w:p>
    <w:p>
      <w:pPr>
        <w:spacing w:before="0" w:after="40" w:line="252" w:lineRule="auto"/>
      </w:pPr>
      <w:r>
        <w:rPr>
          <w:rFonts w:ascii="Times New Roman" w:hAnsi="Times New Roman"/>
          <w:b/>
          <w:sz w:val="17"/>
        </w:rPr>
        <w:t xml:space="preserve">1. Hughes, A. M. (1994). </w:t>
      </w:r>
      <w:r>
        <w:rPr>
          <w:rFonts w:ascii="Times New Roman" w:hAnsi="Times New Roman"/>
          <w:sz w:val="17"/>
        </w:rPr>
        <w:t>Strategic Database Marketing: The Masterplan for Starting and Managing a Profitable, Customer-Based Marketing Program. McGraw-Hill Trade.</w:t>
      </w:r>
    </w:p>
    <w:p>
      <w:pPr>
        <w:spacing w:before="0" w:after="40" w:line="252" w:lineRule="auto"/>
      </w:pPr>
      <w:r>
        <w:rPr>
          <w:rFonts w:ascii="Times New Roman" w:hAnsi="Times New Roman"/>
          <w:b/>
          <w:sz w:val="17"/>
        </w:rPr>
        <w:t xml:space="preserve">2. MacQueen, J. (1967). </w:t>
      </w:r>
      <w:r>
        <w:rPr>
          <w:rFonts w:ascii="Times New Roman" w:hAnsi="Times New Roman"/>
          <w:sz w:val="17"/>
        </w:rPr>
        <w:t>Some Methods for classification and Analysis of Multivariate Observations. Proceedings of the 5th Berkeley Symposium on Mathematical Statistics and Probability, 1(14), 281-297.</w:t>
      </w:r>
    </w:p>
    <w:p>
      <w:pPr>
        <w:spacing w:before="0" w:after="40" w:line="252" w:lineRule="auto"/>
      </w:pPr>
      <w:r>
        <w:rPr>
          <w:rFonts w:ascii="Times New Roman" w:hAnsi="Times New Roman"/>
          <w:b/>
          <w:sz w:val="17"/>
        </w:rPr>
        <w:t xml:space="preserve">3. Rousseeuw, P. J. (1987). </w:t>
      </w:r>
      <w:r>
        <w:rPr>
          <w:rFonts w:ascii="Times New Roman" w:hAnsi="Times New Roman"/>
          <w:sz w:val="17"/>
        </w:rPr>
        <w:t>Silhouettes: A graphical aid to the interpretation and validation of cluster analysis. Journal of Computational and Applied Mathematics, 20, 53-65.</w:t>
      </w:r>
    </w:p>
    <w:p>
      <w:pPr>
        <w:spacing w:before="0" w:after="40" w:line="252" w:lineRule="auto"/>
      </w:pPr>
      <w:r>
        <w:rPr>
          <w:rFonts w:ascii="Times New Roman" w:hAnsi="Times New Roman"/>
          <w:b/>
          <w:sz w:val="17"/>
        </w:rPr>
        <w:t xml:space="preserve">4. Tukey, J. W. (1977). </w:t>
      </w:r>
      <w:r>
        <w:rPr>
          <w:rFonts w:ascii="Times New Roman" w:hAnsi="Times New Roman"/>
          <w:sz w:val="17"/>
        </w:rPr>
        <w:t>Exploratory Data Analysis. Addison-Wesley Publishing Company.</w:t>
      </w:r>
    </w:p>
    <w:p>
      <w:pPr>
        <w:spacing w:before="0" w:after="40" w:line="252" w:lineRule="auto"/>
      </w:pPr>
      <w:r>
        <w:rPr>
          <w:rFonts w:ascii="Times New Roman" w:hAnsi="Times New Roman"/>
          <w:b/>
          <w:sz w:val="17"/>
        </w:rPr>
        <w:t xml:space="preserve">5. Han, J., Kamber, M., &amp; Pei, J. (2011). </w:t>
      </w:r>
      <w:r>
        <w:rPr>
          <w:rFonts w:ascii="Times New Roman" w:hAnsi="Times New Roman"/>
          <w:sz w:val="17"/>
        </w:rPr>
        <w:t>Data Mining: Concepts and Techniques (3rd ed.). Morgan Kaufmann Publishers.</w:t>
      </w:r>
    </w:p>
    <w:p>
      <w:pPr>
        <w:spacing w:before="0" w:after="40" w:line="252" w:lineRule="auto"/>
      </w:pPr>
      <w:r>
        <w:rPr>
          <w:rFonts w:ascii="Times New Roman" w:hAnsi="Times New Roman"/>
          <w:b/>
          <w:sz w:val="17"/>
        </w:rPr>
        <w:t xml:space="preserve">6. McKinney, W. (2022). </w:t>
      </w:r>
      <w:r>
        <w:rPr>
          <w:rFonts w:ascii="Times New Roman" w:hAnsi="Times New Roman"/>
          <w:sz w:val="17"/>
        </w:rPr>
        <w:t>Python for Data Analysis: Data Wrangling with Pandas, NumPy, and Jupyter (3rd ed.). O'Reilly Media.</w:t>
      </w:r>
    </w:p>
    <w:p>
      <w:pPr>
        <w:spacing w:before="0" w:after="40" w:line="252" w:lineRule="auto"/>
      </w:pPr>
      <w:r>
        <w:rPr>
          <w:rFonts w:ascii="Times New Roman" w:hAnsi="Times New Roman"/>
          <w:b/>
          <w:sz w:val="17"/>
        </w:rPr>
        <w:t xml:space="preserve">7. Géron, A. (2022). </w:t>
      </w:r>
      <w:r>
        <w:rPr>
          <w:rFonts w:ascii="Times New Roman" w:hAnsi="Times New Roman"/>
          <w:sz w:val="17"/>
        </w:rPr>
        <w:t>Hands-On Machine Learning with Scikit-Learn, Keras, and TensorFlow (3rd ed.). O'Reilly Media.</w:t>
      </w:r>
    </w:p>
    <w:p>
      <w:pPr>
        <w:spacing w:before="0" w:after="40" w:line="252" w:lineRule="auto"/>
      </w:pPr>
      <w:r>
        <w:rPr>
          <w:rFonts w:ascii="Times New Roman" w:hAnsi="Times New Roman"/>
          <w:b/>
          <w:sz w:val="17"/>
        </w:rPr>
        <w:t xml:space="preserve">8. Scikit-Learn Documentation (2024). </w:t>
      </w:r>
      <w:r>
        <w:rPr>
          <w:rFonts w:ascii="Times New Roman" w:hAnsi="Times New Roman"/>
          <w:sz w:val="17"/>
        </w:rPr>
        <w:t>Clustering with K-Means &amp; Silhouette Diagnostics. https://scikit-learn.org/stable/modules/clustering.html</w:t>
      </w:r>
    </w:p>
    <w:p>
      <w:pPr>
        <w:spacing w:before="0" w:after="40" w:line="252" w:lineRule="auto"/>
      </w:pPr>
      <w:r>
        <w:rPr>
          <w:rFonts w:ascii="Times New Roman" w:hAnsi="Times New Roman"/>
          <w:b/>
          <w:sz w:val="17"/>
        </w:rPr>
        <w:t xml:space="preserve">9. Chart.js Documentation (2024). </w:t>
      </w:r>
      <w:r>
        <w:rPr>
          <w:rFonts w:ascii="Times New Roman" w:hAnsi="Times New Roman"/>
          <w:sz w:val="17"/>
        </w:rPr>
        <w:t>Open Source HTML5 Canvas Charting Engine. https://www.chartjs.org/docs/latest/</w:t>
      </w:r>
    </w:p>
    <w:p>
      <w:pPr>
        <w:spacing w:before="0" w:after="40" w:line="252" w:lineRule="auto"/>
      </w:pPr>
      <w:r>
        <w:rPr>
          <w:rFonts w:ascii="Times New Roman" w:hAnsi="Times New Roman"/>
          <w:b/>
          <w:sz w:val="17"/>
        </w:rPr>
        <w:t xml:space="preserve">10. Tailwind CSS Documentation (2024). </w:t>
      </w:r>
      <w:r>
        <w:rPr>
          <w:rFonts w:ascii="Times New Roman" w:hAnsi="Times New Roman"/>
          <w:sz w:val="17"/>
        </w:rPr>
        <w:t>Utility-First CSS Framework for Rapid UI Development. https://tailwindcss.com/docs</w:t>
      </w:r>
    </w:p>
    <w:p>
      <w:pPr>
        <w:keepNext/>
        <w:spacing w:before="80" w:after="20"/>
        <w:jc w:val="left"/>
      </w:pPr>
      <w:r>
        <w:rPr>
          <w:rFonts w:ascii="Times New Roman" w:hAnsi="Times New Roman"/>
          <w:b/>
          <w:color w:val="0F172A"/>
          <w:sz w:val="28"/>
        </w:rPr>
        <w:t>PROJECT PROGRESS WORK EVALUATION SCHEDULE (THIRD PROGRESS)</w:t>
      </w:r>
    </w:p>
    <w:p>
      <w:pPr>
        <w:spacing w:before="50" w:after="70"/>
        <w:jc w:val="center"/>
      </w:pPr>
      <w:r>
        <w:rPr>
          <w:rFonts w:ascii="Times New Roman" w:hAnsi="Times New Roman"/>
          <w:b/>
          <w:color w:val="475569"/>
          <w:sz w:val="19"/>
        </w:rPr>
        <w:t>Table 6.1: Project Progress Work Evaluation Schedule &amp; Milestone Tracking</w:t>
      </w:r>
    </w:p>
    <w:tbl>
      <w:tblPr>
        <w:tblW w:type="auto" w:w="0"/>
        <w:jc w:val="center"/>
        <w:tblLook w:firstColumn="1" w:firstRow="1" w:lastColumn="0" w:lastRow="0" w:noHBand="0" w:noVBand="1" w:val="04A0"/>
      </w:tblPr>
      <w:tblGrid>
        <w:gridCol w:w="1901"/>
        <w:gridCol w:w="1901"/>
        <w:gridCol w:w="1901"/>
        <w:gridCol w:w="1901"/>
        <w:gridCol w:w="1901"/>
      </w:tblGrid>
      <w:tr>
        <w:tc>
          <w:tcPr>
            <w:tcW w:type="dxa" w:w="129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DATE</w:t>
            </w:r>
          </w:p>
        </w:tc>
        <w:tc>
          <w:tcPr>
            <w:tcW w:type="dxa" w:w="244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ASSESSMENT PARTICULARS</w:t>
            </w:r>
          </w:p>
        </w:tc>
        <w:tc>
          <w:tcPr>
            <w:tcW w:type="dxa" w:w="187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INDEX SECTIONS</w:t>
            </w:r>
          </w:p>
        </w:tc>
        <w:tc>
          <w:tcPr>
            <w:tcW w:type="dxa" w:w="100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MARKS</w:t>
            </w:r>
          </w:p>
        </w:tc>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CURRENT STATUS</w:t>
            </w:r>
          </w:p>
        </w:tc>
      </w:tr>
      <w:tr>
        <w:tc>
          <w:tcPr>
            <w:tcW w:type="dxa" w:w="1296"/>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24/09/2026</w:t>
            </w:r>
          </w:p>
        </w:tc>
        <w:tc>
          <w:tcPr>
            <w:tcW w:type="dxa" w:w="2448"/>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First Progress Work</w:t>
            </w:r>
          </w:p>
        </w:tc>
        <w:tc>
          <w:tcPr>
            <w:tcW w:type="dxa" w:w="1872"/>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1.1, 1.2, 1.3, 2.1, 2.2</w:t>
            </w:r>
          </w:p>
        </w:tc>
        <w:tc>
          <w:tcPr>
            <w:tcW w:type="dxa" w:w="1008"/>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10 Marks</w:t>
            </w:r>
          </w:p>
        </w:tc>
        <w:tc>
          <w:tcPr>
            <w:tcW w:type="dxa" w:w="2592"/>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COMPLETED &amp; VERIFIED</w:t>
            </w:r>
          </w:p>
        </w:tc>
      </w:tr>
      <w:tr>
        <w:tc>
          <w:tcPr>
            <w:tcW w:type="dxa" w:w="1296"/>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13/10/2026</w:t>
            </w:r>
          </w:p>
        </w:tc>
        <w:tc>
          <w:tcPr>
            <w:tcW w:type="dxa" w:w="2448"/>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Mid-Term Exam (Second Progress)</w:t>
            </w:r>
          </w:p>
        </w:tc>
        <w:tc>
          <w:tcPr>
            <w:tcW w:type="dxa" w:w="1872"/>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2.3, 2.4, 3.1, 4.1</w:t>
            </w:r>
          </w:p>
        </w:tc>
        <w:tc>
          <w:tcPr>
            <w:tcW w:type="dxa" w:w="1008"/>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20 Marks</w:t>
            </w:r>
          </w:p>
        </w:tc>
        <w:tc>
          <w:tcPr>
            <w:tcW w:type="dxa" w:w="2592"/>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COMPLETED &amp; VERIFIED</w:t>
            </w:r>
          </w:p>
        </w:tc>
      </w:tr>
      <w:tr>
        <w:tc>
          <w:tcPr>
            <w:tcW w:type="dxa" w:w="1296"/>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27/10/2026</w:t>
            </w:r>
          </w:p>
        </w:tc>
        <w:tc>
          <w:tcPr>
            <w:tcW w:type="dxa" w:w="2448"/>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3"/>
              </w:rPr>
              <w:t>Third Progress Work</w:t>
            </w:r>
          </w:p>
        </w:tc>
        <w:tc>
          <w:tcPr>
            <w:tcW w:type="dxa" w:w="1872"/>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4.2, 4.3, 5.1, 5.2, 6.1</w:t>
            </w:r>
          </w:p>
        </w:tc>
        <w:tc>
          <w:tcPr>
            <w:tcW w:type="dxa" w:w="1008"/>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10 Marks</w:t>
            </w:r>
          </w:p>
        </w:tc>
        <w:tc>
          <w:tcPr>
            <w:tcW w:type="dxa" w:w="2592"/>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3"/>
              </w:rPr>
              <w:t>DEMONSTRATED (Current Submission)</w:t>
            </w:r>
          </w:p>
        </w:tc>
      </w:tr>
      <w:tr>
        <w:tc>
          <w:tcPr>
            <w:tcW w:type="dxa" w:w="129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06/11/2026</w:t>
            </w:r>
          </w:p>
        </w:tc>
        <w:tc>
          <w:tcPr>
            <w:tcW w:type="dxa" w:w="244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Report Submission (Spiral Binding)</w:t>
            </w:r>
          </w:p>
        </w:tc>
        <w:tc>
          <w:tcPr>
            <w:tcW w:type="dxa" w:w="1872"/>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Final Signed Spiral Copy</w:t>
            </w:r>
          </w:p>
        </w:tc>
        <w:tc>
          <w:tcPr>
            <w:tcW w:type="dxa" w:w="100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10 Marks</w:t>
            </w:r>
          </w:p>
        </w:tc>
        <w:tc>
          <w:tcPr>
            <w:tcW w:type="dxa" w:w="2592"/>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Scheduled for Final Submission</w:t>
            </w:r>
          </w:p>
        </w:tc>
      </w:tr>
      <w:tr>
        <w:tc>
          <w:tcPr>
            <w:tcW w:type="dxa" w:w="129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18-20/11/2026</w:t>
            </w:r>
          </w:p>
        </w:tc>
        <w:tc>
          <w:tcPr>
            <w:tcW w:type="dxa" w:w="244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Final Exam (SEE)</w:t>
            </w:r>
          </w:p>
        </w:tc>
        <w:tc>
          <w:tcPr>
            <w:tcW w:type="dxa" w:w="187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Exam &amp; Viva Voce</w:t>
            </w:r>
          </w:p>
        </w:tc>
        <w:tc>
          <w:tcPr>
            <w:tcW w:type="dxa" w:w="100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50 Marks</w:t>
            </w:r>
          </w:p>
        </w:tc>
        <w:tc>
          <w:tcPr>
            <w:tcW w:type="dxa" w:w="259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Scheduled for Semester Examination</w:t>
            </w:r>
          </w:p>
        </w:tc>
      </w:tr>
    </w:tbl>
    <w:sectPr w:rsidR="00FC693F" w:rsidRPr="0006063C" w:rsidSect="00034616">
      <w:pgSz w:w="12240" w:h="15840"/>
      <w:pgMar w:top="1080"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