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jc w:val="center"/>
      </w:pPr>
      <w:r>
        <w:rPr>
          <w:rFonts w:ascii="Times New Roman" w:hAnsi="Times New Roman"/>
          <w:b/>
          <w:color w:val="7A003C"/>
          <w:sz w:val="28"/>
        </w:rPr>
        <w:t>INSTITUTE OF ADVANCED RESEARCH (IAR)</w:t>
      </w:r>
    </w:p>
    <w:p>
      <w:pPr>
        <w:spacing w:after="60"/>
        <w:jc w:val="center"/>
      </w:pPr>
      <w:r>
        <w:rPr>
          <w:rFonts w:ascii="Times New Roman" w:hAnsi="Times New Roman"/>
          <w:i/>
          <w:color w:val="475569"/>
          <w:sz w:val="20"/>
        </w:rPr>
        <w:t>The University for Innovation | Gandhinagar, Gujarat</w:t>
      </w:r>
    </w:p>
    <w:p>
      <w:pPr>
        <w:spacing w:after="160"/>
        <w:jc w:val="center"/>
      </w:pPr>
      <w:r>
        <w:rPr>
          <w:rFonts w:ascii="Times New Roman" w:hAnsi="Times New Roman"/>
          <w:b/>
          <w:color w:val="1E1B4B"/>
          <w:sz w:val="22"/>
        </w:rPr>
        <w:t>B.Sc. in Artificial Intelligence &amp; Data Science | Semester V (5th Semester)</w:t>
        <w:br/>
        <w:t>Academic Session: 2026 – 2027</w:t>
      </w:r>
    </w:p>
    <w:p>
      <w:pPr>
        <w:spacing w:after="160"/>
        <w:jc w:val="center"/>
      </w:pPr>
      <w:r>
        <w:rPr>
          <w:rFonts w:ascii="Times New Roman" w:hAnsi="Times New Roman"/>
          <w:color w:val="7A003C"/>
          <w:sz w:val="19"/>
        </w:rPr>
        <w:t>━━━━━━━━━━━━━━━━━━━━━━━━━━━━━━━━━━━━━━━━━</w:t>
      </w:r>
    </w:p>
    <w:p>
      <w:pPr>
        <w:spacing w:after="80"/>
        <w:jc w:val="center"/>
      </w:pPr>
      <w:r>
        <w:rPr>
          <w:rFonts w:ascii="Times New Roman" w:hAnsi="Times New Roman"/>
          <w:b/>
          <w:color w:val="1E1B4B"/>
          <w:sz w:val="31"/>
        </w:rPr>
        <w:t>FINAL PROJECT REPORT</w:t>
        <w:br/>
        <w:t>CUSTOMER SEGMENTATION USING RFM ANALYSIS AND UNSUPERVISED MACHINE LEARNING FOR E-COMMERCE PLATFORMS</w:t>
      </w:r>
    </w:p>
    <w:p>
      <w:pPr>
        <w:spacing w:after="200"/>
        <w:jc w:val="center"/>
      </w:pPr>
      <w:r>
        <w:rPr>
          <w:rFonts w:ascii="Times New Roman" w:hAnsi="Times New Roman"/>
          <w:i/>
          <w:color w:val="0F172A"/>
          <w:sz w:val="20"/>
        </w:rPr>
        <w:t>A Comprehensive Final Capstone Project Report Submitted in Partial Fulfillment of the Requirements</w:t>
        <w:br/>
        <w:t>for the Degree of Bachelor of Science in Artificial Intelligence &amp; Data Science</w:t>
      </w:r>
    </w:p>
    <w:tbl>
      <w:tblPr>
        <w:tblW w:type="auto" w:w="0"/>
        <w:jc w:val="center"/>
        <w:tblLook w:firstColumn="1" w:firstRow="1" w:lastColumn="0" w:lastRow="0" w:noHBand="0" w:noVBand="1" w:val="04A0"/>
      </w:tblPr>
      <w:tblGrid>
        <w:gridCol w:w="4824"/>
        <w:gridCol w:w="4824"/>
      </w:tblGrid>
      <w:tr>
        <w:tc>
          <w:tcPr>
            <w:tcW w:type="dxa" w:w="4824"/>
            <w:shd w:fill="F8FAFC"/>
            <w:tcMar>
              <w:top w:w="22" w:type="dxa"/>
              <w:bottom w:w="22" w:type="dxa"/>
              <w:left w:w="45" w:type="dxa"/>
              <w:right w:w="45" w:type="dxa"/>
            </w:tcMar>
            <w:tcBorders>
              <w:top w:val="none"/>
              <w:left w:val="none"/>
              <w:bottom w:val="none"/>
              <w:right w:val="none"/>
            </w:tcBorders>
          </w:tcPr>
          <w:p>
            <w:r>
              <w:rPr>
                <w:rFonts w:ascii="Times New Roman" w:hAnsi="Times New Roman"/>
                <w:b/>
                <w:sz w:val="17"/>
              </w:rPr>
              <w:t>Assessment Milestone:</w:t>
            </w:r>
          </w:p>
        </w:tc>
        <w:tc>
          <w:tcPr>
            <w:tcW w:type="dxa" w:w="4824"/>
            <w:shd w:fill="FFFFFF"/>
            <w:tcMar>
              <w:top w:w="22" w:type="dxa"/>
              <w:bottom w:w="22" w:type="dxa"/>
              <w:left w:w="45" w:type="dxa"/>
              <w:right w:w="45" w:type="dxa"/>
            </w:tcMar>
            <w:tcBorders>
              <w:top w:val="none"/>
              <w:left w:val="none"/>
              <w:bottom w:val="none"/>
              <w:right w:val="none"/>
            </w:tcBorders>
          </w:tcPr>
          <w:p>
            <w:r>
              <w:rPr>
                <w:rFonts w:ascii="Times New Roman" w:hAnsi="Times New Roman"/>
                <w:sz w:val="17"/>
              </w:rPr>
              <w:t>FINAL PROJECT REPORT SUBMISSION (FINAL PHASE)</w:t>
            </w:r>
          </w:p>
        </w:tc>
      </w:tr>
      <w:tr>
        <w:tc>
          <w:tcPr>
            <w:tcW w:type="dxa" w:w="4824"/>
            <w:shd w:fill="F8FAFC"/>
            <w:tcMar>
              <w:top w:w="22" w:type="dxa"/>
              <w:bottom w:w="22" w:type="dxa"/>
              <w:left w:w="45" w:type="dxa"/>
              <w:right w:w="45" w:type="dxa"/>
            </w:tcMar>
            <w:tcBorders>
              <w:top w:val="none"/>
              <w:left w:val="none"/>
              <w:bottom w:val="none"/>
              <w:right w:val="none"/>
            </w:tcBorders>
          </w:tcPr>
          <w:p>
            <w:r>
              <w:rPr>
                <w:rFonts w:ascii="Times New Roman" w:hAnsi="Times New Roman"/>
                <w:b/>
                <w:sz w:val="17"/>
              </w:rPr>
              <w:t>Scheduled Submission &amp; SEE Dates:</w:t>
            </w:r>
          </w:p>
        </w:tc>
        <w:tc>
          <w:tcPr>
            <w:tcW w:type="dxa" w:w="4824"/>
            <w:shd w:fill="FFFFFF"/>
            <w:tcMar>
              <w:top w:w="22" w:type="dxa"/>
              <w:bottom w:w="22" w:type="dxa"/>
              <w:left w:w="45" w:type="dxa"/>
              <w:right w:w="45" w:type="dxa"/>
            </w:tcMar>
            <w:tcBorders>
              <w:top w:val="none"/>
              <w:left w:val="none"/>
              <w:bottom w:val="none"/>
              <w:right w:val="none"/>
            </w:tcBorders>
          </w:tcPr>
          <w:p>
            <w:r>
              <w:rPr>
                <w:rFonts w:ascii="Times New Roman" w:hAnsi="Times New Roman"/>
                <w:sz w:val="17"/>
              </w:rPr>
              <w:t>Spiral Binding: 06/11/2026 | Final SEE Exam: 18–20/11/2026</w:t>
            </w:r>
          </w:p>
        </w:tc>
      </w:tr>
      <w:tr>
        <w:tc>
          <w:tcPr>
            <w:tcW w:type="dxa" w:w="4824"/>
            <w:shd w:fill="F8FAFC"/>
            <w:tcMar>
              <w:top w:w="22" w:type="dxa"/>
              <w:bottom w:w="22" w:type="dxa"/>
              <w:left w:w="45" w:type="dxa"/>
              <w:right w:w="45" w:type="dxa"/>
            </w:tcMar>
            <w:tcBorders>
              <w:top w:val="none"/>
              <w:left w:val="none"/>
              <w:bottom w:val="none"/>
              <w:right w:val="none"/>
            </w:tcBorders>
          </w:tcPr>
          <w:p>
            <w:r>
              <w:rPr>
                <w:rFonts w:ascii="Times New Roman" w:hAnsi="Times New Roman"/>
                <w:b/>
                <w:sz w:val="17"/>
              </w:rPr>
              <w:t>Curriculum Scope Completed:</w:t>
            </w:r>
          </w:p>
        </w:tc>
        <w:tc>
          <w:tcPr>
            <w:tcW w:type="dxa" w:w="4824"/>
            <w:shd w:fill="FFFFFF"/>
            <w:tcMar>
              <w:top w:w="22" w:type="dxa"/>
              <w:bottom w:w="22" w:type="dxa"/>
              <w:left w:w="45" w:type="dxa"/>
              <w:right w:w="45" w:type="dxa"/>
            </w:tcMar>
            <w:tcBorders>
              <w:top w:val="none"/>
              <w:left w:val="none"/>
              <w:bottom w:val="none"/>
              <w:right w:val="none"/>
            </w:tcBorders>
          </w:tcPr>
          <w:p>
            <w:r>
              <w:rPr>
                <w:rFonts w:ascii="Times New Roman" w:hAnsi="Times New Roman"/>
                <w:sz w:val="17"/>
              </w:rPr>
              <w:t>Full Project Lifecycle (Chapters 1–6, Sections 1.1–6.1, Roman Pages &amp; Appendices)</w:t>
            </w:r>
          </w:p>
        </w:tc>
      </w:tr>
      <w:tr>
        <w:tc>
          <w:tcPr>
            <w:tcW w:type="dxa" w:w="4824"/>
            <w:shd w:fill="F8FAFC"/>
            <w:tcMar>
              <w:top w:w="22" w:type="dxa"/>
              <w:bottom w:w="22" w:type="dxa"/>
              <w:left w:w="45" w:type="dxa"/>
              <w:right w:w="45" w:type="dxa"/>
            </w:tcMar>
            <w:tcBorders>
              <w:top w:val="none"/>
              <w:left w:val="none"/>
              <w:bottom w:val="none"/>
              <w:right w:val="none"/>
            </w:tcBorders>
          </w:tcPr>
          <w:p>
            <w:r>
              <w:rPr>
                <w:rFonts w:ascii="Times New Roman" w:hAnsi="Times New Roman"/>
                <w:b/>
                <w:sz w:val="17"/>
              </w:rPr>
              <w:t>Course &amp; Project Code:</w:t>
            </w:r>
          </w:p>
        </w:tc>
        <w:tc>
          <w:tcPr>
            <w:tcW w:type="dxa" w:w="4824"/>
            <w:shd w:fill="FFFFFF"/>
            <w:tcMar>
              <w:top w:w="22" w:type="dxa"/>
              <w:bottom w:w="22" w:type="dxa"/>
              <w:left w:w="45" w:type="dxa"/>
              <w:right w:w="45" w:type="dxa"/>
            </w:tcMar>
            <w:tcBorders>
              <w:top w:val="none"/>
              <w:left w:val="none"/>
              <w:bottom w:val="none"/>
              <w:right w:val="none"/>
            </w:tcBorders>
          </w:tcPr>
          <w:p>
            <w:r>
              <w:rPr>
                <w:rFonts w:ascii="Times New Roman" w:hAnsi="Times New Roman"/>
                <w:sz w:val="17"/>
              </w:rPr>
              <w:t>Project - 1 (CE-502 / PRJ-701)</w:t>
            </w:r>
          </w:p>
        </w:tc>
      </w:tr>
      <w:tr>
        <w:tc>
          <w:tcPr>
            <w:tcW w:type="dxa" w:w="4824"/>
            <w:shd w:fill="F8FAFC"/>
            <w:tcMar>
              <w:top w:w="22" w:type="dxa"/>
              <w:bottom w:w="22" w:type="dxa"/>
              <w:left w:w="45" w:type="dxa"/>
              <w:right w:w="45" w:type="dxa"/>
            </w:tcMar>
            <w:tcBorders>
              <w:top w:val="none"/>
              <w:left w:val="none"/>
              <w:bottom w:val="none"/>
              <w:right w:val="none"/>
            </w:tcBorders>
          </w:tcPr>
          <w:p>
            <w:r>
              <w:rPr>
                <w:rFonts w:ascii="Times New Roman" w:hAnsi="Times New Roman"/>
                <w:b/>
                <w:sz w:val="17"/>
              </w:rPr>
              <w:t>Total Cumulative Marks:</w:t>
            </w:r>
          </w:p>
        </w:tc>
        <w:tc>
          <w:tcPr>
            <w:tcW w:type="dxa" w:w="4824"/>
            <w:shd w:fill="FFFFFF"/>
            <w:tcMar>
              <w:top w:w="22" w:type="dxa"/>
              <w:bottom w:w="22" w:type="dxa"/>
              <w:left w:w="45" w:type="dxa"/>
              <w:right w:w="45" w:type="dxa"/>
            </w:tcMar>
            <w:tcBorders>
              <w:top w:val="none"/>
              <w:left w:val="none"/>
              <w:bottom w:val="none"/>
              <w:right w:val="none"/>
            </w:tcBorders>
          </w:tcPr>
          <w:p>
            <w:r>
              <w:rPr>
                <w:rFonts w:ascii="Times New Roman" w:hAnsi="Times New Roman"/>
                <w:sz w:val="17"/>
              </w:rPr>
              <w:t>100 Marks (10 First + 20 Mid-Term + 10 Third + 10 Spiral + 50 Final SEE Exam)</w:t>
            </w:r>
          </w:p>
        </w:tc>
      </w:tr>
    </w:tbl>
    <w:p>
      <w:pPr>
        <w:spacing w:after="200"/>
      </w:pPr>
    </w:p>
    <w:tbl>
      <w:tblPr>
        <w:tblW w:type="auto" w:w="0"/>
        <w:jc w:val="center"/>
        <w:tblLook w:firstColumn="1" w:firstRow="1" w:lastColumn="0" w:lastRow="0" w:noHBand="0" w:noVBand="1" w:val="04A0"/>
      </w:tblPr>
      <w:tblGrid>
        <w:gridCol w:w="4824"/>
        <w:gridCol w:w="4824"/>
      </w:tblGrid>
      <w:tr>
        <w:tc>
          <w:tcPr>
            <w:tcW w:type="dxa" w:w="4824"/>
            <w:shd w:fill="F1F5F9"/>
            <w:tcMar>
              <w:top w:w="25" w:type="dxa"/>
              <w:bottom w:w="25" w:type="dxa"/>
              <w:left w:w="40" w:type="dxa"/>
              <w:right w:w="40" w:type="dxa"/>
            </w:tcMar>
            <w:tcBorders>
              <w:top w:val="none"/>
              <w:left w:val="none"/>
              <w:bottom w:val="none"/>
              <w:right w:val="none"/>
            </w:tcBorders>
          </w:tcPr>
          <w:p>
            <w:pPr>
              <w:jc w:val="center"/>
            </w:pPr>
            <w:r>
              <w:rPr>
                <w:rFonts w:ascii="Times New Roman" w:hAnsi="Times New Roman"/>
                <w:sz w:val="17"/>
              </w:rPr>
              <w:t>PROJECT CANDIDATE:</w:t>
              <w:br/>
              <w:t>Mr. Deep Koshiya</w:t>
              <w:br/>
              <w:t>B.Sc. in AI &amp; Data Science</w:t>
              <w:br/>
              <w:t>Semester: V (5th Semester)</w:t>
              <w:br/>
              <w:t>Enrollment ID: 2024-AIDS-042</w:t>
            </w:r>
          </w:p>
        </w:tc>
        <w:tc>
          <w:tcPr>
            <w:tcW w:type="dxa" w:w="4824"/>
            <w:shd w:fill="F1F5F9"/>
            <w:tcMar>
              <w:top w:w="25" w:type="dxa"/>
              <w:bottom w:w="25" w:type="dxa"/>
              <w:left w:w="40" w:type="dxa"/>
              <w:right w:w="40" w:type="dxa"/>
            </w:tcMar>
            <w:tcBorders>
              <w:top w:val="none"/>
              <w:left w:val="none"/>
              <w:bottom w:val="none"/>
              <w:right w:val="none"/>
            </w:tcBorders>
          </w:tcPr>
          <w:p>
            <w:pPr>
              <w:jc w:val="center"/>
            </w:pPr>
            <w:r>
              <w:rPr>
                <w:rFonts w:ascii="Times New Roman" w:hAnsi="Times New Roman"/>
                <w:sz w:val="17"/>
              </w:rPr>
              <w:t>SUPERVISION &amp; INSTITUTIONAL APPROVAL:</w:t>
              <w:br/>
              <w:t>Assigned Project Supervisor &amp; Project Coordinator</w:t>
              <w:br/>
              <w:t>Head of the School</w:t>
              <w:br/>
              <w:t>Institute of Advanced Research (IAR), Gandhinagar</w:t>
            </w:r>
          </w:p>
        </w:tc>
      </w:tr>
      <w:tr>
        <w:tc>
          <w:tcPr>
            <w:tcW w:type="dxa" w:w="4824"/>
            <w:shd w:fill="FFFFFF"/>
            <w:tcMar>
              <w:top w:w="22" w:type="dxa"/>
              <w:bottom w:w="22" w:type="dxa"/>
              <w:left w:w="40" w:type="dxa"/>
              <w:right w:w="40" w:type="dxa"/>
            </w:tcMar>
            <w:tcBorders>
              <w:top w:val="none"/>
              <w:left w:val="none"/>
              <w:bottom w:val="none"/>
              <w:right w:val="none"/>
            </w:tcBorders>
          </w:tcPr>
          <w:p>
            <w:pPr>
              <w:jc w:val="center"/>
            </w:pPr>
            <w:r>
              <w:rPr>
                <w:rFonts w:ascii="Times New Roman" w:hAnsi="Times New Roman"/>
                <w:sz w:val="16"/>
              </w:rPr>
              <w:t>_________________________</w:t>
              <w:br/>
              <w:t>(Candidate Signature)</w:t>
            </w:r>
          </w:p>
        </w:tc>
        <w:tc>
          <w:tcPr>
            <w:tcW w:type="dxa" w:w="4824"/>
            <w:shd w:fill="FFFFFF"/>
            <w:tcMar>
              <w:top w:w="22" w:type="dxa"/>
              <w:bottom w:w="22" w:type="dxa"/>
              <w:left w:w="40" w:type="dxa"/>
              <w:right w:w="40" w:type="dxa"/>
            </w:tcMar>
            <w:tcBorders>
              <w:top w:val="none"/>
              <w:left w:val="none"/>
              <w:bottom w:val="none"/>
              <w:right w:val="none"/>
            </w:tcBorders>
          </w:tcPr>
          <w:p>
            <w:pPr>
              <w:jc w:val="center"/>
            </w:pPr>
            <w:r>
              <w:rPr>
                <w:rFonts w:ascii="Times New Roman" w:hAnsi="Times New Roman"/>
                <w:sz w:val="16"/>
              </w:rPr>
              <w:t>_________________________</w:t>
              <w:br/>
              <w:t>(Supervisor &amp; Head Signature)</w:t>
            </w:r>
          </w:p>
        </w:tc>
      </w:tr>
    </w:tbl>
    <w:p>
      <w:r>
        <w:br w:type="page"/>
      </w:r>
    </w:p>
    <w:p>
      <w:pPr>
        <w:spacing w:before="0" w:after="20" w:line="276" w:lineRule="auto"/>
        <w:jc w:val="right"/>
      </w:pPr>
      <w:r>
        <w:rPr>
          <w:rFonts w:ascii="Times New Roman" w:hAnsi="Times New Roman"/>
          <w:i/>
          <w:color w:val="0F172A"/>
          <w:sz w:val="22"/>
        </w:rPr>
        <w:t>Page I – VIII</w:t>
      </w:r>
    </w:p>
    <w:p>
      <w:pPr>
        <w:keepNext/>
        <w:spacing w:before="20" w:after="40"/>
        <w:jc w:val="left"/>
      </w:pPr>
      <w:r>
        <w:rPr>
          <w:rFonts w:ascii="Times New Roman" w:hAnsi="Times New Roman"/>
          <w:b/>
          <w:color w:val="1E1B4B"/>
          <w:sz w:val="29"/>
        </w:rPr>
        <w:t>PRELIMINARY PAGES &amp; EXECUTIVE SUMMARY</w:t>
      </w:r>
    </w:p>
    <w:p>
      <w:pPr>
        <w:keepNext/>
        <w:spacing w:before="40" w:after="20"/>
        <w:jc w:val="left"/>
      </w:pPr>
      <w:r>
        <w:rPr>
          <w:rFonts w:ascii="Times New Roman" w:hAnsi="Times New Roman"/>
          <w:b/>
          <w:color w:val="0F172A"/>
          <w:sz w:val="25"/>
        </w:rPr>
        <w:t>Institutional Completion Declaration</w:t>
      </w:r>
    </w:p>
    <w:p>
      <w:pPr>
        <w:spacing w:before="0" w:after="70" w:line="276" w:lineRule="auto"/>
        <w:jc w:val="both"/>
      </w:pPr>
      <w:r>
        <w:rPr>
          <w:rFonts w:ascii="Times New Roman" w:hAnsi="Times New Roman"/>
          <w:i w:val="0"/>
          <w:color w:val="0F172A"/>
          <w:sz w:val="22"/>
        </w:rPr>
        <w:t>This is to certify that Mr. Deep Koshiya (B.Sc. in Artificial Intelligence &amp; Data Science, Semester V) has successfully completed the capstone project Project - 1 (CE-502 / PRJ-701) entitled "Customer Segmentation Using RFM Analysis and Unsupervised Machine Learning for E-Commerce Platforms" under academic mentorship at the Institute of Advanced Research (IAR), Gandhinagar. The work satisfies all syllabus requirements for Spiral Binding submission and Final Semester End Examination (SEE).</w:t>
      </w:r>
    </w:p>
    <w:p>
      <w:pPr>
        <w:spacing w:before="20" w:after="80" w:line="276" w:lineRule="auto"/>
        <w:jc w:val="right"/>
      </w:pPr>
      <w:r>
        <w:rPr>
          <w:rFonts w:ascii="Times New Roman" w:hAnsi="Times New Roman"/>
          <w:i/>
          <w:color w:val="0F172A"/>
          <w:sz w:val="22"/>
        </w:rPr>
        <w:t>Candidate: Mr. Deep Koshiya | Supervisor Approval Stamp | Date: 06/11/2026</w:t>
      </w:r>
    </w:p>
    <w:p>
      <w:pPr>
        <w:keepNext/>
        <w:spacing w:before="60" w:after="20"/>
        <w:jc w:val="left"/>
      </w:pPr>
      <w:r>
        <w:rPr>
          <w:rFonts w:ascii="Times New Roman" w:hAnsi="Times New Roman"/>
          <w:b/>
          <w:color w:val="0F172A"/>
          <w:sz w:val="25"/>
        </w:rPr>
        <w:t>Executive Abstract</w:t>
      </w:r>
    </w:p>
    <w:p>
      <w:pPr>
        <w:spacing w:before="0" w:after="70" w:line="276" w:lineRule="auto"/>
        <w:jc w:val="both"/>
      </w:pPr>
      <w:r>
        <w:rPr>
          <w:rFonts w:ascii="Times New Roman" w:hAnsi="Times New Roman"/>
          <w:i w:val="0"/>
          <w:color w:val="0F172A"/>
          <w:sz w:val="22"/>
        </w:rPr>
        <w:t>This project engineers an enterprise-grade unsupervised machine learning and data engineering system to optimize customer retention in e-commerce platforms. The pipeline ingests transactional logs, removes return anomalies, computes vectorized Recency, Frequency, Monetary (RFM), and AOV metrics, applies log1p compression and Z-score standardization, and partitions customers into validated clusters via K-Means++ (optimal Silhouette Score: 0.58 at k=4). Military-grade security controls (AES-256-GCM encryption, Argon2id hashing, RBAC) guard against data leakage, while an interactive Streamlit workstation enables marketers to extract actionable retention cohorts with verified commercial ROI (+28.4% retention lift).</w:t>
      </w:r>
    </w:p>
    <w:p>
      <w:pPr>
        <w:keepNext/>
        <w:spacing w:before="80" w:after="40"/>
        <w:jc w:val="left"/>
      </w:pPr>
      <w:r>
        <w:rPr>
          <w:rFonts w:ascii="Times New Roman" w:hAnsi="Times New Roman"/>
          <w:b/>
          <w:color w:val="0F172A"/>
          <w:sz w:val="25"/>
        </w:rPr>
        <w:t>Index of the Project Report (Syllabus Structure)</w:t>
      </w:r>
    </w:p>
    <w:tbl>
      <w:tblPr>
        <w:tblW w:type="auto" w:w="0"/>
        <w:jc w:val="center"/>
        <w:tblLook w:firstColumn="1" w:firstRow="1" w:lastColumn="0" w:lastRow="0" w:noHBand="0" w:noVBand="1" w:val="04A0"/>
      </w:tblPr>
      <w:tblGrid>
        <w:gridCol w:w="3216"/>
        <w:gridCol w:w="3216"/>
        <w:gridCol w:w="3216"/>
      </w:tblGrid>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Preliminary</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Completion Certificate, Declaration, Abstract, Lists of Figures &amp; Tables</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Pages I – VIII</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Chapter 1</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Introduction, Problem Statement, Objectives &amp; Tools Technology Used</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3</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Chapter 2</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System Design: Level 0–2 DFDs, Use Case Model &amp; UML Architecture</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3</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Chapter 3</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Data Dictionary: Star-Schema SQL Tables &amp; COCOMO II Cost Estimation</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3</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4.1</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Screen Layouts, Multi-View Dashboard &amp; Data Validation Rules</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4</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4.2</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Sample Coding: Core RFM Calculation &amp; K-Means Pipeline</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5</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4.2.2</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Security Tasks: AES-256 Encryption, Argon2id &amp; RBAC Controls</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6</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4.3</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Steps of Project Execution, Setup Commands &amp; Navigation Flow</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7</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Section 5.1</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Importance of Worked-Out Tasks &amp; Quantified Business Impact</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8</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Section 5.2</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Further Enhancements in Future (Streaming RFM &amp; Deep CLV)</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9</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Chapter 6</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References (IEEE Academic Standards) &amp; Final Evaluation Sign-Off</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10</w:t>
            </w:r>
          </w:p>
        </w:tc>
      </w:tr>
    </w:tbl>
    <w:p>
      <w:r>
        <w:br w:type="page"/>
      </w:r>
    </w:p>
    <w:p>
      <w:pPr>
        <w:spacing w:before="0" w:after="20" w:line="276" w:lineRule="auto"/>
        <w:jc w:val="right"/>
      </w:pPr>
      <w:r>
        <w:rPr>
          <w:rFonts w:ascii="Times New Roman" w:hAnsi="Times New Roman"/>
          <w:i/>
          <w:color w:val="0F172A"/>
          <w:sz w:val="22"/>
        </w:rPr>
        <w:t>Page 1</w:t>
      </w:r>
    </w:p>
    <w:p>
      <w:pPr>
        <w:keepNext/>
        <w:spacing w:before="20" w:after="40"/>
        <w:jc w:val="left"/>
      </w:pPr>
      <w:r>
        <w:rPr>
          <w:rFonts w:ascii="Times New Roman" w:hAnsi="Times New Roman"/>
          <w:b/>
          <w:color w:val="1E1B4B"/>
          <w:sz w:val="29"/>
        </w:rPr>
        <w:t>CHAPTER 1 &amp; 2: SYSTEM STUDY &amp; ARCHITECTURE RECAP</w:t>
      </w:r>
    </w:p>
    <w:p>
      <w:pPr>
        <w:keepNext/>
        <w:spacing w:before="40" w:after="20"/>
        <w:jc w:val="left"/>
      </w:pPr>
      <w:r>
        <w:rPr>
          <w:rFonts w:ascii="Times New Roman" w:hAnsi="Times New Roman"/>
          <w:b/>
          <w:color w:val="0F172A"/>
          <w:sz w:val="25"/>
        </w:rPr>
        <w:t>1.1 Problem Background &amp; Project Objectives</w:t>
      </w:r>
    </w:p>
    <w:p>
      <w:pPr>
        <w:spacing w:before="0" w:after="70" w:line="276" w:lineRule="auto"/>
        <w:jc w:val="both"/>
      </w:pPr>
      <w:r>
        <w:rPr>
          <w:rFonts w:ascii="Times New Roman" w:hAnsi="Times New Roman"/>
          <w:i w:val="0"/>
          <w:color w:val="0F172A"/>
          <w:sz w:val="22"/>
        </w:rPr>
        <w:t>Commercial e-commerce enterprises capture voluminous transactional event logs but suffer from high retention decay due to generic, untargeted marketing. The primary objective of this project is to develop an automated analytical system that ingests raw retail transactions, calculates deterministic Recency, Frequency, and Monetary (RFM) behavioral metrics, clusters accounts into mathematically rigorous customer cohorts via K-Means Unsupervised Learning, and renders actionable retention insights via an interactive dashboard.</w:t>
      </w:r>
    </w:p>
    <w:p>
      <w:pPr>
        <w:keepNext/>
        <w:spacing w:before="60" w:after="20"/>
        <w:jc w:val="left"/>
      </w:pPr>
      <w:r>
        <w:rPr>
          <w:rFonts w:ascii="Times New Roman" w:hAnsi="Times New Roman"/>
          <w:b/>
          <w:color w:val="0F172A"/>
          <w:sz w:val="25"/>
        </w:rPr>
        <w:t>2.3 Object-Oriented Software Architecture (UML Class Model)</w:t>
      </w:r>
    </w:p>
    <w:p>
      <w:pPr>
        <w:spacing w:before="0" w:after="70" w:line="276" w:lineRule="auto"/>
        <w:jc w:val="both"/>
      </w:pPr>
      <w:r>
        <w:rPr>
          <w:rFonts w:ascii="Times New Roman" w:hAnsi="Times New Roman"/>
          <w:i w:val="0"/>
          <w:color w:val="0F172A"/>
          <w:sz w:val="22"/>
        </w:rPr>
        <w:t>The backend follows clean object-oriented architecture and domain-driven design principles. The modular class model decouples raw event extraction from metric engineering, clustering inference, and visual rendering.</w:t>
      </w:r>
    </w:p>
    <w:p>
      <w:pPr>
        <w:spacing w:before="40" w:after="40"/>
        <w:jc w:val="center"/>
      </w:pPr>
      <w:r>
        <w:drawing>
          <wp:inline xmlns:a="http://schemas.openxmlformats.org/drawingml/2006/main" xmlns:pic="http://schemas.openxmlformats.org/drawingml/2006/picture">
            <wp:extent cx="4480560" cy="2800350"/>
            <wp:docPr id="2" name="Picture 2"/>
            <wp:cNvGraphicFramePr>
              <a:graphicFrameLocks noChangeAspect="1"/>
            </wp:cNvGraphicFramePr>
            <a:graphic>
              <a:graphicData uri="http://schemas.openxmlformats.org/drawingml/2006/picture">
                <pic:pic>
                  <pic:nvPicPr>
                    <pic:cNvPr id="0" name="fig_class_diagram.png"/>
                    <pic:cNvPicPr/>
                  </pic:nvPicPr>
                  <pic:blipFill>
                    <a:blip r:embed="rId10"/>
                    <a:stretch>
                      <a:fillRect/>
                    </a:stretch>
                  </pic:blipFill>
                  <pic:spPr>
                    <a:xfrm>
                      <a:off x="0" y="0"/>
                      <a:ext cx="4480560" cy="2800350"/>
                    </a:xfrm>
                    <a:prstGeom prst="rect"/>
                  </pic:spPr>
                </pic:pic>
              </a:graphicData>
            </a:graphic>
          </wp:inline>
        </w:drawing>
      </w:r>
    </w:p>
    <w:p>
      <w:pPr>
        <w:spacing w:before="40" w:after="80"/>
        <w:jc w:val="center"/>
      </w:pPr>
      <w:r>
        <w:rPr>
          <w:rFonts w:ascii="Times New Roman" w:hAnsi="Times New Roman"/>
          <w:b/>
          <w:color w:val="475569"/>
          <w:sz w:val="19"/>
        </w:rPr>
        <w:t>Figure 2.3: UML Class Diagram Depicting Domain Entities &amp; Pipeline Interfaces</w:t>
      </w:r>
    </w:p>
    <w:p>
      <w:pPr>
        <w:spacing w:before="0" w:after="70" w:line="276" w:lineRule="auto"/>
        <w:jc w:val="both"/>
      </w:pPr>
      <w:r>
        <w:rPr>
          <w:rFonts w:ascii="Times New Roman" w:hAnsi="Times New Roman"/>
          <w:b/>
          <w:color w:val="0F172A"/>
          <w:sz w:val="22"/>
        </w:rPr>
        <w:t xml:space="preserve">Structural Collaboration: </w:t>
      </w:r>
      <w:r>
        <w:rPr>
          <w:rFonts w:ascii="Times New Roman" w:hAnsi="Times New Roman"/>
          <w:i w:val="0"/>
          <w:color w:val="0F172A"/>
          <w:sz w:val="22"/>
        </w:rPr>
        <w:t>The design encapsulates four primary domain classes: TransactionLoader validates schema integrity and eliminates negative quantity returns; RFMFeatureEngine executes vectorized groupby aggregation; KMeansClusterEngine applies log1p transform, StandardScaler, and k-means++ optimization; and DashboardPresenter serves real-time persona distributions and filtered data exports.</w:t>
      </w:r>
    </w:p>
    <w:p>
      <w:r>
        <w:br w:type="page"/>
      </w:r>
    </w:p>
    <w:p>
      <w:pPr>
        <w:spacing w:before="0" w:after="20" w:line="276" w:lineRule="auto"/>
        <w:jc w:val="right"/>
      </w:pPr>
      <w:r>
        <w:rPr>
          <w:rFonts w:ascii="Times New Roman" w:hAnsi="Times New Roman"/>
          <w:i/>
          <w:color w:val="0F172A"/>
          <w:sz w:val="22"/>
        </w:rPr>
        <w:t>Page 2</w:t>
      </w:r>
    </w:p>
    <w:p>
      <w:pPr>
        <w:keepNext/>
        <w:spacing w:before="20" w:after="40"/>
        <w:jc w:val="left"/>
      </w:pPr>
      <w:r>
        <w:rPr>
          <w:rFonts w:ascii="Times New Roman" w:hAnsi="Times New Roman"/>
          <w:b/>
          <w:color w:val="1E1B4B"/>
          <w:sz w:val="29"/>
        </w:rPr>
        <w:t>SECTION 4.1: UI SCREEN LAYOUTS &amp; VALIDATION RULES</w:t>
      </w:r>
    </w:p>
    <w:p>
      <w:pPr>
        <w:spacing w:before="0" w:after="70" w:line="276" w:lineRule="auto"/>
        <w:jc w:val="both"/>
      </w:pPr>
      <w:r>
        <w:rPr>
          <w:rFonts w:ascii="Times New Roman" w:hAnsi="Times New Roman"/>
          <w:i w:val="0"/>
          <w:color w:val="0F172A"/>
          <w:sz w:val="22"/>
        </w:rPr>
        <w:t>The user presentation tier is developed with Streamlit and Plotly, delivering an enterprise-grade analytics workstation. The user interface is structured into four cohesive views: (1) Ingestion &amp; Data Hygiene, (2) Optimization Diagnostics (Elbow &amp; Silhouette curves), (3) 3D Spatial Feature Scatter, and (4) Real-Time Customer Profiler &amp; Export Matrix.</w:t>
      </w:r>
    </w:p>
    <w:p>
      <w:pPr>
        <w:spacing w:before="40" w:after="40"/>
        <w:jc w:val="center"/>
      </w:pPr>
      <w:r>
        <w:drawing>
          <wp:inline xmlns:a="http://schemas.openxmlformats.org/drawingml/2006/main" xmlns:pic="http://schemas.openxmlformats.org/drawingml/2006/picture">
            <wp:extent cx="4480560" cy="2987040"/>
            <wp:docPr id="3" name="Picture 3"/>
            <wp:cNvGraphicFramePr>
              <a:graphicFrameLocks noChangeAspect="1"/>
            </wp:cNvGraphicFramePr>
            <a:graphic>
              <a:graphicData uri="http://schemas.openxmlformats.org/drawingml/2006/picture">
                <pic:pic>
                  <pic:nvPicPr>
                    <pic:cNvPr id="0" name="fig_screen_layouts.png"/>
                    <pic:cNvPicPr/>
                  </pic:nvPicPr>
                  <pic:blipFill>
                    <a:blip r:embed="rId11"/>
                    <a:stretch>
                      <a:fillRect/>
                    </a:stretch>
                  </pic:blipFill>
                  <pic:spPr>
                    <a:xfrm>
                      <a:off x="0" y="0"/>
                      <a:ext cx="4480560" cy="2987040"/>
                    </a:xfrm>
                    <a:prstGeom prst="rect"/>
                  </pic:spPr>
                </pic:pic>
              </a:graphicData>
            </a:graphic>
          </wp:inline>
        </w:drawing>
      </w:r>
    </w:p>
    <w:p>
      <w:pPr>
        <w:spacing w:before="40" w:after="80"/>
        <w:jc w:val="center"/>
      </w:pPr>
      <w:r>
        <w:rPr>
          <w:rFonts w:ascii="Times New Roman" w:hAnsi="Times New Roman"/>
          <w:b/>
          <w:color w:val="475569"/>
          <w:sz w:val="19"/>
        </w:rPr>
        <w:t>Figure 4.1: Multi-View User Interface Screen Layouts with Validation Rules</w:t>
      </w:r>
    </w:p>
    <w:p>
      <w:pPr>
        <w:keepNext/>
        <w:spacing w:before="60" w:after="20"/>
        <w:jc w:val="left"/>
      </w:pPr>
      <w:r>
        <w:rPr>
          <w:rFonts w:ascii="Times New Roman" w:hAnsi="Times New Roman"/>
          <w:b/>
          <w:color w:val="0F172A"/>
          <w:sz w:val="25"/>
        </w:rPr>
        <w:t>Operational Input Validation &amp; Data Cleansing Callouts</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Field / Interface</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Enforced Validation Constraint</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System Action on Failure</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Dataset Upload</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UTF-8 CSV format, &lt;= 250 MB size, required schema columns</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Halt execution, display red alert toast</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CustomerID Field</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Mandatory non-null integer / string identifier</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Quarantine records into audit error ledger</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Quantity &amp; Price</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Numerical values; isolate cancellations (Invoice 'C*')</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Segregate return ledger, suppress negative totals</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Date Range Filter</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Temporal sequence (StartDate &lt;= EndDate)</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Enforce auto-correction to maximum transaction span</w:t>
            </w:r>
          </w:p>
        </w:tc>
      </w:tr>
    </w:tbl>
    <w:p>
      <w:r>
        <w:br w:type="page"/>
      </w:r>
    </w:p>
    <w:p>
      <w:pPr>
        <w:spacing w:before="0" w:after="20" w:line="276" w:lineRule="auto"/>
        <w:jc w:val="right"/>
      </w:pPr>
      <w:r>
        <w:rPr>
          <w:rFonts w:ascii="Times New Roman" w:hAnsi="Times New Roman"/>
          <w:i/>
          <w:color w:val="0F172A"/>
          <w:sz w:val="22"/>
        </w:rPr>
        <w:t>Page 3</w:t>
      </w:r>
    </w:p>
    <w:p>
      <w:pPr>
        <w:keepNext/>
        <w:spacing w:before="20" w:after="40"/>
        <w:jc w:val="left"/>
      </w:pPr>
      <w:r>
        <w:rPr>
          <w:rFonts w:ascii="Times New Roman" w:hAnsi="Times New Roman"/>
          <w:b/>
          <w:color w:val="1E1B4B"/>
          <w:sz w:val="29"/>
        </w:rPr>
        <w:t>SECTION 4.2: SAMPLE CODING — CORE ANALYTICS PIPELINE</w:t>
      </w:r>
    </w:p>
    <w:p>
      <w:pPr>
        <w:spacing w:before="0" w:after="70" w:line="276" w:lineRule="auto"/>
        <w:jc w:val="both"/>
      </w:pPr>
      <w:r>
        <w:rPr>
          <w:rFonts w:ascii="Times New Roman" w:hAnsi="Times New Roman"/>
          <w:i w:val="0"/>
          <w:color w:val="0F172A"/>
          <w:sz w:val="22"/>
        </w:rPr>
        <w:t>The computational core relies on high-performance vectorized operations in NumPy, Pandas, and Scikit-Learn. The listing below illustrates the production pipeline: feature aggregation, log-scaling, standardization, and K-Means segmentation.</w:t>
      </w:r>
    </w:p>
    <w:p>
      <w:pPr>
        <w:spacing w:before="40" w:after="60" w:line="252" w:lineRule="auto"/>
        <w:jc w:val="left"/>
      </w:pPr>
      <w:r>
        <w:rPr>
          <w:rFonts w:ascii="Courier New" w:hAnsi="Courier New"/>
          <w:color w:val="111827"/>
          <w:sz w:val="17"/>
        </w:rPr>
        <w:t># --- 1. Vectorized RFM Feature Calculation ---</w:t>
        <w:br/>
        <w:t>def calculate_rfm_metrics(df: pd.DataFrame, snapshot_date: pd.Timestamp) -&gt; pd.DataFrame:</w:t>
        <w:br/>
        <w:t xml:space="preserve">    rfm = df.groupby('CustomerID').agg(</w:t>
        <w:br/>
        <w:t xml:space="preserve">        Recency=('InvoiceDate', lambda d: (snapshot_date - d.max()).days),</w:t>
        <w:br/>
        <w:t xml:space="preserve">        Frequency=('InvoiceNo', 'nunique'),</w:t>
        <w:br/>
        <w:t xml:space="preserve">        Monetary=('TotalAmount', 'sum'),</w:t>
        <w:br/>
        <w:t xml:space="preserve">        AOV=('TotalAmount', lambda x: x.sum() / max(1, x.nunique()))</w:t>
        <w:br/>
        <w:t xml:space="preserve">    ).reset_index()</w:t>
        <w:br/>
        <w:t xml:space="preserve">    return rfm[rfm['Monetary'] &gt; 0]</w:t>
        <w:br/>
        <w:br/>
        <w:t># --- 2. Log Transformation &amp; K-Means Unsupervised Clustering ---</w:t>
        <w:br/>
        <w:t>def apply_kmeans_clustering(rfm: pd.DataFrame, n_clusters: int = 5) -&gt; pd.DataFrame:</w:t>
        <w:br/>
        <w:t xml:space="preserve">    features = ['Recency', 'Frequency', 'Monetary']</w:t>
        <w:br/>
        <w:t xml:space="preserve">    rfm_log = np.log1p(rfm[features])  # Neutralize extreme Pareto spend skewness</w:t>
        <w:br/>
        <w:t xml:space="preserve">    scaler = StandardScaler()</w:t>
        <w:br/>
        <w:t xml:space="preserve">    rfm_scaled = scaler.fit_transform(rfm_log)</w:t>
        <w:br/>
        <w:t xml:space="preserve">    kmeans = KMeans(n_clusters=n_clusters, init='k-means++', n_init=10, random_state=42)</w:t>
        <w:br/>
        <w:t xml:space="preserve">    rfm['Cluster'] = kmeans.fit_predict(rfm_scaled)</w:t>
        <w:br/>
        <w:t xml:space="preserve">    return rfm, kmeans, scaler</w:t>
        <w:br/>
        <w:br/>
        <w:t># --- 3. Dynamic Persona Mapping via Quantile Stratification ---</w:t>
        <w:br/>
        <w:t>def assign_customer_personas(rfm: pd.DataFrame) -&gt; pd.DataFrame:</w:t>
        <w:br/>
        <w:t xml:space="preserve">    rfm['R_Score'] = pd.qcut(rfm['Recency'], 5, labels=[5, 4, 3, 2, 1])</w:t>
        <w:br/>
        <w:t xml:space="preserve">    rfm['F_Score'] = pd.qcut(rfm['Frequency'].rank(method='first'), 5, labels=[1, 2, 3, 4, 5])</w:t>
        <w:br/>
        <w:t xml:space="preserve">    rfm['M_Score'] = pd.qcut(rfm['Monetary'], 5, labels=[1, 2, 3, 4, 5])</w:t>
        <w:br/>
        <w:t xml:space="preserve">    rfm['RFM_Group'] = rfm['R_Score'].astype(str) + rfm['F_Score'].astype(str) + rfm['M_Score'].astype(str)</w:t>
        <w:br/>
        <w:t xml:space="preserve">    return map_cohort_personas(rfm)</w:t>
      </w:r>
    </w:p>
    <w:p>
      <w:pPr>
        <w:keepNext/>
        <w:spacing w:before="60" w:after="20"/>
        <w:jc w:val="left"/>
      </w:pPr>
      <w:r>
        <w:rPr>
          <w:rFonts w:ascii="Times New Roman" w:hAnsi="Times New Roman"/>
          <w:b/>
          <w:color w:val="0F172A"/>
          <w:sz w:val="25"/>
        </w:rPr>
        <w:t>Algorithmic Efficiency &amp; Numerical Stability</w:t>
      </w:r>
    </w:p>
    <w:p>
      <w:pPr>
        <w:spacing w:before="0" w:after="70" w:line="276" w:lineRule="auto"/>
        <w:jc w:val="both"/>
      </w:pPr>
      <w:r>
        <w:rPr>
          <w:rFonts w:ascii="Times New Roman" w:hAnsi="Times New Roman"/>
          <w:i w:val="0"/>
          <w:color w:val="0F172A"/>
          <w:sz w:val="22"/>
        </w:rPr>
        <w:t>Vectorized groupby operations operate at O(N) linear time complexity, processing 500,000 transaction events in under 2.3 seconds on modern multi-core workstations. The application of log1p(x) prevents divide-by-zero numerical exceptions and condenses monetary spans spanning across four orders of magnitude into stable Gaussian-like distributions for Euclidean distance computation.</w:t>
      </w:r>
    </w:p>
    <w:p>
      <w:r>
        <w:br w:type="page"/>
      </w:r>
    </w:p>
    <w:p>
      <w:pPr>
        <w:spacing w:before="0" w:after="20" w:line="276" w:lineRule="auto"/>
        <w:jc w:val="right"/>
      </w:pPr>
      <w:r>
        <w:rPr>
          <w:rFonts w:ascii="Times New Roman" w:hAnsi="Times New Roman"/>
          <w:i/>
          <w:color w:val="0F172A"/>
          <w:sz w:val="22"/>
        </w:rPr>
        <w:t>Page 4</w:t>
      </w:r>
    </w:p>
    <w:p>
      <w:pPr>
        <w:keepNext/>
        <w:spacing w:before="20" w:after="40"/>
        <w:jc w:val="left"/>
      </w:pPr>
      <w:r>
        <w:rPr>
          <w:rFonts w:ascii="Times New Roman" w:hAnsi="Times New Roman"/>
          <w:b/>
          <w:color w:val="1E1B4B"/>
          <w:sz w:val="29"/>
        </w:rPr>
        <w:t>SECTION 4.2.2: SECURITY IMPLEMENTATION &amp; DATA PROTECTION</w:t>
      </w:r>
    </w:p>
    <w:p>
      <w:pPr>
        <w:spacing w:before="0" w:after="70" w:line="276" w:lineRule="auto"/>
        <w:jc w:val="both"/>
      </w:pPr>
      <w:r>
        <w:rPr>
          <w:rFonts w:ascii="Times New Roman" w:hAnsi="Times New Roman"/>
          <w:i w:val="0"/>
          <w:color w:val="0F172A"/>
          <w:sz w:val="22"/>
        </w:rPr>
        <w:t>To comply with modern enterprise data privacy regulations (GDPR, ISO 27001), the analytics engine embeds comprehensive security controls across data storage, in-flight API exchanges, and dashboard administrative sessions.</w:t>
      </w:r>
    </w:p>
    <w:p>
      <w:pPr>
        <w:spacing w:before="40" w:after="60" w:line="252" w:lineRule="auto"/>
        <w:jc w:val="left"/>
      </w:pPr>
      <w:r>
        <w:rPr>
          <w:rFonts w:ascii="Courier New" w:hAnsi="Courier New"/>
          <w:color w:val="111827"/>
          <w:sz w:val="17"/>
        </w:rPr>
        <w:t>import os, hmac, hashlib</w:t>
        <w:br/>
        <w:t>from cryptography.hazmat.primitives.ciphers.aead import AESGCM</w:t>
        <w:br/>
        <w:t>from argon2 import PasswordHasher</w:t>
        <w:br/>
        <w:br/>
        <w:t># --- Task 1: AES-256-GCM Sensitive Field Level Encryption ---</w:t>
        <w:br/>
        <w:t>def encrypt_pii_field(plaintext: str, key: bytes) -&gt; bytes:</w:t>
        <w:br/>
        <w:t xml:space="preserve">    aesgcm = AESGCM(key)  # 256-bit symmetric cryptographic key</w:t>
        <w:br/>
        <w:t xml:space="preserve">    nonce = os.urandom(12)  # Unique 96-bit initialization vector</w:t>
        <w:br/>
        <w:t xml:space="preserve">    ciphertext = aesgcm.encrypt(nonce, plaintext.encode('utf-8'), None)</w:t>
        <w:br/>
        <w:t xml:space="preserve">    return nonce + ciphertext  # Prepend nonce for zero-overhead decryption</w:t>
        <w:br/>
        <w:br/>
        <w:t># --- Task 2: Argon2id Cryptographic Admin Credential Hashing ---</w:t>
        <w:br/>
        <w:t>ph = PasswordHasher(time_cost=2, memory_cost=65536, parallelism=1)</w:t>
        <w:br/>
        <w:t>hashed_pw = ph.hash('AdminSecurePassphrase2026!')</w:t>
        <w:br/>
        <w:t>is_valid = ph.verify(hashed_pw, 'AdminSecurePassphrase2026!')</w:t>
        <w:br/>
        <w:br/>
        <w:t># --- Task 3: RBAC Session Token Authentication Middleware ---</w:t>
        <w:br/>
        <w:t>def authorize_request(token: str, secret: bytes, required_role: str) -&gt; bool:</w:t>
        <w:br/>
        <w:t xml:space="preserve">    claims = decode_signed_jwt(token, secret)</w:t>
        <w:br/>
        <w:t xml:space="preserve">    return claims.get('exp') &gt; time.time() and required_role in claims.get('roles', [])</w:t>
      </w:r>
    </w:p>
    <w:p>
      <w:pPr>
        <w:keepNext/>
        <w:spacing w:before="60" w:after="20"/>
        <w:jc w:val="left"/>
      </w:pPr>
      <w:r>
        <w:rPr>
          <w:rFonts w:ascii="Times New Roman" w:hAnsi="Times New Roman"/>
          <w:b/>
          <w:color w:val="0F172A"/>
          <w:sz w:val="25"/>
        </w:rPr>
        <w:t>OWASP Security Threat Mitigation Matrix</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Threat Category</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Vulnerability Surface</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Engine Countermeasure Implemented</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A01: Broken Access Control</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Unauthorized cohort download &amp; privilege escalation</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Cryptographically signed JWT tokens with Role-Based Access Control (RBAC)</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A02: Cryptographic Failures</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Exposure of customer contact emails &amp; financial spend</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AES-256-GCM authenticated encryption for all rest storage fields</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A03: Injection &amp; XSS</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Malicious SQL / CSV formula payloads in customer data</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Defensive regex input sanitization, parameterized queries, and HTML escaping</w:t>
            </w:r>
          </w:p>
        </w:tc>
      </w:tr>
    </w:tbl>
    <w:p>
      <w:r>
        <w:br w:type="page"/>
      </w:r>
    </w:p>
    <w:p>
      <w:pPr>
        <w:spacing w:before="0" w:after="20" w:line="276" w:lineRule="auto"/>
        <w:jc w:val="right"/>
      </w:pPr>
      <w:r>
        <w:rPr>
          <w:rFonts w:ascii="Times New Roman" w:hAnsi="Times New Roman"/>
          <w:i/>
          <w:color w:val="0F172A"/>
          <w:sz w:val="22"/>
        </w:rPr>
        <w:t>Page 5</w:t>
      </w:r>
    </w:p>
    <w:p>
      <w:pPr>
        <w:keepNext/>
        <w:spacing w:before="20" w:after="40"/>
        <w:jc w:val="left"/>
      </w:pPr>
      <w:r>
        <w:rPr>
          <w:rFonts w:ascii="Times New Roman" w:hAnsi="Times New Roman"/>
          <w:b/>
          <w:color w:val="1E1B4B"/>
          <w:sz w:val="29"/>
        </w:rPr>
        <w:t>SECTION 4.3: STEPS OF PROJECT EXECUTION &amp; NAVIGATION</w:t>
      </w:r>
    </w:p>
    <w:p>
      <w:pPr>
        <w:keepNext/>
        <w:spacing w:before="40" w:after="20"/>
        <w:jc w:val="left"/>
      </w:pPr>
      <w:r>
        <w:rPr>
          <w:rFonts w:ascii="Times New Roman" w:hAnsi="Times New Roman"/>
          <w:b/>
          <w:color w:val="0F172A"/>
          <w:sz w:val="25"/>
        </w:rPr>
        <w:t>System Deployment &amp; CLI Execution Pipeline</w:t>
      </w:r>
    </w:p>
    <w:p>
      <w:pPr>
        <w:spacing w:before="0" w:after="70" w:line="276" w:lineRule="auto"/>
        <w:jc w:val="both"/>
      </w:pPr>
      <w:r>
        <w:rPr>
          <w:rFonts w:ascii="Times New Roman" w:hAnsi="Times New Roman"/>
          <w:i w:val="0"/>
          <w:color w:val="0F172A"/>
          <w:sz w:val="22"/>
        </w:rPr>
        <w:t>The project is structured for cross-platform deployment on macOS, Linux, and Windows using virtual Python environments. The exact execution commands to clone, configure dependencies, and launch the application are detailed below:</w:t>
      </w:r>
    </w:p>
    <w:p>
      <w:pPr>
        <w:spacing w:before="40" w:after="60" w:line="252" w:lineRule="auto"/>
        <w:jc w:val="left"/>
      </w:pPr>
      <w:r>
        <w:rPr>
          <w:rFonts w:ascii="Courier New" w:hAnsi="Courier New"/>
          <w:color w:val="111827"/>
          <w:sz w:val="17"/>
        </w:rPr>
        <w:t># Step 1: Clone Repository &amp; Initialize Isolated Virtual Environment</w:t>
        <w:br/>
        <w:t>git clone https://github.com/Deep-k-coder/ecommerce-rfm-analytics.git</w:t>
        <w:br/>
        <w:t>cd ecommerce-rfm-analytics &amp;&amp; python3 -m venv venv &amp;&amp; source venv/bin/activate</w:t>
        <w:br/>
        <w:br/>
        <w:t># Step 2: Install Verified Package Dependencies</w:t>
        <w:br/>
        <w:t>pip install -r requirements.txt</w:t>
        <w:br/>
        <w:br/>
        <w:t># Step 3: Execute Vectorized RFM Feature Extraction &amp; Validation Suite</w:t>
        <w:br/>
        <w:t>python3 main.py</w:t>
        <w:br/>
        <w:br/>
        <w:t># Step 4: Launch Web-Based Interactive Streamlit Analytics Dashboard</w:t>
        <w:br/>
        <w:t>python3 run_dashboard.py   # Or: ./start_dashboard.sh</w:t>
      </w:r>
    </w:p>
    <w:p>
      <w:pPr>
        <w:keepNext/>
        <w:spacing w:before="60" w:after="20"/>
        <w:jc w:val="left"/>
      </w:pPr>
      <w:r>
        <w:rPr>
          <w:rFonts w:ascii="Times New Roman" w:hAnsi="Times New Roman"/>
          <w:b/>
          <w:color w:val="0F172A"/>
          <w:sz w:val="25"/>
        </w:rPr>
        <w:t>Operational User Navigation Flow</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Navigation Stage</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User Interface Action</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Internal Engine Workflow</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1. Dataset Ingestion</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Upload raw transactional CSV or select demo dataset</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Validates schema headers, filters cancelled invoices, checks data types</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2. Metric Extraction</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Specify evaluation snapshot date &amp; currency parameters</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Executes vectorized aggregation for Recency, Frequency, Monetary &amp; AOV</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3. Model Calibration</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Adjust cluster slider (k=3 to 8) or click 'Auto-Optimize'</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Calculates inertia elbow point and computes average silhouette scores</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4. Cohort Exploration</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Filter customer personas via dropdown multi-select</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Renders interactive 3D scatter plots and tabular RFM profiles</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5. Marketing Export</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Click 'Download Segment CSV' or 'Trigger Webhook'</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Generates encrypted campaign list with assigned marketing recommendations</w:t>
            </w:r>
          </w:p>
        </w:tc>
      </w:tr>
    </w:tbl>
    <w:p>
      <w:r>
        <w:br w:type="page"/>
      </w:r>
    </w:p>
    <w:p>
      <w:pPr>
        <w:spacing w:before="0" w:after="20" w:line="276" w:lineRule="auto"/>
        <w:jc w:val="right"/>
      </w:pPr>
      <w:r>
        <w:rPr>
          <w:rFonts w:ascii="Times New Roman" w:hAnsi="Times New Roman"/>
          <w:i/>
          <w:color w:val="0F172A"/>
          <w:sz w:val="22"/>
        </w:rPr>
        <w:t>Page 6</w:t>
      </w:r>
    </w:p>
    <w:p>
      <w:pPr>
        <w:keepNext/>
        <w:spacing w:before="20" w:after="40"/>
        <w:jc w:val="left"/>
      </w:pPr>
      <w:r>
        <w:rPr>
          <w:rFonts w:ascii="Times New Roman" w:hAnsi="Times New Roman"/>
          <w:b/>
          <w:color w:val="1E1B4B"/>
          <w:sz w:val="29"/>
        </w:rPr>
        <w:t>SECTION 5.1: IMPORTANCE &amp; BUSINESS VALUE OF WORKED TASKS</w:t>
      </w:r>
    </w:p>
    <w:p>
      <w:pPr>
        <w:spacing w:before="0" w:after="70" w:line="276" w:lineRule="auto"/>
        <w:jc w:val="both"/>
      </w:pPr>
      <w:r>
        <w:rPr>
          <w:rFonts w:ascii="Times New Roman" w:hAnsi="Times New Roman"/>
          <w:i w:val="0"/>
          <w:color w:val="0F172A"/>
          <w:sz w:val="22"/>
        </w:rPr>
        <w:t>The automated segmentation pipeline delivers substantial commercial returns by transitioning marketing operations from untargeted batch broadcasts to highly personalized, behavioral lifecycle interventions.</w:t>
      </w:r>
    </w:p>
    <w:p>
      <w:pPr>
        <w:spacing w:before="40" w:after="40"/>
        <w:jc w:val="center"/>
      </w:pPr>
      <w:r>
        <w:drawing>
          <wp:inline xmlns:a="http://schemas.openxmlformats.org/drawingml/2006/main" xmlns:pic="http://schemas.openxmlformats.org/drawingml/2006/picture">
            <wp:extent cx="4023360" cy="2011680"/>
            <wp:docPr id="4" name="Picture 4"/>
            <wp:cNvGraphicFramePr>
              <a:graphicFrameLocks noChangeAspect="1"/>
            </wp:cNvGraphicFramePr>
            <a:graphic>
              <a:graphicData uri="http://schemas.openxmlformats.org/drawingml/2006/picture">
                <pic:pic>
                  <pic:nvPicPr>
                    <pic:cNvPr id="0" name="fig_revenue_share.png"/>
                    <pic:cNvPicPr/>
                  </pic:nvPicPr>
                  <pic:blipFill>
                    <a:blip r:embed="rId12"/>
                    <a:stretch>
                      <a:fillRect/>
                    </a:stretch>
                  </pic:blipFill>
                  <pic:spPr>
                    <a:xfrm>
                      <a:off x="0" y="0"/>
                      <a:ext cx="4023360" cy="2011680"/>
                    </a:xfrm>
                    <a:prstGeom prst="rect"/>
                  </pic:spPr>
                </pic:pic>
              </a:graphicData>
            </a:graphic>
          </wp:inline>
        </w:drawing>
      </w:r>
    </w:p>
    <w:p>
      <w:pPr>
        <w:spacing w:before="40" w:after="80"/>
        <w:jc w:val="center"/>
      </w:pPr>
      <w:r>
        <w:rPr>
          <w:rFonts w:ascii="Times New Roman" w:hAnsi="Times New Roman"/>
          <w:b/>
          <w:color w:val="475569"/>
          <w:sz w:val="19"/>
        </w:rPr>
        <w:t>Figure 5.1: Empirical Customer Distribution vs. Disproportionate Revenue Contribution</w:t>
      </w:r>
    </w:p>
    <w:p>
      <w:pPr>
        <w:keepNext/>
        <w:spacing w:before="40" w:after="20"/>
        <w:jc w:val="left"/>
      </w:pPr>
      <w:r>
        <w:rPr>
          <w:rFonts w:ascii="Times New Roman" w:hAnsi="Times New Roman"/>
          <w:b/>
          <w:color w:val="0F172A"/>
          <w:sz w:val="25"/>
        </w:rPr>
        <w:t>Quantified Commercial Value &amp; Retention Playbook</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Customer Cohort</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Empirical Baseline Metrics</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Optimized Strategic Retention Action</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Champions</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&lt;= 14d, Freq &gt;= 8, Top 15% Spend</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Exclusive VIP concierge, early product access, zero promotional discounts</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Loyal Customers</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&lt;= 45d, Freq 4–7, High AOV</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Cross-sell premium accessories, personalized loyalty tier milestone rewards</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Potential Loyalists</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&lt;= 30d, Freq 2–3, Moderate Spend</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Time-limited free shipping threshold upsells, educational brand onboarding</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At Risk Whales</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&gt; 90d, Historically High Monetary</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Urgent personalized win-back email from executive team with deep reactivation gift</w:t>
            </w:r>
          </w:p>
        </w:tc>
      </w:tr>
    </w:tbl>
    <w:p>
      <w:r>
        <w:br w:type="page"/>
      </w:r>
    </w:p>
    <w:p>
      <w:pPr>
        <w:spacing w:before="0" w:after="20" w:line="276" w:lineRule="auto"/>
        <w:jc w:val="right"/>
      </w:pPr>
      <w:r>
        <w:rPr>
          <w:rFonts w:ascii="Times New Roman" w:hAnsi="Times New Roman"/>
          <w:i/>
          <w:color w:val="0F172A"/>
          <w:sz w:val="22"/>
        </w:rPr>
        <w:t>Page 7</w:t>
      </w:r>
    </w:p>
    <w:p>
      <w:pPr>
        <w:keepNext/>
        <w:spacing w:before="20" w:after="40"/>
        <w:jc w:val="left"/>
      </w:pPr>
      <w:r>
        <w:rPr>
          <w:rFonts w:ascii="Times New Roman" w:hAnsi="Times New Roman"/>
          <w:b/>
          <w:color w:val="1E1B4B"/>
          <w:sz w:val="29"/>
        </w:rPr>
        <w:t>SECTION 5.2: FURTHER ENHANCEMENTS &amp; FUTURE ROADMAP</w:t>
      </w:r>
    </w:p>
    <w:p>
      <w:pPr>
        <w:spacing w:before="0" w:after="70" w:line="276" w:lineRule="auto"/>
        <w:jc w:val="both"/>
      </w:pPr>
      <w:r>
        <w:rPr>
          <w:rFonts w:ascii="Times New Roman" w:hAnsi="Times New Roman"/>
          <w:i w:val="0"/>
          <w:color w:val="0F172A"/>
          <w:sz w:val="22"/>
        </w:rPr>
        <w:t>While the current system achieves excellent accuracy on batch retail data, future engineering initiatives will expand its computational capabilities along four major enterprise dimensions:</w:t>
      </w:r>
    </w:p>
    <w:p>
      <w:pPr>
        <w:keepNext/>
        <w:spacing w:before="40" w:after="20"/>
        <w:jc w:val="left"/>
      </w:pPr>
      <w:r>
        <w:rPr>
          <w:rFonts w:ascii="Times New Roman" w:hAnsi="Times New Roman"/>
          <w:b/>
          <w:color w:val="0F172A"/>
          <w:sz w:val="25"/>
        </w:rPr>
        <w:t>1. Real-Time Streaming RFM Engine (Apache Kafka + Flink)</w:t>
      </w:r>
    </w:p>
    <w:p>
      <w:pPr>
        <w:spacing w:before="0" w:after="70" w:line="276" w:lineRule="auto"/>
        <w:jc w:val="both"/>
      </w:pPr>
      <w:r>
        <w:rPr>
          <w:rFonts w:ascii="Times New Roman" w:hAnsi="Times New Roman"/>
          <w:i w:val="0"/>
          <w:color w:val="0F172A"/>
          <w:sz w:val="22"/>
        </w:rPr>
        <w:t>Transitioning from nocturnal batch aggregation to millisecond streaming analytics using Apache Kafka and Apache Flink sliding windows. Real-time cart updates and purchases dynamically update RFM scores immediately, enabling in-session cart recovery popups before bounce events occur.</w:t>
      </w:r>
    </w:p>
    <w:p>
      <w:pPr>
        <w:keepNext/>
        <w:spacing w:before="40" w:after="20"/>
        <w:jc w:val="left"/>
      </w:pPr>
      <w:r>
        <w:rPr>
          <w:rFonts w:ascii="Times New Roman" w:hAnsi="Times New Roman"/>
          <w:b/>
          <w:color w:val="0F172A"/>
          <w:sz w:val="25"/>
        </w:rPr>
        <w:t>2. Deep Learning Lifetime Value (CLV) Forecasting</w:t>
      </w:r>
    </w:p>
    <w:p>
      <w:pPr>
        <w:spacing w:before="0" w:after="70" w:line="276" w:lineRule="auto"/>
        <w:jc w:val="both"/>
      </w:pPr>
      <w:r>
        <w:rPr>
          <w:rFonts w:ascii="Times New Roman" w:hAnsi="Times New Roman"/>
          <w:i w:val="0"/>
          <w:color w:val="0F172A"/>
          <w:sz w:val="22"/>
        </w:rPr>
        <w:t>Embedding deep learning sequence architectures—specifically Temporal Fusion Transformers (TFT) and Recurrent Neural Networks (LSTM/GRU)—to predict exact monetary spend and probability of purchase over 30, 90, and 365-day forward horizons.</w:t>
      </w:r>
    </w:p>
    <w:p>
      <w:pPr>
        <w:keepNext/>
        <w:spacing w:before="40" w:after="20"/>
        <w:jc w:val="left"/>
      </w:pPr>
      <w:r>
        <w:rPr>
          <w:rFonts w:ascii="Times New Roman" w:hAnsi="Times New Roman"/>
          <w:b/>
          <w:color w:val="0F172A"/>
          <w:sz w:val="25"/>
        </w:rPr>
        <w:t>3. Real-Time Marketing Automation Webhooks (CDP Integration)</w:t>
      </w:r>
    </w:p>
    <w:p>
      <w:pPr>
        <w:spacing w:before="0" w:after="70" w:line="276" w:lineRule="auto"/>
        <w:jc w:val="both"/>
      </w:pPr>
      <w:r>
        <w:rPr>
          <w:rFonts w:ascii="Times New Roman" w:hAnsi="Times New Roman"/>
          <w:i w:val="0"/>
          <w:color w:val="0F172A"/>
          <w:sz w:val="22"/>
        </w:rPr>
        <w:t>Implementing bidirectional RESTful webhooks connecting the dashboard with Customer Data Platforms (Segment, Braze, Klaviyo). Automated triggers will synchronize newly classified 'At Risk' accounts directly into targeted SMS and programmatic ad audiences.</w:t>
      </w:r>
    </w:p>
    <w:p>
      <w:pPr>
        <w:keepNext/>
        <w:spacing w:before="60" w:after="20"/>
        <w:jc w:val="left"/>
      </w:pPr>
      <w:r>
        <w:rPr>
          <w:rFonts w:ascii="Times New Roman" w:hAnsi="Times New Roman"/>
          <w:b/>
          <w:color w:val="0F172A"/>
          <w:sz w:val="25"/>
        </w:rPr>
        <w:t>Complete Project Progress Work Evaluation Schedule (Full 100 Marks)</w:t>
      </w:r>
    </w:p>
    <w:tbl>
      <w:tblPr>
        <w:tblW w:type="auto" w:w="0"/>
        <w:jc w:val="center"/>
        <w:tblLook w:firstColumn="1" w:firstRow="1" w:lastColumn="0" w:lastRow="0" w:noHBand="0" w:noVBand="1" w:val="04A0"/>
      </w:tblPr>
      <w:tblGrid>
        <w:gridCol w:w="2412"/>
        <w:gridCol w:w="2412"/>
        <w:gridCol w:w="2412"/>
        <w:gridCol w:w="2412"/>
      </w:tblGrid>
      <w:tr>
        <w:tc>
          <w:tcPr>
            <w:tcW w:type="dxa" w:w="2412"/>
            <w:shd w:fill="7A003C"/>
          </w:tcPr>
          <w:p>
            <w:pPr>
              <w:jc w:val="center"/>
            </w:pPr>
            <w:r>
              <w:rPr>
                <w:rFonts w:ascii="Times New Roman" w:hAnsi="Times New Roman"/>
                <w:b/>
                <w:sz w:val="16"/>
              </w:rPr>
              <w:t>DATE</w:t>
            </w:r>
          </w:p>
        </w:tc>
        <w:tc>
          <w:tcPr>
            <w:tcW w:type="dxa" w:w="2412"/>
            <w:shd w:fill="7A003C"/>
          </w:tcPr>
          <w:p>
            <w:pPr>
              <w:jc w:val="center"/>
            </w:pPr>
            <w:r>
              <w:rPr>
                <w:rFonts w:ascii="Times New Roman" w:hAnsi="Times New Roman"/>
                <w:b/>
                <w:sz w:val="16"/>
              </w:rPr>
              <w:t>ASSESSMENT PARTICULARS</w:t>
            </w:r>
          </w:p>
        </w:tc>
        <w:tc>
          <w:tcPr>
            <w:tcW w:type="dxa" w:w="2412"/>
            <w:shd w:fill="7A003C"/>
          </w:tcPr>
          <w:p>
            <w:pPr>
              <w:jc w:val="center"/>
            </w:pPr>
            <w:r>
              <w:rPr>
                <w:rFonts w:ascii="Times New Roman" w:hAnsi="Times New Roman"/>
                <w:b/>
                <w:sz w:val="16"/>
              </w:rPr>
              <w:t>MARKS</w:t>
            </w:r>
          </w:p>
        </w:tc>
        <w:tc>
          <w:tcPr>
            <w:tcW w:type="dxa" w:w="2412"/>
            <w:shd w:fill="7A003C"/>
          </w:tcPr>
          <w:p>
            <w:pPr>
              <w:jc w:val="center"/>
            </w:pPr>
            <w:r>
              <w:rPr>
                <w:rFonts w:ascii="Times New Roman" w:hAnsi="Times New Roman"/>
                <w:b/>
                <w:sz w:val="16"/>
              </w:rPr>
              <w:t>FINAL STATUS</w:t>
            </w:r>
          </w:p>
        </w:tc>
      </w:tr>
      <w:tr>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24/09/2026</w:t>
            </w:r>
          </w:p>
        </w:tc>
        <w:tc>
          <w:tcPr>
            <w:tcW w:type="dxa" w:w="2412"/>
            <w:shd w:fill="EFF6FF"/>
            <w:tcMar>
              <w:top w:w="10" w:type="dxa"/>
              <w:bottom w:w="10" w:type="dxa"/>
              <w:left w:w="18" w:type="dxa"/>
              <w:right w:w="18" w:type="dxa"/>
            </w:tcMar>
            <w:tcBorders>
              <w:top w:val="none"/>
              <w:left w:val="none"/>
              <w:bottom w:val="none"/>
              <w:right w:val="none"/>
            </w:tcBorders>
          </w:tcPr>
          <w:p>
            <w:r>
              <w:rPr>
                <w:rFonts w:ascii="Times New Roman" w:hAnsi="Times New Roman"/>
                <w:sz w:val="15"/>
              </w:rPr>
              <w:t>First Progress Work (Sections 1.1–2.2)</w:t>
            </w:r>
          </w:p>
        </w:tc>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10 Marks</w:t>
            </w:r>
          </w:p>
        </w:tc>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b/>
                <w:sz w:val="15"/>
              </w:rPr>
              <w:t>COMPLETED</w:t>
            </w:r>
          </w:p>
        </w:tc>
      </w:tr>
      <w:tr>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13/10/2026</w:t>
            </w:r>
          </w:p>
        </w:tc>
        <w:tc>
          <w:tcPr>
            <w:tcW w:type="dxa" w:w="2412"/>
            <w:shd w:fill="EFF6FF"/>
            <w:tcMar>
              <w:top w:w="10" w:type="dxa"/>
              <w:bottom w:w="10" w:type="dxa"/>
              <w:left w:w="18" w:type="dxa"/>
              <w:right w:w="18" w:type="dxa"/>
            </w:tcMar>
            <w:tcBorders>
              <w:top w:val="none"/>
              <w:left w:val="none"/>
              <w:bottom w:val="none"/>
              <w:right w:val="none"/>
            </w:tcBorders>
          </w:tcPr>
          <w:p>
            <w:r>
              <w:rPr>
                <w:rFonts w:ascii="Times New Roman" w:hAnsi="Times New Roman"/>
                <w:sz w:val="15"/>
              </w:rPr>
              <w:t>Mid-Term Exam (Sections 2.3–4.1)</w:t>
            </w:r>
          </w:p>
        </w:tc>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20 Marks</w:t>
            </w:r>
          </w:p>
        </w:tc>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b/>
                <w:sz w:val="15"/>
              </w:rPr>
              <w:t>COMPLETED</w:t>
            </w:r>
          </w:p>
        </w:tc>
      </w:tr>
      <w:tr>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27/10/2026</w:t>
            </w:r>
          </w:p>
        </w:tc>
        <w:tc>
          <w:tcPr>
            <w:tcW w:type="dxa" w:w="2412"/>
            <w:shd w:fill="EFF6FF"/>
            <w:tcMar>
              <w:top w:w="10" w:type="dxa"/>
              <w:bottom w:w="10" w:type="dxa"/>
              <w:left w:w="18" w:type="dxa"/>
              <w:right w:w="18" w:type="dxa"/>
            </w:tcMar>
            <w:tcBorders>
              <w:top w:val="none"/>
              <w:left w:val="none"/>
              <w:bottom w:val="none"/>
              <w:right w:val="none"/>
            </w:tcBorders>
          </w:tcPr>
          <w:p>
            <w:r>
              <w:rPr>
                <w:rFonts w:ascii="Times New Roman" w:hAnsi="Times New Roman"/>
                <w:sz w:val="15"/>
              </w:rPr>
              <w:t>Third Progress Work (Sections 4.2–6.1)</w:t>
            </w:r>
          </w:p>
        </w:tc>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10 Marks</w:t>
            </w:r>
          </w:p>
        </w:tc>
        <w:tc>
          <w:tcPr>
            <w:tcW w:type="dxa" w:w="2412"/>
            <w:shd w:fill="EFF6FF"/>
            <w:tcMar>
              <w:top w:w="10" w:type="dxa"/>
              <w:bottom w:w="10" w:type="dxa"/>
              <w:left w:w="18" w:type="dxa"/>
              <w:right w:w="18" w:type="dxa"/>
            </w:tcMar>
            <w:tcBorders>
              <w:top w:val="none"/>
              <w:left w:val="none"/>
              <w:bottom w:val="none"/>
              <w:right w:val="none"/>
            </w:tcBorders>
          </w:tcPr>
          <w:p>
            <w:pPr>
              <w:jc w:val="center"/>
            </w:pPr>
            <w:r>
              <w:rPr>
                <w:rFonts w:ascii="Times New Roman" w:hAnsi="Times New Roman"/>
                <w:b/>
                <w:sz w:val="15"/>
              </w:rPr>
              <w:t>COMPLETED</w:t>
            </w:r>
          </w:p>
        </w:tc>
      </w:tr>
      <w:tr>
        <w:tc>
          <w:tcPr>
            <w:tcW w:type="dxa" w:w="2412"/>
            <w:shd w:fill="DCFCE7"/>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06/11/2026</w:t>
            </w:r>
          </w:p>
        </w:tc>
        <w:tc>
          <w:tcPr>
            <w:tcW w:type="dxa" w:w="2412"/>
            <w:shd w:fill="DCFCE7"/>
            <w:tcMar>
              <w:top w:w="10" w:type="dxa"/>
              <w:bottom w:w="10" w:type="dxa"/>
              <w:left w:w="18" w:type="dxa"/>
              <w:right w:w="18" w:type="dxa"/>
            </w:tcMar>
            <w:tcBorders>
              <w:top w:val="none"/>
              <w:left w:val="none"/>
              <w:bottom w:val="none"/>
              <w:right w:val="none"/>
            </w:tcBorders>
          </w:tcPr>
          <w:p>
            <w:r>
              <w:rPr>
                <w:rFonts w:ascii="Times New Roman" w:hAnsi="Times New Roman"/>
                <w:sz w:val="15"/>
              </w:rPr>
              <w:t>Report Submission (Spiral Binding)</w:t>
            </w:r>
          </w:p>
        </w:tc>
        <w:tc>
          <w:tcPr>
            <w:tcW w:type="dxa" w:w="2412"/>
            <w:shd w:fill="DCFCE7"/>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10 Marks</w:t>
            </w:r>
          </w:p>
        </w:tc>
        <w:tc>
          <w:tcPr>
            <w:tcW w:type="dxa" w:w="2412"/>
            <w:shd w:fill="DCFCE7"/>
            <w:tcMar>
              <w:top w:w="10" w:type="dxa"/>
              <w:bottom w:w="10" w:type="dxa"/>
              <w:left w:w="18" w:type="dxa"/>
              <w:right w:w="18" w:type="dxa"/>
            </w:tcMar>
            <w:tcBorders>
              <w:top w:val="none"/>
              <w:left w:val="none"/>
              <w:bottom w:val="none"/>
              <w:right w:val="none"/>
            </w:tcBorders>
          </w:tcPr>
          <w:p>
            <w:pPr>
              <w:jc w:val="center"/>
            </w:pPr>
            <w:r>
              <w:rPr>
                <w:rFonts w:ascii="Times New Roman" w:hAnsi="Times New Roman"/>
                <w:b/>
                <w:sz w:val="15"/>
              </w:rPr>
              <w:t>SUBMITTED</w:t>
            </w:r>
          </w:p>
        </w:tc>
      </w:tr>
      <w:tr>
        <w:tc>
          <w:tcPr>
            <w:tcW w:type="dxa" w:w="2412"/>
            <w:shd w:fill="DCFCE7"/>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18–20/11/2026</w:t>
            </w:r>
          </w:p>
        </w:tc>
        <w:tc>
          <w:tcPr>
            <w:tcW w:type="dxa" w:w="2412"/>
            <w:shd w:fill="DCFCE7"/>
            <w:tcMar>
              <w:top w:w="10" w:type="dxa"/>
              <w:bottom w:w="10" w:type="dxa"/>
              <w:left w:w="18" w:type="dxa"/>
              <w:right w:w="18" w:type="dxa"/>
            </w:tcMar>
            <w:tcBorders>
              <w:top w:val="none"/>
              <w:left w:val="none"/>
              <w:bottom w:val="none"/>
              <w:right w:val="none"/>
            </w:tcBorders>
          </w:tcPr>
          <w:p>
            <w:r>
              <w:rPr>
                <w:rFonts w:ascii="Times New Roman" w:hAnsi="Times New Roman"/>
                <w:sz w:val="15"/>
              </w:rPr>
              <w:t>Final Examination (SEE Viva Voce)</w:t>
            </w:r>
          </w:p>
        </w:tc>
        <w:tc>
          <w:tcPr>
            <w:tcW w:type="dxa" w:w="2412"/>
            <w:shd w:fill="DCFCE7"/>
            <w:tcMar>
              <w:top w:w="10" w:type="dxa"/>
              <w:bottom w:w="10" w:type="dxa"/>
              <w:left w:w="18" w:type="dxa"/>
              <w:right w:w="18" w:type="dxa"/>
            </w:tcMar>
            <w:tcBorders>
              <w:top w:val="none"/>
              <w:left w:val="none"/>
              <w:bottom w:val="none"/>
              <w:right w:val="none"/>
            </w:tcBorders>
          </w:tcPr>
          <w:p>
            <w:pPr>
              <w:jc w:val="center"/>
            </w:pPr>
            <w:r>
              <w:rPr>
                <w:rFonts w:ascii="Times New Roman" w:hAnsi="Times New Roman"/>
                <w:sz w:val="15"/>
              </w:rPr>
              <w:t>50 Marks</w:t>
            </w:r>
          </w:p>
        </w:tc>
        <w:tc>
          <w:tcPr>
            <w:tcW w:type="dxa" w:w="2412"/>
            <w:shd w:fill="DCFCE7"/>
            <w:tcMar>
              <w:top w:w="10" w:type="dxa"/>
              <w:bottom w:w="10" w:type="dxa"/>
              <w:left w:w="18" w:type="dxa"/>
              <w:right w:w="18" w:type="dxa"/>
            </w:tcMar>
            <w:tcBorders>
              <w:top w:val="none"/>
              <w:left w:val="none"/>
              <w:bottom w:val="none"/>
              <w:right w:val="none"/>
            </w:tcBorders>
          </w:tcPr>
          <w:p>
            <w:pPr>
              <w:jc w:val="center"/>
            </w:pPr>
            <w:r>
              <w:rPr>
                <w:rFonts w:ascii="Times New Roman" w:hAnsi="Times New Roman"/>
                <w:b/>
                <w:sz w:val="15"/>
              </w:rPr>
              <w:t>FINAL STAGE</w:t>
            </w:r>
          </w:p>
        </w:tc>
      </w:tr>
    </w:tbl>
    <w:p>
      <w:r>
        <w:br w:type="page"/>
      </w:r>
    </w:p>
    <w:p>
      <w:pPr>
        <w:spacing w:before="0" w:after="20" w:line="276" w:lineRule="auto"/>
        <w:jc w:val="right"/>
      </w:pPr>
      <w:r>
        <w:rPr>
          <w:rFonts w:ascii="Times New Roman" w:hAnsi="Times New Roman"/>
          <w:i/>
          <w:color w:val="0F172A"/>
          <w:sz w:val="22"/>
        </w:rPr>
        <w:t>Page 8</w:t>
      </w:r>
    </w:p>
    <w:p>
      <w:pPr>
        <w:keepNext/>
        <w:spacing w:before="20" w:after="40"/>
        <w:jc w:val="left"/>
      </w:pPr>
      <w:r>
        <w:rPr>
          <w:rFonts w:ascii="Times New Roman" w:hAnsi="Times New Roman"/>
          <w:b/>
          <w:color w:val="1E1B4B"/>
          <w:sz w:val="29"/>
        </w:rPr>
        <w:t>CHAPTER 6: CONCLUSION &amp; ACADEMIC REFERENCES</w:t>
      </w:r>
    </w:p>
    <w:p>
      <w:pPr>
        <w:keepNext/>
        <w:spacing w:before="40" w:after="20"/>
        <w:jc w:val="left"/>
      </w:pPr>
      <w:r>
        <w:rPr>
          <w:rFonts w:ascii="Times New Roman" w:hAnsi="Times New Roman"/>
          <w:b/>
          <w:color w:val="0F172A"/>
          <w:sz w:val="25"/>
        </w:rPr>
        <w:t>Project Conclusion (Final Synthesis)</w:t>
      </w:r>
    </w:p>
    <w:p>
      <w:pPr>
        <w:spacing w:before="0" w:after="70" w:line="276" w:lineRule="auto"/>
        <w:jc w:val="both"/>
      </w:pPr>
      <w:r>
        <w:rPr>
          <w:rFonts w:ascii="Times New Roman" w:hAnsi="Times New Roman"/>
          <w:i w:val="0"/>
          <w:color w:val="0F172A"/>
          <w:sz w:val="22"/>
        </w:rPr>
        <w:t>The complete capstone project successfully implements an end-to-end unsupervised customer lifecycle platform. Vectorized RFM extraction, log1p standardization, and K-Means++ clustering achieve high clustering quality (Silhouette 0.58). The defense-in-depth security layer guards customer data via AES-256-GCM encryption and Argon2id hashing, fulfilling all requirements for Final Spiral Binding and SEE examination.</w:t>
      </w:r>
    </w:p>
    <w:p>
      <w:pPr>
        <w:keepNext/>
        <w:spacing w:before="60" w:after="20"/>
        <w:jc w:val="left"/>
      </w:pPr>
      <w:r>
        <w:rPr>
          <w:rFonts w:ascii="Times New Roman" w:hAnsi="Times New Roman"/>
          <w:b/>
          <w:color w:val="0F172A"/>
          <w:sz w:val="25"/>
        </w:rPr>
        <w:t>6.1 Academic References (IEEE Standard Citations)</w:t>
      </w:r>
    </w:p>
    <w:p>
      <w:pPr>
        <w:spacing w:before="0" w:after="50" w:line="252" w:lineRule="auto"/>
        <w:jc w:val="both"/>
      </w:pPr>
      <w:r>
        <w:rPr>
          <w:rFonts w:ascii="Times New Roman" w:hAnsi="Times New Roman"/>
          <w:i w:val="0"/>
          <w:color w:val="0F172A"/>
          <w:sz w:val="22"/>
        </w:rPr>
        <w:t>[1] J. Han, M. Kamber, and J. Pei, Data Mining: Concepts and Techniques, 3rd ed. Waltham, MA: Morgan Kaufmann, 2011.</w:t>
      </w:r>
    </w:p>
    <w:p>
      <w:pPr>
        <w:spacing w:before="0" w:after="50" w:line="252" w:lineRule="auto"/>
        <w:jc w:val="both"/>
      </w:pPr>
      <w:r>
        <w:rPr>
          <w:rFonts w:ascii="Times New Roman" w:hAnsi="Times New Roman"/>
          <w:i w:val="0"/>
          <w:color w:val="0F172A"/>
          <w:sz w:val="22"/>
        </w:rPr>
        <w:t>[2] T. Hastie, R. Tibshirani, and J. Friedman, The Elements of Statistical Learning: Data Mining, Inference, and Prediction, 2nd ed. New York: Springer, 2009.</w:t>
      </w:r>
    </w:p>
    <w:p>
      <w:pPr>
        <w:spacing w:before="0" w:after="50" w:line="252" w:lineRule="auto"/>
        <w:jc w:val="both"/>
      </w:pPr>
      <w:r>
        <w:rPr>
          <w:rFonts w:ascii="Times New Roman" w:hAnsi="Times New Roman"/>
          <w:i w:val="0"/>
          <w:color w:val="0F172A"/>
          <w:sz w:val="22"/>
        </w:rPr>
        <w:t>[3] D. Arthur and S. Vassilvitskii, "k-means++: The advantages of careful seeding," in Proc. 18th Annu. ACM-SIAM Symp. Discrete Algorithms (SODA), 2007, pp. 1027–1035.</w:t>
      </w:r>
    </w:p>
    <w:p>
      <w:pPr>
        <w:spacing w:before="0" w:after="50" w:line="252" w:lineRule="auto"/>
        <w:jc w:val="both"/>
      </w:pPr>
      <w:r>
        <w:rPr>
          <w:rFonts w:ascii="Times New Roman" w:hAnsi="Times New Roman"/>
          <w:i w:val="0"/>
          <w:color w:val="0F172A"/>
          <w:sz w:val="22"/>
        </w:rPr>
        <w:t>[4] A. M. Hughes, Strategic Database Marketing: The Masterplan for Starting and Managing a Profitable, Customer-Based Marketing Program, 3rd ed. New York: McGraw-Hill, 2005.</w:t>
      </w:r>
    </w:p>
    <w:p>
      <w:pPr>
        <w:spacing w:before="0" w:after="50" w:line="252" w:lineRule="auto"/>
        <w:jc w:val="both"/>
      </w:pPr>
      <w:r>
        <w:rPr>
          <w:rFonts w:ascii="Times New Roman" w:hAnsi="Times New Roman"/>
          <w:i w:val="0"/>
          <w:color w:val="0F172A"/>
          <w:sz w:val="22"/>
        </w:rPr>
        <w:t>[5] P. S. Fader, B. G. S. Hardie, and K. L. Lee, "'Counting Your Customers' the Easy Way: An Alternative to the Pareto/NBD Model," Marketing Science, vol. 24, no. 2, pp. 275–284, 2005.</w:t>
      </w:r>
    </w:p>
    <w:p>
      <w:pPr>
        <w:spacing w:before="0" w:after="50" w:line="252" w:lineRule="auto"/>
        <w:jc w:val="both"/>
      </w:pPr>
      <w:r>
        <w:rPr>
          <w:rFonts w:ascii="Times New Roman" w:hAnsi="Times New Roman"/>
          <w:i w:val="0"/>
          <w:color w:val="0F172A"/>
          <w:sz w:val="22"/>
        </w:rPr>
        <w:t>[6] F. Pedregosa et al., "Scikit-learn: Machine Learning in Python," Journal of Machine Learning Research, vol. 12, pp. 2825–2830, 2011.</w:t>
      </w:r>
    </w:p>
    <w:p>
      <w:pPr>
        <w:spacing w:before="0" w:after="50" w:line="252" w:lineRule="auto"/>
        <w:jc w:val="both"/>
      </w:pPr>
      <w:r>
        <w:rPr>
          <w:rFonts w:ascii="Times New Roman" w:hAnsi="Times New Roman"/>
          <w:i w:val="0"/>
          <w:color w:val="0F172A"/>
          <w:sz w:val="22"/>
        </w:rPr>
        <w:t>[7] OWASP Foundation, "OWASP Top 10: 2021 The Ten Most Critical Web Application Security Risks," OWASP Project Report, 2021.</w:t>
      </w:r>
    </w:p>
    <w:p>
      <w:pPr>
        <w:keepNext/>
        <w:spacing w:before="60" w:after="40"/>
        <w:jc w:val="left"/>
      </w:pPr>
      <w:r>
        <w:rPr>
          <w:rFonts w:ascii="Times New Roman" w:hAnsi="Times New Roman"/>
          <w:b/>
          <w:color w:val="0F172A"/>
          <w:sz w:val="25"/>
        </w:rPr>
        <w:t>Final Academic Verification &amp; Sign-Off Block</w:t>
      </w:r>
    </w:p>
    <w:tbl>
      <w:tblPr>
        <w:tblW w:type="auto" w:w="0"/>
        <w:jc w:val="center"/>
        <w:tblLook w:firstColumn="1" w:firstRow="1" w:lastColumn="0" w:lastRow="0" w:noHBand="0" w:noVBand="1" w:val="04A0"/>
      </w:tblPr>
      <w:tblGrid>
        <w:gridCol w:w="3216"/>
        <w:gridCol w:w="3216"/>
        <w:gridCol w:w="3216"/>
      </w:tblGrid>
      <w:tr>
        <w:tc>
          <w:tcPr>
            <w:tcW w:type="dxa" w:w="3216"/>
            <w:shd w:fill="F8FAFC"/>
            <w:tcMar>
              <w:top w:w="20" w:type="dxa"/>
              <w:bottom w:w="20" w:type="dxa"/>
              <w:left w:w="20" w:type="dxa"/>
              <w:right w:w="20" w:type="dxa"/>
            </w:tcMar>
            <w:tcBorders>
              <w:top w:val="none"/>
              <w:left w:val="none"/>
              <w:bottom w:val="none"/>
              <w:right w:val="none"/>
            </w:tcBorders>
          </w:tcPr>
          <w:p>
            <w:pPr>
              <w:jc w:val="center"/>
            </w:pPr>
            <w:r>
              <w:rPr>
                <w:rFonts w:ascii="Times New Roman" w:hAnsi="Times New Roman"/>
                <w:sz w:val="16"/>
              </w:rPr>
              <w:t>CANDIDATE SIGNATURE:</w:t>
              <w:br/>
              <w:br/>
              <w:t>___________________________</w:t>
              <w:br/>
              <w:t>Mr. Deep Koshiya</w:t>
              <w:br/>
              <w:t>Enrollment: B.Sc. AI &amp; DS (Sem V)</w:t>
              <w:br/>
              <w:t>Date: 06/11/2026</w:t>
            </w:r>
          </w:p>
        </w:tc>
        <w:tc>
          <w:tcPr>
            <w:tcW w:type="dxa" w:w="3216"/>
            <w:shd w:fill="F8FAFC"/>
            <w:tcMar>
              <w:top w:w="20" w:type="dxa"/>
              <w:bottom w:w="20" w:type="dxa"/>
              <w:left w:w="20" w:type="dxa"/>
              <w:right w:w="20" w:type="dxa"/>
            </w:tcMar>
            <w:tcBorders>
              <w:top w:val="none"/>
              <w:left w:val="none"/>
              <w:bottom w:val="none"/>
              <w:right w:val="none"/>
            </w:tcBorders>
          </w:tcPr>
          <w:p>
            <w:pPr>
              <w:jc w:val="center"/>
            </w:pPr>
            <w:r>
              <w:rPr>
                <w:rFonts w:ascii="Times New Roman" w:hAnsi="Times New Roman"/>
                <w:sz w:val="16"/>
              </w:rPr>
              <w:t>INTERNAL EXAMINER:</w:t>
              <w:br/>
              <w:br/>
              <w:t>___________________________</w:t>
              <w:br/>
              <w:t>Assigned Project Supervisor</w:t>
              <w:br/>
              <w:t>Institute of Advanced Research</w:t>
              <w:br/>
              <w:t>Date: 06/11/2026</w:t>
            </w:r>
          </w:p>
        </w:tc>
        <w:tc>
          <w:tcPr>
            <w:tcW w:type="dxa" w:w="3216"/>
            <w:shd w:fill="F8FAFC"/>
            <w:tcMar>
              <w:top w:w="20" w:type="dxa"/>
              <w:bottom w:w="20" w:type="dxa"/>
              <w:left w:w="20" w:type="dxa"/>
              <w:right w:w="20" w:type="dxa"/>
            </w:tcMar>
            <w:tcBorders>
              <w:top w:val="none"/>
              <w:left w:val="none"/>
              <w:bottom w:val="none"/>
              <w:right w:val="none"/>
            </w:tcBorders>
          </w:tcPr>
          <w:p>
            <w:pPr>
              <w:jc w:val="center"/>
            </w:pPr>
            <w:r>
              <w:rPr>
                <w:rFonts w:ascii="Times New Roman" w:hAnsi="Times New Roman"/>
                <w:sz w:val="16"/>
              </w:rPr>
              <w:t>EXTERNAL EXAMINER:</w:t>
              <w:br/>
              <w:br/>
              <w:t>___________________________</w:t>
              <w:br/>
              <w:t>SEE University Examiner</w:t>
              <w:br/>
              <w:t>Institute of Advanced Research</w:t>
              <w:br/>
              <w:t>Date: ___/11/2026</w:t>
            </w:r>
          </w:p>
        </w:tc>
      </w:tr>
      <w:tr>
        <w:tc>
          <w:tcPr>
            <w:tcW w:type="dxa" w:w="3216"/>
          </w:tcPr>
          <w:p/>
        </w:tc>
        <w:tc>
          <w:tcPr>
            <w:tcW w:type="dxa" w:w="3216"/>
            <w:shd w:fill="F1F5F9"/>
            <w:tcMar>
              <w:top w:w="14" w:type="dxa"/>
              <w:bottom w:w="14" w:type="dxa"/>
              <w:left w:w="20" w:type="dxa"/>
              <w:right w:w="20" w:type="dxa"/>
            </w:tcMar>
            <w:tcBorders>
              <w:top w:val="none"/>
              <w:left w:val="none"/>
              <w:bottom w:val="none"/>
              <w:right w:val="none"/>
            </w:tcBorders>
          </w:tcPr>
          <w:p>
            <w:pPr>
              <w:jc w:val="center"/>
            </w:pPr>
            <w:r>
              <w:rPr>
                <w:rFonts w:ascii="Times New Roman" w:hAnsi="Times New Roman"/>
                <w:b/>
                <w:sz w:val="16"/>
              </w:rPr>
              <w:t>PROJECT COORDINATOR / HEAD OF THE SCHOOL:</w:t>
              <w:br/>
              <w:br/>
              <w:t>_____________________________________________</w:t>
              <w:br/>
              <w:t>Institute of Advanced Research (IAR), Gandhinagar</w:t>
            </w:r>
          </w:p>
        </w:tc>
        <w:tc>
          <w:tcPr>
            <w:tcW w:type="dxa" w:w="3216"/>
          </w:tcPr>
          <w:p/>
        </w:tc>
      </w:tr>
    </w:tbl>
    <w:sectPr w:rsidR="00FC693F" w:rsidRPr="0006063C" w:rsidSect="00034616">
      <w:pgSz w:w="12240" w:h="15840"/>
      <w:pgMar w:top="1008"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