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before="0"/>
        <w:jc w:val="center"/>
      </w:pPr>
      <w:r>
        <w:rPr>
          <w:rFonts w:ascii="Times New Roman" w:hAnsi="Times New Roman"/>
          <w:b/>
          <w:color w:val="7A003C"/>
          <w:sz w:val="28"/>
        </w:rPr>
        <w:t>INSTITUTE OF ADVANCED RESEARCH (IAR)</w:t>
      </w:r>
    </w:p>
    <w:p>
      <w:pPr>
        <w:spacing w:after="60"/>
        <w:jc w:val="center"/>
      </w:pPr>
      <w:r>
        <w:rPr>
          <w:rFonts w:ascii="Times New Roman" w:hAnsi="Times New Roman"/>
          <w:i/>
          <w:color w:val="475569"/>
          <w:sz w:val="19"/>
        </w:rPr>
        <w:t>The University for Innovation | Gandhinagar, Gujarat</w:t>
      </w:r>
    </w:p>
    <w:p>
      <w:pPr>
        <w:spacing w:after="160"/>
        <w:jc w:val="center"/>
      </w:pPr>
      <w:r>
        <w:rPr>
          <w:rFonts w:ascii="Times New Roman" w:hAnsi="Times New Roman"/>
          <w:b/>
          <w:color w:val="1E1B4B"/>
          <w:sz w:val="22"/>
        </w:rPr>
        <w:t>B.Sc. in Artificial Intelligence &amp; Data Science | Semester V (5th Semester)</w:t>
        <w:br/>
        <w:t>Academic Session: 2026 – 2027</w:t>
      </w:r>
    </w:p>
    <w:p>
      <w:pPr>
        <w:spacing w:after="200"/>
        <w:jc w:val="center"/>
      </w:pPr>
      <w:r>
        <w:rPr>
          <w:rFonts w:ascii="Times New Roman" w:hAnsi="Times New Roman"/>
          <w:color w:val="7A003C"/>
          <w:sz w:val="18"/>
        </w:rPr>
        <w:t>━━━━━━━━━━━━━━━━━━━━━━━━━━━━━━━━━━━━━━━━━</w:t>
      </w:r>
    </w:p>
    <w:p>
      <w:pPr>
        <w:spacing w:after="80"/>
        <w:jc w:val="center"/>
      </w:pPr>
      <w:r>
        <w:rPr>
          <w:rFonts w:ascii="Times New Roman" w:hAnsi="Times New Roman"/>
          <w:b/>
          <w:color w:val="1E1B4B"/>
          <w:sz w:val="33"/>
        </w:rPr>
        <w:t>E-COMMERCE CUSTOMER LIFECYCLE &amp;</w:t>
        <w:br/>
        <w:t>RFM SEGMENTATION DASHBOARD</w:t>
      </w:r>
    </w:p>
    <w:p>
      <w:pPr>
        <w:spacing w:after="240"/>
        <w:jc w:val="center"/>
      </w:pPr>
      <w:r>
        <w:rPr>
          <w:rFonts w:ascii="Times New Roman" w:hAnsi="Times New Roman"/>
          <w:i/>
          <w:color w:val="0F172A"/>
          <w:sz w:val="21"/>
        </w:rPr>
        <w:t>An Applied Machine Learning &amp; Analytics Engineering System</w:t>
        <w:br/>
        <w:t>for Commercial Retention &amp; Behavioral Cohort Optimization</w:t>
      </w:r>
    </w:p>
    <w:tbl>
      <w:tblPr>
        <w:tblW w:type="auto" w:w="0"/>
        <w:jc w:val="center"/>
        <w:tblLook w:firstColumn="1" w:firstRow="1" w:lastColumn="0" w:lastRow="0" w:noHBand="0" w:noVBand="1" w:val="04A0"/>
      </w:tblPr>
      <w:tblGrid>
        <w:gridCol w:w="4752"/>
        <w:gridCol w:w="4752"/>
      </w:tblGrid>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Assessment Milestone: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FIRST PROGRESS WORK EVALUATION</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Scheduled Submission Date: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24th September 2026 (Time: 10:00 AM to 5:00 PM)</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Curriculum Scope Completed:</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Sections 1.1, 1.2, 1.3, 2.1, and 2.2 (DFD &amp; Use Case)</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Course &amp; Project Code: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Project - 1 (CE-502 / PRJ-701)</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Evaluation Marks Allotted:</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10 Marks (First Progress Work Assessment)</w:t>
            </w:r>
          </w:p>
        </w:tc>
      </w:tr>
    </w:tbl>
    <w:p>
      <w:pPr>
        <w:spacing w:after="200"/>
      </w:pPr>
    </w:p>
    <w:tbl>
      <w:tblPr>
        <w:tblW w:type="auto" w:w="0"/>
        <w:jc w:val="center"/>
        <w:tblLook w:firstColumn="1" w:firstRow="1" w:lastColumn="0" w:lastRow="0" w:noHBand="0" w:noVBand="1" w:val="04A0"/>
      </w:tblPr>
      <w:tblGrid>
        <w:gridCol w:w="4752"/>
        <w:gridCol w:w="4752"/>
      </w:tblGrid>
      <w:tr>
        <w:tc>
          <w:tcPr>
            <w:tcW w:type="dxa" w:w="4608"/>
            <w:shd w:fill="F1F5F9"/>
            <w:tcMar>
              <w:top w:w="30" w:type="dxa"/>
              <w:bottom w:w="30"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20" w:line="252" w:lineRule="auto"/>
              <w:jc w:val="center"/>
            </w:pPr>
            <w:r>
              <w:rPr>
                <w:rFonts w:ascii="Times New Roman" w:hAnsi="Times New Roman"/>
                <w:sz w:val="17"/>
              </w:rPr>
              <w:t>PROJECT SCHOLAR:</w:t>
              <w:br/>
              <w:t>Mr. Deep Koshiya</w:t>
              <w:br/>
              <w:t>B.Sc. in AI &amp; Data Science</w:t>
              <w:br/>
              <w:t>Semester: V (5th Semester)</w:t>
            </w:r>
          </w:p>
        </w:tc>
        <w:tc>
          <w:tcPr>
            <w:tcW w:type="dxa" w:w="4608"/>
            <w:shd w:fill="F1F5F9"/>
            <w:tcMar>
              <w:top w:w="30" w:type="dxa"/>
              <w:bottom w:w="30"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20" w:line="252" w:lineRule="auto"/>
              <w:jc w:val="center"/>
            </w:pPr>
            <w:r>
              <w:rPr>
                <w:rFonts w:ascii="Times New Roman" w:hAnsi="Times New Roman"/>
                <w:sz w:val="17"/>
              </w:rPr>
              <w:t>PROJECT SUPERVISION:</w:t>
              <w:br/>
              <w:t>Assigned Project Supervisor</w:t>
              <w:br/>
              <w:t>Institute of Advanced Research (IAR)</w:t>
              <w:br/>
              <w:t>Evaluation &amp; Verification Stamp</w:t>
            </w:r>
          </w:p>
        </w:tc>
      </w:tr>
      <w:tr>
        <w:tc>
          <w:tcPr>
            <w:tcW w:type="dxa" w:w="4608"/>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jc w:val="center"/>
            </w:pPr>
            <w:r>
              <w:rPr>
                <w:rFonts w:ascii="Times New Roman" w:hAnsi="Times New Roman"/>
                <w:sz w:val="16"/>
              </w:rPr>
              <w:t>_________________________</w:t>
              <w:br/>
              <w:t>(Scholar Signature)</w:t>
            </w:r>
          </w:p>
        </w:tc>
        <w:tc>
          <w:tcPr>
            <w:tcW w:type="dxa" w:w="4608"/>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jc w:val="center"/>
            </w:pPr>
            <w:r>
              <w:rPr>
                <w:rFonts w:ascii="Times New Roman" w:hAnsi="Times New Roman"/>
                <w:sz w:val="16"/>
              </w:rPr>
              <w:t>_________________________</w:t>
              <w:br/>
              <w:t>(Supervisor Signature)</w:t>
            </w:r>
          </w:p>
        </w:tc>
      </w:tr>
    </w:tbl>
    <w:p>
      <w:r>
        <w:br w:type="page"/>
      </w:r>
    </w:p>
    <w:p>
      <w:pPr>
        <w:spacing w:before="0" w:after="20" w:line="276" w:lineRule="auto"/>
        <w:jc w:val="right"/>
      </w:pPr>
      <w:r>
        <w:rPr>
          <w:rFonts w:ascii="Times New Roman" w:hAnsi="Times New Roman"/>
          <w:i/>
          <w:color w:val="0F172A"/>
          <w:sz w:val="24"/>
        </w:rPr>
        <w:t>Page I</w:t>
      </w:r>
    </w:p>
    <w:p>
      <w:pPr>
        <w:keepNext/>
        <w:spacing w:before="40" w:after="80"/>
        <w:jc w:val="left"/>
      </w:pPr>
      <w:r>
        <w:rPr>
          <w:rFonts w:ascii="Times New Roman" w:hAnsi="Times New Roman"/>
          <w:b/>
          <w:color w:val="1E1B4B"/>
          <w:sz w:val="32"/>
        </w:rPr>
        <w:t>PROGRESS WORK EVALUATION CERTIFICATE</w:t>
      </w:r>
    </w:p>
    <w:p>
      <w:pPr>
        <w:spacing w:before="0" w:after="70" w:line="276" w:lineRule="auto"/>
        <w:jc w:val="both"/>
      </w:pPr>
      <w:r>
        <w:rPr>
          <w:rFonts w:ascii="Times New Roman" w:hAnsi="Times New Roman"/>
          <w:i w:val="0"/>
          <w:color w:val="0F172A"/>
          <w:sz w:val="24"/>
        </w:rPr>
        <w:t>This is to formally certify that the project work entitled "E-Commerce Customer Lifecycle &amp; RFM Segmentation Dashboard" is a bonafide record of authentic work carried out by Deep Koshiya, student of B.Sc. in Artificial Intelligence &amp; Data Science, Semester V (5th Semester), at Institute of Advanced Research (IAR), Gandhinagar, Gujarat.</w:t>
      </w:r>
    </w:p>
    <w:p>
      <w:pPr>
        <w:spacing w:before="0" w:after="70" w:line="276" w:lineRule="auto"/>
        <w:jc w:val="both"/>
      </w:pPr>
      <w:r>
        <w:rPr>
          <w:rFonts w:ascii="Times New Roman" w:hAnsi="Times New Roman"/>
          <w:i w:val="0"/>
          <w:color w:val="0F172A"/>
          <w:sz w:val="24"/>
        </w:rPr>
        <w:t>The candidate has successfully completed and demonstrated the First Progress Work requirements covering Sections 1.1 (Problem Definition), 1.2 (Requirement Specifications), 1.3 (Tools and Technology Used), 2.1 (Data Flow Diagrams - Context, Level 1, Level 2), and 2.2 (Use Case Diagram) for Project-1 (CE-502 / PRJ-701) scheduled on 24th September 2026.</w:t>
      </w:r>
    </w:p>
    <w:tbl>
      <w:tblPr>
        <w:tblW w:type="auto" w:w="0"/>
        <w:jc w:val="center"/>
        <w:tblLook w:firstColumn="1" w:firstRow="1" w:lastColumn="0" w:lastRow="0" w:noHBand="0" w:noVBand="1" w:val="04A0"/>
      </w:tblPr>
      <w:tblGrid>
        <w:gridCol w:w="3168"/>
        <w:gridCol w:w="3168"/>
        <w:gridCol w:w="3168"/>
      </w:tblGrid>
      <w:tr>
        <w:tc>
          <w:tcPr>
            <w:tcW w:type="dxa" w:w="432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EVALUATION PARAMETER</w:t>
            </w:r>
          </w:p>
        </w:tc>
        <w:tc>
          <w:tcPr>
            <w:tcW w:type="dxa" w:w="230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ALLOCATED MARKS</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AWARDED / VERIFIED</w:t>
            </w:r>
          </w:p>
        </w:tc>
      </w:tr>
      <w:tr>
        <w:tc>
          <w:tcPr>
            <w:tcW w:type="dxa" w:w="4320"/>
            <w:shd w:fill="F8FAFC"/>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6"/>
              </w:rPr>
              <w:t>First Progress Assessment (24/09/2026)</w:t>
            </w:r>
          </w:p>
        </w:tc>
        <w:tc>
          <w:tcPr>
            <w:tcW w:type="dxa" w:w="2304"/>
            <w:shd w:fill="F8FAFC"/>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6"/>
              </w:rPr>
              <w:t>10 Marks</w:t>
            </w:r>
          </w:p>
        </w:tc>
        <w:tc>
          <w:tcPr>
            <w:tcW w:type="dxa" w:w="2592"/>
            <w:shd w:fill="F8FAFC"/>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6"/>
              </w:rPr>
              <w:t>Demonstrated &amp; Verified</w:t>
            </w:r>
          </w:p>
        </w:tc>
      </w:tr>
      <w:tr>
        <w:tc>
          <w:tcPr>
            <w:tcW w:type="dxa" w:w="4320"/>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6"/>
              </w:rPr>
              <w:t>Project Guide &amp; Faculty Mentor Signature</w:t>
            </w:r>
          </w:p>
        </w:tc>
        <w:tc>
          <w:tcPr>
            <w:tcW w:type="dxa" w:w="2304"/>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6"/>
              </w:rPr>
              <w:t>Verification Seal</w:t>
            </w:r>
          </w:p>
        </w:tc>
        <w:tc>
          <w:tcPr>
            <w:tcW w:type="dxa" w:w="2592"/>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6"/>
              </w:rPr>
              <w:t>______________________</w:t>
            </w:r>
          </w:p>
        </w:tc>
      </w:tr>
    </w:tbl>
    <w:p>
      <w:pPr>
        <w:keepNext/>
        <w:spacing w:before="200" w:after="60"/>
        <w:jc w:val="left"/>
      </w:pPr>
      <w:r>
        <w:rPr>
          <w:rFonts w:ascii="Times New Roman" w:hAnsi="Times New Roman"/>
          <w:b/>
          <w:color w:val="0F172A"/>
          <w:sz w:val="28"/>
        </w:rPr>
        <w:t>ACKNOWLEDGMENT</w:t>
      </w:r>
    </w:p>
    <w:p>
      <w:pPr>
        <w:spacing w:before="0" w:after="70" w:line="276" w:lineRule="auto"/>
        <w:jc w:val="both"/>
      </w:pPr>
      <w:r>
        <w:rPr>
          <w:rFonts w:ascii="Times New Roman" w:hAnsi="Times New Roman"/>
          <w:i w:val="0"/>
          <w:color w:val="0F172A"/>
          <w:sz w:val="24"/>
        </w:rPr>
        <w:t>I express my deep sense of gratitude to my respected project supervisor and faculty members at Institute of Advanced Research (IAR) for their continued technical guidance, invaluable critiques, and active support during the system modeling and exploratory phases of this project.</w:t>
      </w:r>
    </w:p>
    <w:p>
      <w:pPr>
        <w:spacing w:before="0" w:after="70" w:line="276" w:lineRule="auto"/>
        <w:jc w:val="both"/>
      </w:pPr>
      <w:r>
        <w:rPr>
          <w:rFonts w:ascii="Times New Roman" w:hAnsi="Times New Roman"/>
          <w:i w:val="0"/>
          <w:color w:val="0F172A"/>
          <w:sz w:val="24"/>
        </w:rPr>
        <w:t>I am equally grateful to the Head of the School and the institution's laboratory administration for providing access to high-performance computing facilities and essential data science resources necessary to execute this project in accordance with university academic standards.</w:t>
      </w:r>
    </w:p>
    <w:p>
      <w:pPr>
        <w:spacing w:before="0" w:after="70" w:line="276" w:lineRule="auto"/>
        <w:jc w:val="both"/>
      </w:pPr>
      <w:r>
        <w:rPr>
          <w:rFonts w:ascii="Times New Roman" w:hAnsi="Times New Roman"/>
          <w:i w:val="0"/>
          <w:color w:val="0F172A"/>
          <w:sz w:val="24"/>
        </w:rPr>
        <w:t>Finally, I thank my peers and family for their steady encouragement throughout the formulation of this First Progress Work submission.</w:t>
      </w:r>
    </w:p>
    <w:p>
      <w:pPr>
        <w:spacing w:before="80" w:after="80" w:line="276" w:lineRule="auto"/>
        <w:jc w:val="right"/>
      </w:pPr>
      <w:r>
        <w:rPr>
          <w:rFonts w:ascii="Times New Roman" w:hAnsi="Times New Roman"/>
          <w:i/>
          <w:color w:val="0F172A"/>
          <w:sz w:val="24"/>
        </w:rPr>
        <w:t>Deep Koshiya | B.Sc. in AI &amp; Data Science (Semester V) | Date: 24/09/2026</w:t>
      </w:r>
    </w:p>
    <w:p>
      <w:r>
        <w:br w:type="page"/>
      </w:r>
    </w:p>
    <w:p>
      <w:pPr>
        <w:spacing w:before="0" w:after="20" w:line="276" w:lineRule="auto"/>
        <w:jc w:val="right"/>
      </w:pPr>
      <w:r>
        <w:rPr>
          <w:rFonts w:ascii="Times New Roman" w:hAnsi="Times New Roman"/>
          <w:i/>
          <w:color w:val="0F172A"/>
          <w:sz w:val="24"/>
        </w:rPr>
        <w:t>Page II</w:t>
      </w:r>
    </w:p>
    <w:p>
      <w:pPr>
        <w:keepNext/>
        <w:spacing w:before="20" w:after="40"/>
        <w:jc w:val="left"/>
      </w:pPr>
      <w:r>
        <w:rPr>
          <w:rFonts w:ascii="Times New Roman" w:hAnsi="Times New Roman"/>
          <w:b/>
          <w:color w:val="1E1B4B"/>
          <w:sz w:val="32"/>
        </w:rPr>
        <w:t>ABSTRACT</w:t>
      </w:r>
    </w:p>
    <w:p>
      <w:pPr>
        <w:spacing w:before="0" w:after="70" w:line="276" w:lineRule="auto"/>
        <w:jc w:val="both"/>
      </w:pPr>
      <w:r>
        <w:rPr>
          <w:rFonts w:ascii="Times New Roman" w:hAnsi="Times New Roman"/>
          <w:i w:val="0"/>
          <w:color w:val="0F172A"/>
          <w:sz w:val="24"/>
        </w:rPr>
        <w:t>Customer retention is the foremost growth lever in digital commerce. Treating transactional customers as a single homogenous audience causes high customer acquisition costs (CAC) and unmonitored attrition. The 'E-Commerce Customer Lifecycle &amp; RFM Segmentation Dashboard' provides an automated data engineering and unsupervised machine learning pipeline designed to transform raw transactional logs into high-resolution, actionable behavioral customer segments.</w:t>
      </w:r>
    </w:p>
    <w:p>
      <w:pPr>
        <w:spacing w:before="0" w:after="70" w:line="276" w:lineRule="auto"/>
        <w:jc w:val="both"/>
      </w:pPr>
      <w:r>
        <w:rPr>
          <w:rFonts w:ascii="Times New Roman" w:hAnsi="Times New Roman"/>
          <w:i w:val="0"/>
          <w:color w:val="0F172A"/>
          <w:sz w:val="24"/>
        </w:rPr>
        <w:t>The system incorporates an automated ingestion refinery that purges unauthenticated sessions, routes returns and credit notes to an isolated audit store, and caps wholesale distributor volume spikes using Tukey's Interquartile Range (IQR) fences. A vectorized feature extraction engine computes Recency, Frequency, and Monetary (RFM) dimensions alongside Average Order Value (AOV). A log1p transformation and Z-score standardization normalize skewed spending data, allowing robust K-Means clustering evaluated via Silhouette analysis, paired with an 8-cohort rule-based quantile scoring fallback. This report documents the architecture, requirement specifications, and complete UML/DFD models submitted for the 24/09/2026 First Progress Work milestone (10 Marks).</w:t>
      </w:r>
    </w:p>
    <w:p>
      <w:pPr>
        <w:keepNext/>
        <w:spacing w:before="120" w:after="20"/>
        <w:jc w:val="left"/>
      </w:pPr>
      <w:r>
        <w:rPr>
          <w:rFonts w:ascii="Times New Roman" w:hAnsi="Times New Roman"/>
          <w:b/>
          <w:color w:val="0F172A"/>
          <w:sz w:val="28"/>
        </w:rPr>
        <w:t>INDEX OF THE PROJECT REPORT</w:t>
      </w:r>
    </w:p>
    <w:p>
      <w:pPr>
        <w:spacing w:before="0" w:after="60" w:line="276" w:lineRule="auto"/>
        <w:jc w:val="both"/>
      </w:pPr>
      <w:r>
        <w:rPr>
          <w:rFonts w:ascii="Times New Roman" w:hAnsi="Times New Roman"/>
          <w:i/>
          <w:color w:val="0F172A"/>
          <w:sz w:val="24"/>
        </w:rPr>
        <w:t>(Prepared in strict accordance with Project Index Syllabus for B.Sc. AI &amp; Data Science SEM V)</w:t>
      </w:r>
    </w:p>
    <w:tbl>
      <w:tblPr>
        <w:tblW w:type="auto" w:w="0"/>
        <w:jc w:val="center"/>
        <w:tblLook w:firstColumn="1" w:firstRow="1" w:lastColumn="0" w:lastRow="0" w:noHBand="0" w:noVBand="1" w:val="04A0"/>
      </w:tblPr>
      <w:tblGrid>
        <w:gridCol w:w="2376"/>
        <w:gridCol w:w="2376"/>
        <w:gridCol w:w="2376"/>
        <w:gridCol w:w="2376"/>
      </w:tblGrid>
      <w:tr>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SR.</w:t>
            </w:r>
          </w:p>
        </w:tc>
        <w:tc>
          <w:tcPr>
            <w:tcW w:type="dxa" w:w="46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CURRICULUM SECTION / TOPIC</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SCHEDULE</w:t>
            </w:r>
          </w:p>
        </w:tc>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PAGE &amp; STATUS</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Progress Work Evaluation Certificate &amp; Acknowledgment</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 [Completed]</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Abstract &amp; Project Curriculum Index</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II [Completed]</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1.1</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Problem Definition (Identification of Needs)</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1 [Completed]</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1.2</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Requirement Specifications (Product/System Tasks)</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2 [Completed]</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Tools and Technology Used (Front-End/Back-End/Marts)</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3 [Completed]</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2.1</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Flow Diagrams (Level 0 Context, Level 1, Level 2 DFDs)</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4-6 [Completed]</w:t>
            </w:r>
          </w:p>
        </w:tc>
      </w:tr>
      <w:tr>
        <w:tc>
          <w:tcPr>
            <w:tcW w:type="dxa" w:w="86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2.2</w:t>
            </w:r>
          </w:p>
        </w:tc>
        <w:tc>
          <w:tcPr>
            <w:tcW w:type="dxa" w:w="4608"/>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Use Case Diagram &amp; Milestone Tracking Matrix</w:t>
            </w:r>
          </w:p>
        </w:tc>
        <w:tc>
          <w:tcPr>
            <w:tcW w:type="dxa" w:w="1584"/>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6" w:type="dxa"/>
              <w:bottom w:w="16"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7 [Completed]</w:t>
            </w:r>
          </w:p>
        </w:tc>
      </w:tr>
      <w:tr>
        <w:tc>
          <w:tcPr>
            <w:tcW w:type="dxa" w:w="864"/>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2.3-2.4</w:t>
            </w:r>
          </w:p>
        </w:tc>
        <w:tc>
          <w:tcPr>
            <w:tcW w:type="dxa" w:w="4608"/>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Class Diagram &amp; Sequence Diagrams</w:t>
            </w:r>
          </w:p>
        </w:tc>
        <w:tc>
          <w:tcPr>
            <w:tcW w:type="dxa" w:w="1584"/>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[Mid-Term Exam Milestone]</w:t>
            </w:r>
          </w:p>
        </w:tc>
      </w:tr>
      <w:tr>
        <w:tc>
          <w:tcPr>
            <w:tcW w:type="dxa" w:w="864"/>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3.1</w:t>
            </w:r>
          </w:p>
        </w:tc>
        <w:tc>
          <w:tcPr>
            <w:tcW w:type="dxa" w:w="4608"/>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Data Dictionary: Database Tables SQL/NoSQL</w:t>
            </w:r>
          </w:p>
        </w:tc>
        <w:tc>
          <w:tcPr>
            <w:tcW w:type="dxa" w:w="1584"/>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[Mid-Term Exam Milestone]</w:t>
            </w:r>
          </w:p>
        </w:tc>
      </w:tr>
      <w:tr>
        <w:tc>
          <w:tcPr>
            <w:tcW w:type="dxa" w:w="864"/>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4.1-4.3</w:t>
            </w:r>
          </w:p>
        </w:tc>
        <w:tc>
          <w:tcPr>
            <w:tcW w:type="dxa" w:w="4608"/>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Implementation: Screen Layouts, Coding &amp; Execution</w:t>
            </w:r>
          </w:p>
        </w:tc>
        <w:tc>
          <w:tcPr>
            <w:tcW w:type="dxa" w:w="1584"/>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tcMar>
              <w:top w:w="16" w:type="dxa"/>
              <w:bottom w:w="16"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[Third Progress Milestone]</w:t>
            </w:r>
          </w:p>
        </w:tc>
      </w:tr>
      <w:tr>
        <w:tc>
          <w:tcPr>
            <w:tcW w:type="dxa" w:w="864"/>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5.1-6.1</w:t>
            </w:r>
          </w:p>
        </w:tc>
        <w:tc>
          <w:tcPr>
            <w:tcW w:type="dxa" w:w="4608"/>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Conclusion &amp; References (Books, Papers, Webs)</w:t>
            </w:r>
          </w:p>
        </w:tc>
        <w:tc>
          <w:tcPr>
            <w:tcW w:type="dxa" w:w="1584"/>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tcMar>
              <w:top w:w="16" w:type="dxa"/>
              <w:bottom w:w="16"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[Third Progress Milestone]</w:t>
            </w:r>
          </w:p>
        </w:tc>
      </w:tr>
    </w:tbl>
    <w:p>
      <w:r>
        <w:br w:type="page"/>
      </w:r>
    </w:p>
    <w:p>
      <w:pPr>
        <w:spacing w:before="0" w:after="20" w:line="276" w:lineRule="auto"/>
        <w:jc w:val="right"/>
      </w:pPr>
      <w:r>
        <w:rPr>
          <w:rFonts w:ascii="Times New Roman" w:hAnsi="Times New Roman"/>
          <w:i/>
          <w:color w:val="0F172A"/>
          <w:sz w:val="24"/>
        </w:rPr>
        <w:t>Page 1</w:t>
      </w:r>
    </w:p>
    <w:p>
      <w:pPr>
        <w:keepNext/>
        <w:spacing w:before="60" w:after="30"/>
        <w:jc w:val="left"/>
      </w:pPr>
      <w:r>
        <w:rPr>
          <w:rFonts w:ascii="Times New Roman" w:hAnsi="Times New Roman"/>
          <w:b/>
          <w:color w:val="1E1B4B"/>
          <w:sz w:val="32"/>
        </w:rPr>
        <w:t>1. ABOUT THE SYSTEM:</w:t>
      </w:r>
    </w:p>
    <w:p>
      <w:pPr>
        <w:keepNext/>
        <w:spacing w:before="60" w:after="30"/>
        <w:jc w:val="left"/>
      </w:pPr>
      <w:r>
        <w:rPr>
          <w:rFonts w:ascii="Times New Roman" w:hAnsi="Times New Roman"/>
          <w:b/>
          <w:color w:val="0F172A"/>
          <w:sz w:val="28"/>
        </w:rPr>
        <w:t>1.1 Problem definition (Identification of needs):</w:t>
      </w:r>
    </w:p>
    <w:p>
      <w:pPr>
        <w:spacing w:before="0" w:after="70" w:line="276" w:lineRule="auto"/>
        <w:jc w:val="both"/>
      </w:pPr>
      <w:r>
        <w:rPr>
          <w:rFonts w:ascii="Times New Roman" w:hAnsi="Times New Roman"/>
          <w:i w:val="0"/>
          <w:color w:val="0F172A"/>
          <w:sz w:val="24"/>
        </w:rPr>
        <w:t>Modern multi-channel e-commerce systems log high-velocity transactional event streams. Standard Online Transaction Processing (OLTP) repositories excel at logging individual order lines, but fail to synthesize longitudinal customer journeys. Consequently, commercial retail teams face an analytical disconnect: operational logs record individual checkouts, but reveal nothing about long-term customer loyalty, behavioral migration, or churn risks.</w:t>
      </w:r>
    </w:p>
    <w:p>
      <w:pPr>
        <w:keepNext/>
        <w:spacing w:before="60" w:after="20"/>
        <w:jc w:val="left"/>
      </w:pPr>
      <w:r>
        <w:rPr>
          <w:rFonts w:ascii="Times New Roman" w:hAnsi="Times New Roman"/>
          <w:b/>
          <w:color w:val="0F172A"/>
          <w:sz w:val="24"/>
        </w:rPr>
        <w:t>1.1.1 Commercial Background &amp; The Retention Dilemma</w:t>
      </w:r>
    </w:p>
    <w:p>
      <w:pPr>
        <w:spacing w:before="0" w:after="70" w:line="276" w:lineRule="auto"/>
        <w:jc w:val="both"/>
      </w:pPr>
      <w:r>
        <w:rPr>
          <w:rFonts w:ascii="Times New Roman" w:hAnsi="Times New Roman"/>
          <w:i w:val="0"/>
          <w:color w:val="0F172A"/>
          <w:sz w:val="24"/>
        </w:rPr>
        <w:t>Digital retailers face rising customer acquisition costs (CAC) and declining organic retention. Treating the entire customer base as a single homogenous audience leads to severe marketing waste: high-value repeat customers receive unnecessary discounts, while early signals of churn from historically loyal accounts go unnoticed until customers are permanently lost.</w:t>
      </w:r>
    </w:p>
    <w:p>
      <w:pPr>
        <w:keepNext/>
        <w:spacing w:before="60" w:after="20"/>
        <w:jc w:val="left"/>
      </w:pPr>
      <w:r>
        <w:rPr>
          <w:rFonts w:ascii="Times New Roman" w:hAnsi="Times New Roman"/>
          <w:b/>
          <w:color w:val="0F172A"/>
          <w:sz w:val="24"/>
        </w:rPr>
        <w:t>1.1.2 Identification of Core Analytical &amp; Engineering Needs</w:t>
      </w:r>
    </w:p>
    <w:p>
      <w:pPr>
        <w:spacing w:before="0" w:after="70" w:line="276" w:lineRule="auto"/>
        <w:jc w:val="both"/>
      </w:pPr>
      <w:r>
        <w:rPr>
          <w:rFonts w:ascii="Times New Roman" w:hAnsi="Times New Roman"/>
          <w:b/>
          <w:color w:val="0F172A"/>
          <w:sz w:val="24"/>
        </w:rPr>
        <w:t xml:space="preserve">• Core Analytical Needs: </w:t>
      </w:r>
      <w:r>
        <w:rPr>
          <w:rFonts w:ascii="Times New Roman" w:hAnsi="Times New Roman"/>
          <w:i w:val="0"/>
          <w:color w:val="0F172A"/>
          <w:sz w:val="24"/>
        </w:rPr>
        <w:t>The system resolves four foundational operational bottlenecks in commercial retail analytics:</w:t>
      </w:r>
    </w:p>
    <w:p>
      <w:pPr>
        <w:spacing w:before="0" w:after="70" w:line="276" w:lineRule="auto"/>
        <w:jc w:val="both"/>
      </w:pPr>
      <w:r>
        <w:rPr>
          <w:rFonts w:ascii="Times New Roman" w:hAnsi="Times New Roman"/>
          <w:b/>
          <w:color w:val="0F172A"/>
          <w:sz w:val="24"/>
        </w:rPr>
        <w:t xml:space="preserve">1. Data Refinery &amp; Anomaly Isolation: </w:t>
      </w:r>
      <w:r>
        <w:rPr>
          <w:rFonts w:ascii="Times New Roman" w:hAnsi="Times New Roman"/>
          <w:i w:val="0"/>
          <w:color w:val="0F172A"/>
          <w:sz w:val="24"/>
        </w:rPr>
        <w:t>Raw logs contain anonymous guest sessions, cancellations ('^C'), and bulk distribution anomalies. An automated data refinery must enforce schema typing, isolate cancellations into an audit store, and cap volume spikes using Tukey's Interquartile Range (IQR) fences.</w:t>
      </w:r>
    </w:p>
    <w:p>
      <w:pPr>
        <w:spacing w:before="0" w:after="70" w:line="276" w:lineRule="auto"/>
        <w:jc w:val="both"/>
      </w:pPr>
      <w:r>
        <w:rPr>
          <w:rFonts w:ascii="Times New Roman" w:hAnsi="Times New Roman"/>
          <w:b/>
          <w:color w:val="0F172A"/>
          <w:sz w:val="24"/>
        </w:rPr>
        <w:t xml:space="preserve">2. Behavioral Feature Engineering (RFM): </w:t>
      </w:r>
      <w:r>
        <w:rPr>
          <w:rFonts w:ascii="Times New Roman" w:hAnsi="Times New Roman"/>
          <w:i w:val="0"/>
          <w:color w:val="0F172A"/>
          <w:sz w:val="24"/>
        </w:rPr>
        <w:t>The system must distill transaction streams into three normalized customer dimensions: Recency (days elapsed since last order relative to T_obs = max(InvoiceDate) + 1), Frequency (distinct purchase visits), and Monetary spend (cumulative net value), alongside Average Order Value (AOV).</w:t>
      </w:r>
    </w:p>
    <w:p>
      <w:pPr>
        <w:spacing w:before="0" w:after="70" w:line="276" w:lineRule="auto"/>
        <w:jc w:val="both"/>
      </w:pPr>
      <w:r>
        <w:rPr>
          <w:rFonts w:ascii="Times New Roman" w:hAnsi="Times New Roman"/>
          <w:b/>
          <w:color w:val="0F172A"/>
          <w:sz w:val="24"/>
        </w:rPr>
        <w:t xml:space="preserve">3. Skew-Resistant Machine Learning: </w:t>
      </w:r>
      <w:r>
        <w:rPr>
          <w:rFonts w:ascii="Times New Roman" w:hAnsi="Times New Roman"/>
          <w:i w:val="0"/>
          <w:color w:val="0F172A"/>
          <w:sz w:val="24"/>
        </w:rPr>
        <w:t>Customer spending follows extreme Pareto distributions. Monetary skewness must be compressed via log1p transformation and Z-score standardization before fitting unsupervised K-Means models, supported by deterministic 1–5 quantile fallback scoring.</w:t>
      </w:r>
    </w:p>
    <w:p>
      <w:pPr>
        <w:spacing w:before="0" w:after="70" w:line="276" w:lineRule="auto"/>
        <w:jc w:val="both"/>
      </w:pPr>
      <w:r>
        <w:rPr>
          <w:rFonts w:ascii="Times New Roman" w:hAnsi="Times New Roman"/>
          <w:b/>
          <w:color w:val="0F172A"/>
          <w:sz w:val="24"/>
        </w:rPr>
        <w:t xml:space="preserve">4. Executive Visualization &amp; Activation: </w:t>
      </w:r>
      <w:r>
        <w:rPr>
          <w:rFonts w:ascii="Times New Roman" w:hAnsi="Times New Roman"/>
          <w:i w:val="0"/>
          <w:color w:val="0F172A"/>
          <w:sz w:val="24"/>
        </w:rPr>
        <w:t>Commercial leadership requires an interactive dashboard to visualize portfolio health, monitor at-risk revenue, and export targeted cohort lists directly into CRM marketing campaigns.</w:t>
      </w:r>
    </w:p>
    <w:p>
      <w:pPr>
        <w:keepNext/>
        <w:spacing w:before="60" w:after="20"/>
        <w:jc w:val="left"/>
      </w:pPr>
      <w:r>
        <w:rPr>
          <w:rFonts w:ascii="Times New Roman" w:hAnsi="Times New Roman"/>
          <w:b/>
          <w:color w:val="0F172A"/>
          <w:sz w:val="24"/>
        </w:rPr>
        <w:t>1.1.3 Targeted Objectives of First Progress Work</w:t>
      </w:r>
    </w:p>
    <w:p>
      <w:pPr>
        <w:spacing w:before="0" w:after="70" w:line="276" w:lineRule="auto"/>
        <w:jc w:val="both"/>
      </w:pPr>
      <w:r>
        <w:rPr>
          <w:rFonts w:ascii="Times New Roman" w:hAnsi="Times New Roman"/>
          <w:i w:val="0"/>
          <w:color w:val="0F172A"/>
          <w:sz w:val="24"/>
        </w:rPr>
        <w:t>This submission formally validates the data cleaning pipeline, vectorized RFM feature engine, complete UML/DFD architectural designs (Level 0, 1, and 2), and formal Use Case specifications satisfying all 10-mark curriculum requirements for the 24/09/2026 milestone.</w:t>
      </w:r>
    </w:p>
    <w:p>
      <w:r>
        <w:br w:type="page"/>
      </w:r>
    </w:p>
    <w:p>
      <w:pPr>
        <w:spacing w:before="0" w:after="20" w:line="276" w:lineRule="auto"/>
        <w:jc w:val="right"/>
      </w:pPr>
      <w:r>
        <w:rPr>
          <w:rFonts w:ascii="Times New Roman" w:hAnsi="Times New Roman"/>
          <w:i/>
          <w:color w:val="0F172A"/>
          <w:sz w:val="24"/>
        </w:rPr>
        <w:t>Page 2</w:t>
      </w:r>
    </w:p>
    <w:p>
      <w:pPr>
        <w:keepNext/>
        <w:spacing w:before="100" w:after="40"/>
        <w:jc w:val="left"/>
      </w:pPr>
      <w:r>
        <w:rPr>
          <w:rFonts w:ascii="Times New Roman" w:hAnsi="Times New Roman"/>
          <w:b/>
          <w:color w:val="0F172A"/>
          <w:sz w:val="28"/>
        </w:rPr>
        <w:t>1.2 Requirement Specifications (Product/System Tasks)</w:t>
      </w:r>
    </w:p>
    <w:p>
      <w:pPr>
        <w:spacing w:before="0" w:after="70" w:line="276" w:lineRule="auto"/>
        <w:jc w:val="both"/>
      </w:pPr>
      <w:r>
        <w:rPr>
          <w:rFonts w:ascii="Times New Roman" w:hAnsi="Times New Roman"/>
          <w:i w:val="0"/>
          <w:color w:val="0F172A"/>
          <w:sz w:val="24"/>
        </w:rPr>
        <w:t>The requirements formally define system capabilities, data validation boundaries, and operational constraints for the E-Commerce Customer Lifecycle &amp; RFM Segmentation platform.</w:t>
      </w:r>
    </w:p>
    <w:p>
      <w:pPr>
        <w:keepNext/>
        <w:spacing w:before="80" w:after="30"/>
        <w:jc w:val="left"/>
      </w:pPr>
      <w:r>
        <w:rPr>
          <w:rFonts w:ascii="Times New Roman" w:hAnsi="Times New Roman"/>
          <w:b/>
          <w:color w:val="0F172A"/>
          <w:sz w:val="24"/>
        </w:rPr>
        <w:t>1.2.1 Functional Requirements Specifications (FR)</w:t>
      </w:r>
    </w:p>
    <w:p>
      <w:pPr>
        <w:spacing w:before="0" w:after="70" w:line="276" w:lineRule="auto"/>
        <w:jc w:val="both"/>
      </w:pPr>
      <w:r>
        <w:rPr>
          <w:rFonts w:ascii="Times New Roman" w:hAnsi="Times New Roman"/>
          <w:b/>
          <w:color w:val="0F172A"/>
          <w:sz w:val="24"/>
        </w:rPr>
        <w:t xml:space="preserve">• FR-01 (Ingestion &amp; Schema Typing): </w:t>
      </w:r>
      <w:r>
        <w:rPr>
          <w:rFonts w:ascii="Times New Roman" w:hAnsi="Times New Roman"/>
          <w:i w:val="0"/>
          <w:color w:val="0F172A"/>
          <w:sz w:val="24"/>
        </w:rPr>
        <w:t>Ingests raw CSV logs, enforces typing (InvoiceDate to datetime64[ns], Quantity and UnitPrice to floats), and sanitizes product description text.</w:t>
      </w:r>
    </w:p>
    <w:p>
      <w:pPr>
        <w:spacing w:before="0" w:after="70" w:line="276" w:lineRule="auto"/>
        <w:jc w:val="both"/>
      </w:pPr>
      <w:r>
        <w:rPr>
          <w:rFonts w:ascii="Times New Roman" w:hAnsi="Times New Roman"/>
          <w:b/>
          <w:color w:val="0F172A"/>
          <w:sz w:val="24"/>
        </w:rPr>
        <w:t xml:space="preserve">• FR-02 (Missing Entity Resolution): </w:t>
      </w:r>
      <w:r>
        <w:rPr>
          <w:rFonts w:ascii="Times New Roman" w:hAnsi="Times New Roman"/>
          <w:i w:val="0"/>
          <w:color w:val="0F172A"/>
          <w:sz w:val="24"/>
        </w:rPr>
        <w:t>Detects and drops unauthenticated guest checkouts lacking CustomerID to preserve longitudinal cohort integrity.</w:t>
      </w:r>
    </w:p>
    <w:p>
      <w:pPr>
        <w:spacing w:before="0" w:after="70" w:line="276" w:lineRule="auto"/>
        <w:jc w:val="both"/>
      </w:pPr>
      <w:r>
        <w:rPr>
          <w:rFonts w:ascii="Times New Roman" w:hAnsi="Times New Roman"/>
          <w:b/>
          <w:color w:val="0F172A"/>
          <w:sz w:val="24"/>
        </w:rPr>
        <w:t xml:space="preserve">• FR-03 (Reverse Logistics Segregation): </w:t>
      </w:r>
      <w:r>
        <w:rPr>
          <w:rFonts w:ascii="Times New Roman" w:hAnsi="Times New Roman"/>
          <w:i w:val="0"/>
          <w:color w:val="0F172A"/>
          <w:sz w:val="24"/>
        </w:rPr>
        <w:t>Isolates credit notes, cancellations ('^C'), and non-positive quantities into an audit store (fact_reversals_audit.csv).</w:t>
      </w:r>
    </w:p>
    <w:p>
      <w:pPr>
        <w:spacing w:before="0" w:after="70" w:line="276" w:lineRule="auto"/>
        <w:jc w:val="both"/>
      </w:pPr>
      <w:r>
        <w:rPr>
          <w:rFonts w:ascii="Times New Roman" w:hAnsi="Times New Roman"/>
          <w:b/>
          <w:color w:val="0F172A"/>
          <w:sz w:val="24"/>
        </w:rPr>
        <w:t xml:space="preserve">• FR-04 (Tukey IQR Outlier Capping): </w:t>
      </w:r>
      <w:r>
        <w:rPr>
          <w:rFonts w:ascii="Times New Roman" w:hAnsi="Times New Roman"/>
          <w:i w:val="0"/>
          <w:color w:val="0F172A"/>
          <w:sz w:val="24"/>
        </w:rPr>
        <w:t>Applies Tukey fences [Q1 - 1.5*IQR, Q3 + 1.5*IQR] to eliminate wholesale bulk distributor anomalies.</w:t>
      </w:r>
    </w:p>
    <w:p>
      <w:pPr>
        <w:spacing w:before="0" w:after="70" w:line="276" w:lineRule="auto"/>
        <w:jc w:val="both"/>
      </w:pPr>
      <w:r>
        <w:rPr>
          <w:rFonts w:ascii="Times New Roman" w:hAnsi="Times New Roman"/>
          <w:b/>
          <w:color w:val="0F172A"/>
          <w:sz w:val="24"/>
        </w:rPr>
        <w:t xml:space="preserve">• FR-05 (Vectorized RFM Derivation): </w:t>
      </w:r>
      <w:r>
        <w:rPr>
          <w:rFonts w:ascii="Times New Roman" w:hAnsi="Times New Roman"/>
          <w:i w:val="0"/>
          <w:color w:val="0F172A"/>
          <w:sz w:val="24"/>
        </w:rPr>
        <w:t>Computes snapshot boundary T_obs = max(InvoiceDate) + 1 day and derives customer Recency, Frequency, Spend, and AOV.</w:t>
      </w:r>
    </w:p>
    <w:p>
      <w:pPr>
        <w:spacing w:before="0" w:after="70" w:line="276" w:lineRule="auto"/>
        <w:jc w:val="both"/>
      </w:pPr>
      <w:r>
        <w:rPr>
          <w:rFonts w:ascii="Times New Roman" w:hAnsi="Times New Roman"/>
          <w:b/>
          <w:color w:val="0F172A"/>
          <w:sz w:val="24"/>
        </w:rPr>
        <w:t xml:space="preserve">• FR-06 (ML Clustering &amp; Quantile Scoring): </w:t>
      </w:r>
      <w:r>
        <w:rPr>
          <w:rFonts w:ascii="Times New Roman" w:hAnsi="Times New Roman"/>
          <w:i w:val="0"/>
          <w:color w:val="0F172A"/>
          <w:sz w:val="24"/>
        </w:rPr>
        <w:t>Applies log1p transformation and StandardScaler, fits K-Means clustering, and assigns 1–5 quantile scores mapping to 8 business cohorts.</w:t>
      </w:r>
    </w:p>
    <w:p>
      <w:pPr>
        <w:keepNext/>
        <w:spacing w:before="80" w:after="30"/>
        <w:jc w:val="left"/>
      </w:pPr>
      <w:r>
        <w:rPr>
          <w:rFonts w:ascii="Times New Roman" w:hAnsi="Times New Roman"/>
          <w:b/>
          <w:color w:val="0F172A"/>
          <w:sz w:val="24"/>
        </w:rPr>
        <w:t>1.2.2 Non-Functional Requirements Specifications (NFR)</w:t>
      </w:r>
    </w:p>
    <w:p>
      <w:pPr>
        <w:spacing w:before="0" w:after="70" w:line="276" w:lineRule="auto"/>
        <w:jc w:val="both"/>
      </w:pPr>
      <w:r>
        <w:rPr>
          <w:rFonts w:ascii="Times New Roman" w:hAnsi="Times New Roman"/>
          <w:b/>
          <w:color w:val="0F172A"/>
          <w:sz w:val="24"/>
        </w:rPr>
        <w:t xml:space="preserve">• NFR-01 (Performance &amp; Latency): </w:t>
      </w:r>
      <w:r>
        <w:rPr>
          <w:rFonts w:ascii="Times New Roman" w:hAnsi="Times New Roman"/>
          <w:i w:val="0"/>
          <w:color w:val="0F172A"/>
          <w:sz w:val="24"/>
        </w:rPr>
        <w:t>Processes 15,000+ transaction rows in under 5.0 seconds using vectorized Pandas C-routines.</w:t>
      </w:r>
    </w:p>
    <w:p>
      <w:pPr>
        <w:spacing w:before="0" w:after="70" w:line="276" w:lineRule="auto"/>
        <w:jc w:val="both"/>
      </w:pPr>
      <w:r>
        <w:rPr>
          <w:rFonts w:ascii="Times New Roman" w:hAnsi="Times New Roman"/>
          <w:b/>
          <w:color w:val="0F172A"/>
          <w:sz w:val="24"/>
        </w:rPr>
        <w:t xml:space="preserve">• NFR-02 (Algorithmic Reproducibility): </w:t>
      </w:r>
      <w:r>
        <w:rPr>
          <w:rFonts w:ascii="Times New Roman" w:hAnsi="Times New Roman"/>
          <w:i w:val="0"/>
          <w:color w:val="0F172A"/>
          <w:sz w:val="24"/>
        </w:rPr>
        <w:t>Fixed random seeds (seed=42) guarantee 100% deterministic, reproducible clustering across environments.</w:t>
      </w:r>
    </w:p>
    <w:p>
      <w:pPr>
        <w:spacing w:before="0" w:after="70" w:line="276" w:lineRule="auto"/>
        <w:jc w:val="both"/>
      </w:pPr>
      <w:r>
        <w:rPr>
          <w:rFonts w:ascii="Times New Roman" w:hAnsi="Times New Roman"/>
          <w:b/>
          <w:color w:val="0F172A"/>
          <w:sz w:val="24"/>
        </w:rPr>
        <w:t xml:space="preserve">• NFR-03 (Modularity &amp; Architecture): </w:t>
      </w:r>
      <w:r>
        <w:rPr>
          <w:rFonts w:ascii="Times New Roman" w:hAnsi="Times New Roman"/>
          <w:i w:val="0"/>
          <w:color w:val="0F172A"/>
          <w:sz w:val="24"/>
        </w:rPr>
        <w:t>Modular Python architecture with clean star-schema marts (FACT_TRANSACTIONS, DIM_CUSTOMERS).</w:t>
      </w:r>
    </w:p>
    <w:p>
      <w:pPr>
        <w:spacing w:before="40" w:after="60"/>
        <w:jc w:val="center"/>
      </w:pPr>
      <w:r>
        <w:rPr>
          <w:rFonts w:ascii="Times New Roman" w:hAnsi="Times New Roman"/>
          <w:b/>
          <w:color w:val="475569"/>
          <w:sz w:val="19"/>
        </w:rPr>
        <w:t>Table 1.1: System Hardware &amp; Software Requirements Specification</w:t>
      </w:r>
    </w:p>
    <w:tbl>
      <w:tblPr>
        <w:tblW w:type="auto" w:w="0"/>
        <w:jc w:val="center"/>
        <w:tblLook w:firstColumn="1" w:firstRow="1" w:lastColumn="0" w:lastRow="0" w:noHBand="0" w:noVBand="1" w:val="04A0"/>
      </w:tblPr>
      <w:tblGrid>
        <w:gridCol w:w="3168"/>
        <w:gridCol w:w="3168"/>
        <w:gridCol w:w="3168"/>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SYSTEM SPECIFICATION</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MINIMUM REQUIREMENT</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DEPLOYED PROJECT ENVIRONMENT</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Processor / CPU</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Dual-Core x86_64 or ARM64 (2.0 GHz)</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Apple Silicon M-Series / Intel Core i5/i7 (8-Core+)</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System Memory (RAM)</w:t>
            </w:r>
          </w:p>
        </w:tc>
        <w:tc>
          <w:tcPr>
            <w:tcW w:type="dxa" w:w="3168"/>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4 GB DDR3/DDR4</w:t>
            </w:r>
          </w:p>
        </w:tc>
        <w:tc>
          <w:tcPr>
            <w:tcW w:type="dxa" w:w="3456"/>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8 GB to 16 GB Unified Memory Architecture</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Storage Subsystem</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500 MB Free Disk Space</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Solid State Drive (NVMe SSD)</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Operating System</w:t>
            </w:r>
          </w:p>
        </w:tc>
        <w:tc>
          <w:tcPr>
            <w:tcW w:type="dxa" w:w="3168"/>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macOS 12+, Ubuntu 20.04+, Windows 10+</w:t>
            </w:r>
          </w:p>
        </w:tc>
        <w:tc>
          <w:tcPr>
            <w:tcW w:type="dxa" w:w="3456"/>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macOS Darwin (Unix POSIX Environment)</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Execution Runtimes</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3.9+, Modern Web Browser</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3.9.6, Safari, Google Chrome, VS Code</w:t>
            </w:r>
          </w:p>
        </w:tc>
      </w:tr>
    </w:tbl>
    <w:p>
      <w:r>
        <w:br w:type="page"/>
      </w:r>
    </w:p>
    <w:p>
      <w:pPr>
        <w:spacing w:before="0" w:after="20" w:line="276" w:lineRule="auto"/>
        <w:jc w:val="right"/>
      </w:pPr>
      <w:r>
        <w:rPr>
          <w:rFonts w:ascii="Times New Roman" w:hAnsi="Times New Roman"/>
          <w:i/>
          <w:color w:val="0F172A"/>
          <w:sz w:val="24"/>
        </w:rPr>
        <w:t>Page 3</w:t>
      </w:r>
    </w:p>
    <w:p>
      <w:pPr>
        <w:keepNext/>
        <w:spacing w:before="100" w:after="40"/>
        <w:jc w:val="left"/>
      </w:pPr>
      <w:r>
        <w:rPr>
          <w:rFonts w:ascii="Times New Roman" w:hAnsi="Times New Roman"/>
          <w:b/>
          <w:color w:val="0F172A"/>
          <w:sz w:val="28"/>
        </w:rPr>
        <w:t>1.3 Tools and Technology Used (Front-End/Back-End/Framework/API/Services)</w:t>
      </w:r>
    </w:p>
    <w:p>
      <w:pPr>
        <w:spacing w:before="0" w:after="70" w:line="276" w:lineRule="auto"/>
        <w:jc w:val="both"/>
      </w:pPr>
      <w:r>
        <w:rPr>
          <w:rFonts w:ascii="Times New Roman" w:hAnsi="Times New Roman"/>
          <w:i w:val="0"/>
          <w:color w:val="0F172A"/>
          <w:sz w:val="24"/>
        </w:rPr>
        <w:t>The project implements a modern analytical engineering stack selected for computational throughput, mathematical precision, and interactive visual analytics.</w:t>
      </w:r>
    </w:p>
    <w:p>
      <w:pPr>
        <w:keepNext/>
        <w:spacing w:before="80" w:after="30"/>
        <w:jc w:val="left"/>
      </w:pPr>
      <w:r>
        <w:rPr>
          <w:rFonts w:ascii="Times New Roman" w:hAnsi="Times New Roman"/>
          <w:b/>
          <w:color w:val="0F172A"/>
          <w:sz w:val="24"/>
        </w:rPr>
        <w:t>1.3.1 Data Engineering &amp; Numerical Computing</w:t>
      </w:r>
    </w:p>
    <w:p>
      <w:pPr>
        <w:spacing w:before="0" w:after="70" w:line="276" w:lineRule="auto"/>
        <w:jc w:val="both"/>
      </w:pPr>
      <w:r>
        <w:rPr>
          <w:rFonts w:ascii="Times New Roman" w:hAnsi="Times New Roman"/>
          <w:b/>
          <w:color w:val="0F172A"/>
          <w:sz w:val="24"/>
        </w:rPr>
        <w:t xml:space="preserve">• Python 3.9+: </w:t>
      </w:r>
      <w:r>
        <w:rPr>
          <w:rFonts w:ascii="Times New Roman" w:hAnsi="Times New Roman"/>
          <w:i w:val="0"/>
          <w:color w:val="0F172A"/>
          <w:sz w:val="24"/>
        </w:rPr>
        <w:t>Core programming runtime executing optimized C-extensions for data science.</w:t>
      </w:r>
    </w:p>
    <w:p>
      <w:pPr>
        <w:spacing w:before="0" w:after="70" w:line="276" w:lineRule="auto"/>
        <w:jc w:val="both"/>
      </w:pPr>
      <w:r>
        <w:rPr>
          <w:rFonts w:ascii="Times New Roman" w:hAnsi="Times New Roman"/>
          <w:b/>
          <w:color w:val="0F172A"/>
          <w:sz w:val="24"/>
        </w:rPr>
        <w:t xml:space="preserve">• Pandas (v2.3.3): </w:t>
      </w:r>
      <w:r>
        <w:rPr>
          <w:rFonts w:ascii="Times New Roman" w:hAnsi="Times New Roman"/>
          <w:i w:val="0"/>
          <w:color w:val="0F172A"/>
          <w:sz w:val="24"/>
        </w:rPr>
        <w:t>Vectorized group aggregations, type coercion, datetime logic, and quantile ranking (pd.qcut).</w:t>
      </w:r>
    </w:p>
    <w:p>
      <w:pPr>
        <w:spacing w:before="0" w:after="70" w:line="276" w:lineRule="auto"/>
        <w:jc w:val="both"/>
      </w:pPr>
      <w:r>
        <w:rPr>
          <w:rFonts w:ascii="Times New Roman" w:hAnsi="Times New Roman"/>
          <w:b/>
          <w:color w:val="0F172A"/>
          <w:sz w:val="24"/>
        </w:rPr>
        <w:t xml:space="preserve">• NumPy (v2.0.2): </w:t>
      </w:r>
      <w:r>
        <w:rPr>
          <w:rFonts w:ascii="Times New Roman" w:hAnsi="Times New Roman"/>
          <w:i w:val="0"/>
          <w:color w:val="0F172A"/>
          <w:sz w:val="24"/>
        </w:rPr>
        <w:t>Multidimensional array manipulations, logarithmic transformations (log1p), and Tukey fence outlier calculations.</w:t>
      </w:r>
    </w:p>
    <w:p>
      <w:pPr>
        <w:keepNext/>
        <w:spacing w:before="80" w:after="30"/>
        <w:jc w:val="left"/>
      </w:pPr>
      <w:r>
        <w:rPr>
          <w:rFonts w:ascii="Times New Roman" w:hAnsi="Times New Roman"/>
          <w:b/>
          <w:color w:val="0F172A"/>
          <w:sz w:val="24"/>
        </w:rPr>
        <w:t>1.3.2 Machine Learning &amp; Statistical Computing</w:t>
      </w:r>
    </w:p>
    <w:p>
      <w:pPr>
        <w:spacing w:before="0" w:after="70" w:line="276" w:lineRule="auto"/>
        <w:jc w:val="both"/>
      </w:pPr>
      <w:r>
        <w:rPr>
          <w:rFonts w:ascii="Times New Roman" w:hAnsi="Times New Roman"/>
          <w:b/>
          <w:color w:val="0F172A"/>
          <w:sz w:val="24"/>
        </w:rPr>
        <w:t xml:space="preserve">• Scikit-Learn (v1.6.1): </w:t>
      </w:r>
      <w:r>
        <w:rPr>
          <w:rFonts w:ascii="Times New Roman" w:hAnsi="Times New Roman"/>
          <w:i w:val="0"/>
          <w:color w:val="0F172A"/>
          <w:sz w:val="24"/>
        </w:rPr>
        <w:t>StandardScaler feature normalization, KMeans with k-means++ initialization, and Silhouette diagnostics.</w:t>
      </w:r>
    </w:p>
    <w:p>
      <w:pPr>
        <w:spacing w:before="0" w:after="70" w:line="276" w:lineRule="auto"/>
        <w:jc w:val="both"/>
      </w:pPr>
      <w:r>
        <w:rPr>
          <w:rFonts w:ascii="Times New Roman" w:hAnsi="Times New Roman"/>
          <w:b/>
          <w:color w:val="0F172A"/>
          <w:sz w:val="24"/>
        </w:rPr>
        <w:t xml:space="preserve">• SciPy (v1.13.1): </w:t>
      </w:r>
      <w:r>
        <w:rPr>
          <w:rFonts w:ascii="Times New Roman" w:hAnsi="Times New Roman"/>
          <w:i w:val="0"/>
          <w:color w:val="0F172A"/>
          <w:sz w:val="24"/>
        </w:rPr>
        <w:t>Statistical distributions and spatial distance metric calculations across multidimensional vectors.</w:t>
      </w:r>
    </w:p>
    <w:p>
      <w:pPr>
        <w:keepNext/>
        <w:spacing w:before="80" w:after="30"/>
        <w:jc w:val="left"/>
      </w:pPr>
      <w:r>
        <w:rPr>
          <w:rFonts w:ascii="Times New Roman" w:hAnsi="Times New Roman"/>
          <w:b/>
          <w:color w:val="0F172A"/>
          <w:sz w:val="24"/>
        </w:rPr>
        <w:t>1.3.3 Presentation, Dashboards &amp; Dimensional Data Marts</w:t>
      </w:r>
    </w:p>
    <w:p>
      <w:pPr>
        <w:spacing w:before="0" w:after="70" w:line="276" w:lineRule="auto"/>
        <w:jc w:val="both"/>
      </w:pPr>
      <w:r>
        <w:rPr>
          <w:rFonts w:ascii="Times New Roman" w:hAnsi="Times New Roman"/>
          <w:b/>
          <w:color w:val="0F172A"/>
          <w:sz w:val="24"/>
        </w:rPr>
        <w:t xml:space="preserve">• HTML5 &amp; Tailwind CSS: </w:t>
      </w:r>
      <w:r>
        <w:rPr>
          <w:rFonts w:ascii="Times New Roman" w:hAnsi="Times New Roman"/>
          <w:i w:val="0"/>
          <w:color w:val="0F172A"/>
          <w:sz w:val="24"/>
        </w:rPr>
        <w:t>Utility-first responsive framework delivering clean dark/light executive UI layouts.</w:t>
      </w:r>
    </w:p>
    <w:p>
      <w:pPr>
        <w:spacing w:before="0" w:after="70" w:line="276" w:lineRule="auto"/>
        <w:jc w:val="both"/>
      </w:pPr>
      <w:r>
        <w:rPr>
          <w:rFonts w:ascii="Times New Roman" w:hAnsi="Times New Roman"/>
          <w:b/>
          <w:color w:val="0F172A"/>
          <w:sz w:val="24"/>
        </w:rPr>
        <w:t xml:space="preserve">• Chart.js: </w:t>
      </w:r>
      <w:r>
        <w:rPr>
          <w:rFonts w:ascii="Times New Roman" w:hAnsi="Times New Roman"/>
          <w:i w:val="0"/>
          <w:color w:val="0F172A"/>
          <w:sz w:val="24"/>
        </w:rPr>
        <w:t>Client-side canvas graphing engine driving interactive revenue donuts and spatial RFM bubble charts.</w:t>
      </w:r>
    </w:p>
    <w:p>
      <w:pPr>
        <w:spacing w:before="0" w:after="70" w:line="276" w:lineRule="auto"/>
        <w:jc w:val="both"/>
      </w:pPr>
      <w:r>
        <w:rPr>
          <w:rFonts w:ascii="Times New Roman" w:hAnsi="Times New Roman"/>
          <w:b/>
          <w:color w:val="0F172A"/>
          <w:sz w:val="24"/>
        </w:rPr>
        <w:t xml:space="preserve">• Analytical Data Marts: </w:t>
      </w:r>
      <w:r>
        <w:rPr>
          <w:rFonts w:ascii="Times New Roman" w:hAnsi="Times New Roman"/>
          <w:i w:val="0"/>
          <w:color w:val="0F172A"/>
          <w:sz w:val="24"/>
        </w:rPr>
        <w:t>Star-schema dimensional storage (FACT_TRANSACTIONS, DIM_CUSTOMERS) enabling Tableau/Power BI connectivity.</w:t>
      </w:r>
    </w:p>
    <w:p>
      <w:pPr>
        <w:spacing w:before="40" w:after="60"/>
        <w:jc w:val="center"/>
      </w:pPr>
      <w:r>
        <w:rPr>
          <w:rFonts w:ascii="Times New Roman" w:hAnsi="Times New Roman"/>
          <w:b/>
          <w:color w:val="475569"/>
          <w:sz w:val="19"/>
        </w:rPr>
        <w:t>Table 1.2: Technology Stack &amp; Architectural Layer Mapping</w:t>
      </w:r>
    </w:p>
    <w:tbl>
      <w:tblPr>
        <w:tblW w:type="auto" w:w="0"/>
        <w:jc w:val="center"/>
        <w:tblLook w:firstColumn="1" w:firstRow="1" w:lastColumn="0" w:lastRow="0" w:noHBand="0" w:noVBand="1" w:val="04A0"/>
      </w:tblPr>
      <w:tblGrid>
        <w:gridCol w:w="3168"/>
        <w:gridCol w:w="3168"/>
        <w:gridCol w:w="3168"/>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ARCHITECTURAL LAYER</w:t>
            </w:r>
          </w:p>
        </w:tc>
        <w:tc>
          <w:tcPr>
            <w:tcW w:type="dxa" w:w="288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TECHNOLOGY / FRAMEWORK</w:t>
            </w:r>
          </w:p>
        </w:tc>
        <w:tc>
          <w:tcPr>
            <w:tcW w:type="dxa" w:w="374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PRIMARY OPERATIONAL RESPONSIBILITY</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Ingestion &amp; Refinery</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Pandas, NumPy</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Schema typing, null dropping, cancellation segregation, Tukey IQR fences</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Feature Engineering</w:t>
            </w:r>
          </w:p>
        </w:tc>
        <w:tc>
          <w:tcPr>
            <w:tcW w:type="dxa" w:w="2880"/>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Pandas GroupBy, Datetime</w:t>
            </w:r>
          </w:p>
        </w:tc>
        <w:tc>
          <w:tcPr>
            <w:tcW w:type="dxa" w:w="3744"/>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Derivation of customer Recency, Frequency, Monetary spend, and AOV</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Machine Learning</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Scikit-Learn, SciPy</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Log1p scaling, StandardScaler, K-Means clustering, Silhouette diagnostics</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Mart Layer</w:t>
            </w:r>
          </w:p>
        </w:tc>
        <w:tc>
          <w:tcPr>
            <w:tcW w:type="dxa" w:w="2880"/>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CSV / Star Schema</w:t>
            </w:r>
          </w:p>
        </w:tc>
        <w:tc>
          <w:tcPr>
            <w:tcW w:type="dxa" w:w="3744"/>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Clean FACT_TRANSACTIONS and DIM_CUSTOMERS marts for BI compatibility</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Executive BI Dashboard</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HTML5, Tailwind, Chart.js</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Interactive KPI scorecards, spatial RFM bubble charts, activation tables</w:t>
            </w:r>
          </w:p>
        </w:tc>
      </w:tr>
    </w:tbl>
    <w:p>
      <w:r>
        <w:br w:type="page"/>
      </w:r>
    </w:p>
    <w:p>
      <w:pPr>
        <w:spacing w:before="0" w:after="20" w:line="276" w:lineRule="auto"/>
        <w:jc w:val="right"/>
      </w:pPr>
      <w:r>
        <w:rPr>
          <w:rFonts w:ascii="Times New Roman" w:hAnsi="Times New Roman"/>
          <w:i/>
          <w:color w:val="0F172A"/>
          <w:sz w:val="24"/>
        </w:rPr>
        <w:t>Page 4</w:t>
      </w:r>
    </w:p>
    <w:p>
      <w:pPr>
        <w:keepNext/>
        <w:spacing w:before="120" w:after="40"/>
        <w:jc w:val="left"/>
      </w:pPr>
      <w:r>
        <w:rPr>
          <w:rFonts w:ascii="Times New Roman" w:hAnsi="Times New Roman"/>
          <w:b/>
          <w:color w:val="1E1B4B"/>
          <w:sz w:val="32"/>
        </w:rPr>
        <w:t>2. SYSTEM DESIGN USING UML &amp; DFD:</w:t>
      </w:r>
    </w:p>
    <w:p>
      <w:pPr>
        <w:keepNext/>
        <w:spacing w:before="100" w:after="40"/>
        <w:jc w:val="left"/>
      </w:pPr>
      <w:r>
        <w:rPr>
          <w:rFonts w:ascii="Times New Roman" w:hAnsi="Times New Roman"/>
          <w:b/>
          <w:color w:val="0F172A"/>
          <w:sz w:val="28"/>
        </w:rPr>
        <w:t>2.1 Data Flow Diagrams (Context, Level 1, Level 2 Architecture)</w:t>
      </w:r>
    </w:p>
    <w:p>
      <w:pPr>
        <w:spacing w:before="0" w:after="70" w:line="276" w:lineRule="auto"/>
        <w:jc w:val="both"/>
      </w:pPr>
      <w:r>
        <w:rPr>
          <w:rFonts w:ascii="Times New Roman" w:hAnsi="Times New Roman"/>
          <w:i w:val="0"/>
          <w:color w:val="0F172A"/>
          <w:sz w:val="24"/>
        </w:rPr>
        <w:t>Data Flow Diagrams (DFDs) visually map information transformations through the system. Using Gane &amp; Sarson conventions, the diagrams represent External Entities (rectangles), Processes (rounded rectangles), Data Stores (open horizontal lines), and Data Flows (directed arrows).</w:t>
      </w:r>
    </w:p>
    <w:p>
      <w:pPr>
        <w:keepNext/>
        <w:spacing w:before="80" w:after="30"/>
        <w:jc w:val="left"/>
      </w:pPr>
      <w:r>
        <w:rPr>
          <w:rFonts w:ascii="Times New Roman" w:hAnsi="Times New Roman"/>
          <w:b/>
          <w:color w:val="0F172A"/>
          <w:sz w:val="24"/>
        </w:rPr>
        <w:t>2.1.1 Level 0 Data Flow Diagram (Context-Level DFD)</w:t>
      </w:r>
    </w:p>
    <w:p>
      <w:pPr>
        <w:spacing w:before="0" w:after="70" w:line="276" w:lineRule="auto"/>
        <w:jc w:val="both"/>
      </w:pPr>
      <w:r>
        <w:rPr>
          <w:rFonts w:ascii="Times New Roman" w:hAnsi="Times New Roman"/>
          <w:i w:val="0"/>
          <w:color w:val="0F172A"/>
          <w:sz w:val="24"/>
        </w:rPr>
        <w:t>The Level 0 Context DFD establishes the macro boundary of Process 0.0 ('E-Commerce Customer Lifecycle &amp; RFM Analytics System') and documents all external entity interactions: (1) OLTP Transaction Stream supplying raw sales event logs; (2) Data Scientist providing IQR thresholds and cluster hyper-parameters; (3) CRM Marketing Engine consuming targeted audience lists; and (4) Commercial Executives receiving high-level portfolio KPIs and revenue concentration scorecards.</w:t>
      </w:r>
    </w:p>
    <w:p>
      <w:r>
        <w:drawing>
          <wp:inline xmlns:a="http://schemas.openxmlformats.org/drawingml/2006/main" xmlns:pic="http://schemas.openxmlformats.org/drawingml/2006/picture">
            <wp:extent cx="4663440" cy="2331720"/>
            <wp:docPr id="2" name="Picture 2"/>
            <wp:cNvGraphicFramePr>
              <a:graphicFrameLocks noChangeAspect="1"/>
            </wp:cNvGraphicFramePr>
            <a:graphic>
              <a:graphicData uri="http://schemas.openxmlformats.org/drawingml/2006/picture">
                <pic:pic>
                  <pic:nvPicPr>
                    <pic:cNvPr id="0" name="fig_dfd_level_0.png"/>
                    <pic:cNvPicPr/>
                  </pic:nvPicPr>
                  <pic:blipFill>
                    <a:blip r:embed="rId10"/>
                    <a:stretch>
                      <a:fillRect/>
                    </a:stretch>
                  </pic:blipFill>
                  <pic:spPr>
                    <a:xfrm>
                      <a:off x="0" y="0"/>
                      <a:ext cx="4663440" cy="2331720"/>
                    </a:xfrm>
                    <a:prstGeom prst="rect"/>
                  </pic:spPr>
                </pic:pic>
              </a:graphicData>
            </a:graphic>
          </wp:inline>
        </w:drawing>
      </w:r>
    </w:p>
    <w:p>
      <w:pPr>
        <w:spacing w:before="40" w:after="60"/>
        <w:jc w:val="center"/>
      </w:pPr>
      <w:r>
        <w:rPr>
          <w:rFonts w:ascii="Times New Roman" w:hAnsi="Times New Roman"/>
          <w:b/>
          <w:color w:val="475569"/>
          <w:sz w:val="19"/>
        </w:rPr>
        <w:t>Figure 2.1: Level 0 Data Flow Diagram (Context-Level DFD)</w:t>
      </w:r>
    </w:p>
    <w:p>
      <w:pPr>
        <w:spacing w:before="0" w:after="70" w:line="276" w:lineRule="auto"/>
        <w:jc w:val="both"/>
      </w:pPr>
      <w:r>
        <w:rPr>
          <w:rFonts w:ascii="Times New Roman" w:hAnsi="Times New Roman"/>
          <w:i w:val="0"/>
          <w:color w:val="0F172A"/>
          <w:sz w:val="24"/>
        </w:rPr>
        <w:t>This boundary diagram confirms that no internal process detail is revealed at Level 0, ensuring that all subsequent system interactions are fully accounted for before detailed algorithmic decomposition is undertaken.</w:t>
      </w:r>
    </w:p>
    <w:p>
      <w:r>
        <w:br w:type="page"/>
      </w:r>
    </w:p>
    <w:p>
      <w:pPr>
        <w:spacing w:before="0" w:after="20" w:line="276" w:lineRule="auto"/>
        <w:jc w:val="right"/>
      </w:pPr>
      <w:r>
        <w:rPr>
          <w:rFonts w:ascii="Times New Roman" w:hAnsi="Times New Roman"/>
          <w:i/>
          <w:color w:val="0F172A"/>
          <w:sz w:val="24"/>
        </w:rPr>
        <w:t>Page 5</w:t>
      </w:r>
    </w:p>
    <w:p>
      <w:pPr>
        <w:keepNext/>
        <w:spacing w:before="80" w:after="30"/>
        <w:jc w:val="left"/>
      </w:pPr>
      <w:r>
        <w:rPr>
          <w:rFonts w:ascii="Times New Roman" w:hAnsi="Times New Roman"/>
          <w:b/>
          <w:color w:val="0F172A"/>
          <w:sz w:val="24"/>
        </w:rPr>
        <w:t>2.1.2 Level 1 Data Flow Diagram (End-to-End Pipeline Architecture)</w:t>
      </w:r>
    </w:p>
    <w:p>
      <w:pPr>
        <w:spacing w:before="0" w:after="70" w:line="276" w:lineRule="auto"/>
        <w:jc w:val="both"/>
      </w:pPr>
      <w:r>
        <w:rPr>
          <w:rFonts w:ascii="Times New Roman" w:hAnsi="Times New Roman"/>
          <w:i w:val="0"/>
          <w:color w:val="0F172A"/>
          <w:sz w:val="24"/>
        </w:rPr>
        <w:t>The Level 1 DFD decomposes Process 0.0 into five sequential operational processes and identifies the underlying persistent data repositories:</w:t>
      </w:r>
    </w:p>
    <w:p>
      <w:pPr>
        <w:spacing w:before="0" w:after="70" w:line="276" w:lineRule="auto"/>
        <w:jc w:val="both"/>
      </w:pPr>
      <w:r>
        <w:rPr>
          <w:rFonts w:ascii="Times New Roman" w:hAnsi="Times New Roman"/>
          <w:b/>
          <w:color w:val="0F172A"/>
          <w:sz w:val="24"/>
        </w:rPr>
        <w:t xml:space="preserve">• Process 1.0 (Ingestion &amp; Schema Typing): </w:t>
      </w:r>
      <w:r>
        <w:rPr>
          <w:rFonts w:ascii="Times New Roman" w:hAnsi="Times New Roman"/>
          <w:i w:val="0"/>
          <w:color w:val="0F172A"/>
          <w:sz w:val="24"/>
        </w:rPr>
        <w:t>Ingests raw order logs, validates schema datatypes, and records input stream to D1 (Raw Transaction Log).</w:t>
      </w:r>
    </w:p>
    <w:p>
      <w:pPr>
        <w:spacing w:before="0" w:after="70" w:line="276" w:lineRule="auto"/>
        <w:jc w:val="both"/>
      </w:pPr>
      <w:r>
        <w:rPr>
          <w:rFonts w:ascii="Times New Roman" w:hAnsi="Times New Roman"/>
          <w:b/>
          <w:color w:val="0F172A"/>
          <w:sz w:val="24"/>
        </w:rPr>
        <w:t xml:space="preserve">• Process 2.0 (Data Quality &amp; Refinery Pipeline): </w:t>
      </w:r>
      <w:r>
        <w:rPr>
          <w:rFonts w:ascii="Times New Roman" w:hAnsi="Times New Roman"/>
          <w:i w:val="0"/>
          <w:color w:val="0F172A"/>
          <w:sz w:val="24"/>
        </w:rPr>
        <w:t>Purges missing CustomerIDs, routes return orders to D2 (Reversals Audit Ledger), and applies Tukey IQR outlier fences.</w:t>
      </w:r>
    </w:p>
    <w:p>
      <w:pPr>
        <w:spacing w:before="0" w:after="70" w:line="276" w:lineRule="auto"/>
        <w:jc w:val="both"/>
      </w:pPr>
      <w:r>
        <w:rPr>
          <w:rFonts w:ascii="Times New Roman" w:hAnsi="Times New Roman"/>
          <w:b/>
          <w:color w:val="0F172A"/>
          <w:sz w:val="24"/>
        </w:rPr>
        <w:t xml:space="preserve">• Process 3.0 (Vectorized RFM Feature Extraction): </w:t>
      </w:r>
      <w:r>
        <w:rPr>
          <w:rFonts w:ascii="Times New Roman" w:hAnsi="Times New Roman"/>
          <w:i w:val="0"/>
          <w:color w:val="0F172A"/>
          <w:sz w:val="24"/>
        </w:rPr>
        <w:t>Aggregates customer transactions into Recency days, Frequency counts, and Monetary spend, saving to D3 (RFM Analytical Table).</w:t>
      </w:r>
    </w:p>
    <w:p>
      <w:pPr>
        <w:spacing w:before="0" w:after="70" w:line="276" w:lineRule="auto"/>
        <w:jc w:val="both"/>
      </w:pPr>
      <w:r>
        <w:rPr>
          <w:rFonts w:ascii="Times New Roman" w:hAnsi="Times New Roman"/>
          <w:b/>
          <w:color w:val="0F172A"/>
          <w:sz w:val="24"/>
        </w:rPr>
        <w:t xml:space="preserve">• Process 4.0 (ML Clustering &amp; Quantile Scoring): </w:t>
      </w:r>
      <w:r>
        <w:rPr>
          <w:rFonts w:ascii="Times New Roman" w:hAnsi="Times New Roman"/>
          <w:i w:val="0"/>
          <w:color w:val="0F172A"/>
          <w:sz w:val="24"/>
        </w:rPr>
        <w:t>Executes log1p transformation, Z-score scaling, K-Means clustering, and 1–5 quantile scoring, persisting to D4 (Segmented Customer Mart).</w:t>
      </w:r>
    </w:p>
    <w:p>
      <w:pPr>
        <w:spacing w:before="0" w:after="70" w:line="276" w:lineRule="auto"/>
        <w:jc w:val="both"/>
      </w:pPr>
      <w:r>
        <w:rPr>
          <w:rFonts w:ascii="Times New Roman" w:hAnsi="Times New Roman"/>
          <w:b/>
          <w:color w:val="0F172A"/>
          <w:sz w:val="24"/>
        </w:rPr>
        <w:t xml:space="preserve">• Process 5.0 (Star-Schema &amp; Dashboard Export): </w:t>
      </w:r>
      <w:r>
        <w:rPr>
          <w:rFonts w:ascii="Times New Roman" w:hAnsi="Times New Roman"/>
          <w:i w:val="0"/>
          <w:color w:val="0F172A"/>
          <w:sz w:val="24"/>
        </w:rPr>
        <w:t>Generates the star schema dimensional marts and powers the interactive executive analytics dashboard.</w:t>
      </w:r>
    </w:p>
    <w:p>
      <w:r>
        <w:drawing>
          <wp:inline xmlns:a="http://schemas.openxmlformats.org/drawingml/2006/main" xmlns:pic="http://schemas.openxmlformats.org/drawingml/2006/picture">
            <wp:extent cx="4663440" cy="2331720"/>
            <wp:docPr id="3" name="Picture 3"/>
            <wp:cNvGraphicFramePr>
              <a:graphicFrameLocks noChangeAspect="1"/>
            </wp:cNvGraphicFramePr>
            <a:graphic>
              <a:graphicData uri="http://schemas.openxmlformats.org/drawingml/2006/picture">
                <pic:pic>
                  <pic:nvPicPr>
                    <pic:cNvPr id="0" name="fig_dfd_level_1.png"/>
                    <pic:cNvPicPr/>
                  </pic:nvPicPr>
                  <pic:blipFill>
                    <a:blip r:embed="rId11"/>
                    <a:stretch>
                      <a:fillRect/>
                    </a:stretch>
                  </pic:blipFill>
                  <pic:spPr>
                    <a:xfrm>
                      <a:off x="0" y="0"/>
                      <a:ext cx="4663440" cy="2331720"/>
                    </a:xfrm>
                    <a:prstGeom prst="rect"/>
                  </pic:spPr>
                </pic:pic>
              </a:graphicData>
            </a:graphic>
          </wp:inline>
        </w:drawing>
      </w:r>
    </w:p>
    <w:p>
      <w:pPr>
        <w:spacing w:before="40" w:after="60"/>
        <w:jc w:val="center"/>
      </w:pPr>
      <w:r>
        <w:rPr>
          <w:rFonts w:ascii="Times New Roman" w:hAnsi="Times New Roman"/>
          <w:b/>
          <w:color w:val="475569"/>
          <w:sz w:val="19"/>
        </w:rPr>
        <w:t>Figure 2.2: Level 1 Data Flow Diagram (End-to-End Pipeline Architecture)</w:t>
      </w:r>
    </w:p>
    <w:p>
      <w:pPr>
        <w:spacing w:before="0" w:after="70" w:line="276" w:lineRule="auto"/>
        <w:jc w:val="both"/>
      </w:pPr>
      <w:r>
        <w:rPr>
          <w:rFonts w:ascii="Times New Roman" w:hAnsi="Times New Roman"/>
          <w:i w:val="0"/>
          <w:color w:val="0F172A"/>
          <w:sz w:val="24"/>
        </w:rPr>
        <w:t>The Level 1 architecture enforces strict unidirectional data flow, ensuring that analytical features are never corrupted by unvalidated or reversed transactional inputs.</w:t>
      </w:r>
    </w:p>
    <w:p>
      <w:r>
        <w:br w:type="page"/>
      </w:r>
    </w:p>
    <w:p>
      <w:pPr>
        <w:spacing w:before="0" w:after="20" w:line="276" w:lineRule="auto"/>
        <w:jc w:val="right"/>
      </w:pPr>
      <w:r>
        <w:rPr>
          <w:rFonts w:ascii="Times New Roman" w:hAnsi="Times New Roman"/>
          <w:i/>
          <w:color w:val="0F172A"/>
          <w:sz w:val="24"/>
        </w:rPr>
        <w:t>Page 6</w:t>
      </w:r>
    </w:p>
    <w:p>
      <w:pPr>
        <w:keepNext/>
        <w:spacing w:before="80" w:after="30"/>
        <w:jc w:val="left"/>
      </w:pPr>
      <w:r>
        <w:rPr>
          <w:rFonts w:ascii="Times New Roman" w:hAnsi="Times New Roman"/>
          <w:b/>
          <w:color w:val="0F172A"/>
          <w:sz w:val="24"/>
        </w:rPr>
        <w:t>2.1.3 Level 2 Data Flow Diagram (Sub-Process Decomposition)</w:t>
      </w:r>
    </w:p>
    <w:p>
      <w:pPr>
        <w:spacing w:before="0" w:after="70" w:line="276" w:lineRule="auto"/>
        <w:jc w:val="both"/>
      </w:pPr>
      <w:r>
        <w:rPr>
          <w:rFonts w:ascii="Times New Roman" w:hAnsi="Times New Roman"/>
          <w:i w:val="0"/>
          <w:color w:val="0F172A"/>
          <w:sz w:val="24"/>
        </w:rPr>
        <w:t>To provide rigorous engineering granularity as mandated by university project standards, the Level 2 DFD decomposes the two critical computational processes: Process 2.0 (Data Quality Refinery) and Process 4.0 (Machine Learning Clustering Engine).</w:t>
      </w:r>
    </w:p>
    <w:p>
      <w:pPr>
        <w:spacing w:before="0" w:after="70" w:line="276" w:lineRule="auto"/>
        <w:jc w:val="both"/>
      </w:pPr>
      <w:r>
        <w:rPr>
          <w:rFonts w:ascii="Times New Roman" w:hAnsi="Times New Roman"/>
          <w:b/>
          <w:color w:val="0F172A"/>
          <w:sz w:val="24"/>
        </w:rPr>
        <w:t xml:space="preserve">• Sub-Process 2.0 Decomposition (Refinery): </w:t>
      </w:r>
      <w:r>
        <w:rPr>
          <w:rFonts w:ascii="Times New Roman" w:hAnsi="Times New Roman"/>
          <w:i w:val="0"/>
          <w:color w:val="0F172A"/>
          <w:sz w:val="24"/>
        </w:rPr>
        <w:t>Sub-process 2.1 removes unauthenticated records lacking CustomerID. Sub-process 2.2 detects cancellation codes ('^C' or negative quantities) and writes to the audit ledger. Sub-process 2.3 computes Tukey fences [Q1 - 1.5*IQR, Q3 + 1.5*IQR] to eliminate wholesale bulk distributor anomalies.</w:t>
      </w:r>
    </w:p>
    <w:p>
      <w:pPr>
        <w:spacing w:before="0" w:after="70" w:line="276" w:lineRule="auto"/>
        <w:jc w:val="both"/>
      </w:pPr>
      <w:r>
        <w:rPr>
          <w:rFonts w:ascii="Times New Roman" w:hAnsi="Times New Roman"/>
          <w:b/>
          <w:color w:val="0F172A"/>
          <w:sz w:val="24"/>
        </w:rPr>
        <w:t xml:space="preserve">• Sub-Process 4.0 Decomposition (ML &amp; Scoring): </w:t>
      </w:r>
      <w:r>
        <w:rPr>
          <w:rFonts w:ascii="Times New Roman" w:hAnsi="Times New Roman"/>
          <w:i w:val="0"/>
          <w:color w:val="0F172A"/>
          <w:sz w:val="24"/>
        </w:rPr>
        <w:t>Sub-process 4.1 applies log1p compression (z = ln(1 + x)) to resolve Pareto spend skewness. Sub-process 4.2 executes Z-score normalization. Sub-process 4.3 executes K-Means clustering across k in [2..6] with Silhouette validation. Sub-process 4.4 runs quantile binning (pd.qcut) mapping accounts to 8 business operating cohorts.</w:t>
      </w:r>
    </w:p>
    <w:p>
      <w:r>
        <w:drawing>
          <wp:inline xmlns:a="http://schemas.openxmlformats.org/drawingml/2006/main" xmlns:pic="http://schemas.openxmlformats.org/drawingml/2006/picture">
            <wp:extent cx="4754880" cy="1981200"/>
            <wp:docPr id="4" name="Picture 4"/>
            <wp:cNvGraphicFramePr>
              <a:graphicFrameLocks noChangeAspect="1"/>
            </wp:cNvGraphicFramePr>
            <a:graphic>
              <a:graphicData uri="http://schemas.openxmlformats.org/drawingml/2006/picture">
                <pic:pic>
                  <pic:nvPicPr>
                    <pic:cNvPr id="0" name="fig_dfd_level_2.png"/>
                    <pic:cNvPicPr/>
                  </pic:nvPicPr>
                  <pic:blipFill>
                    <a:blip r:embed="rId12"/>
                    <a:stretch>
                      <a:fillRect/>
                    </a:stretch>
                  </pic:blipFill>
                  <pic:spPr>
                    <a:xfrm>
                      <a:off x="0" y="0"/>
                      <a:ext cx="4754880" cy="1981200"/>
                    </a:xfrm>
                    <a:prstGeom prst="rect"/>
                  </pic:spPr>
                </pic:pic>
              </a:graphicData>
            </a:graphic>
          </wp:inline>
        </w:drawing>
      </w:r>
    </w:p>
    <w:p>
      <w:pPr>
        <w:spacing w:before="40" w:after="60"/>
        <w:jc w:val="center"/>
      </w:pPr>
      <w:r>
        <w:rPr>
          <w:rFonts w:ascii="Times New Roman" w:hAnsi="Times New Roman"/>
          <w:b/>
          <w:color w:val="475569"/>
          <w:sz w:val="19"/>
        </w:rPr>
        <w:t>Figure 2.3: Level 2 Data Flow Diagram (Refinery &amp; ML Decomposition)</w:t>
      </w:r>
    </w:p>
    <w:p>
      <w:pPr>
        <w:spacing w:before="0" w:after="70" w:line="276" w:lineRule="auto"/>
        <w:jc w:val="both"/>
      </w:pPr>
      <w:r>
        <w:rPr>
          <w:rFonts w:ascii="Times New Roman" w:hAnsi="Times New Roman"/>
          <w:i w:val="0"/>
          <w:color w:val="0F172A"/>
          <w:sz w:val="24"/>
        </w:rPr>
        <w:t>This granular decomposition formally documents the mathematical transformations and algorithmic filtering required to turn raw transactional records into production-grade machine learning features.</w:t>
      </w:r>
    </w:p>
    <w:p>
      <w:r>
        <w:br w:type="page"/>
      </w:r>
    </w:p>
    <w:p>
      <w:pPr>
        <w:spacing w:before="0" w:after="20" w:line="276" w:lineRule="auto"/>
        <w:jc w:val="right"/>
      </w:pPr>
      <w:r>
        <w:rPr>
          <w:rFonts w:ascii="Times New Roman" w:hAnsi="Times New Roman"/>
          <w:i/>
          <w:color w:val="0F172A"/>
          <w:sz w:val="24"/>
        </w:rPr>
        <w:t>Page 7</w:t>
      </w:r>
    </w:p>
    <w:p>
      <w:pPr>
        <w:keepNext/>
        <w:spacing w:before="100" w:after="40"/>
        <w:jc w:val="left"/>
      </w:pPr>
      <w:r>
        <w:rPr>
          <w:rFonts w:ascii="Times New Roman" w:hAnsi="Times New Roman"/>
          <w:b/>
          <w:color w:val="0F172A"/>
          <w:sz w:val="28"/>
        </w:rPr>
        <w:t>2.2 Use Case Diagram &amp; Milestone Evaluation Tracking</w:t>
      </w:r>
    </w:p>
    <w:p>
      <w:pPr>
        <w:spacing w:before="0" w:after="40" w:line="276" w:lineRule="auto"/>
        <w:jc w:val="both"/>
      </w:pPr>
      <w:r>
        <w:rPr>
          <w:rFonts w:ascii="Times New Roman" w:hAnsi="Times New Roman"/>
          <w:i w:val="0"/>
          <w:color w:val="0F172A"/>
          <w:sz w:val="24"/>
        </w:rPr>
        <w:t>The Use Case Model defines operational boundaries by mapping system capabilities to primary human and automated actors.</w:t>
      </w:r>
    </w:p>
    <w:p>
      <w:r>
        <w:drawing>
          <wp:inline xmlns:a="http://schemas.openxmlformats.org/drawingml/2006/main" xmlns:pic="http://schemas.openxmlformats.org/drawingml/2006/picture">
            <wp:extent cx="3017520" cy="1961388"/>
            <wp:docPr id="5" name="Picture 5"/>
            <wp:cNvGraphicFramePr>
              <a:graphicFrameLocks noChangeAspect="1"/>
            </wp:cNvGraphicFramePr>
            <a:graphic>
              <a:graphicData uri="http://schemas.openxmlformats.org/drawingml/2006/picture">
                <pic:pic>
                  <pic:nvPicPr>
                    <pic:cNvPr id="0" name="fig_use_case_diagram.png"/>
                    <pic:cNvPicPr/>
                  </pic:nvPicPr>
                  <pic:blipFill>
                    <a:blip r:embed="rId13"/>
                    <a:stretch>
                      <a:fillRect/>
                    </a:stretch>
                  </pic:blipFill>
                  <pic:spPr>
                    <a:xfrm>
                      <a:off x="0" y="0"/>
                      <a:ext cx="3017520" cy="1961388"/>
                    </a:xfrm>
                    <a:prstGeom prst="rect"/>
                  </pic:spPr>
                </pic:pic>
              </a:graphicData>
            </a:graphic>
          </wp:inline>
        </w:drawing>
      </w:r>
    </w:p>
    <w:p>
      <w:pPr>
        <w:spacing w:before="40" w:after="60"/>
        <w:jc w:val="center"/>
      </w:pPr>
      <w:r>
        <w:rPr>
          <w:rFonts w:ascii="Times New Roman" w:hAnsi="Times New Roman"/>
          <w:b/>
          <w:color w:val="475569"/>
          <w:sz w:val="19"/>
        </w:rPr>
        <w:t>Figure 2.4: UML Use Case Diagram (System Actors &amp; Functional Capabilities)</w:t>
      </w:r>
    </w:p>
    <w:p>
      <w:pPr>
        <w:spacing w:before="40" w:after="60"/>
        <w:jc w:val="center"/>
      </w:pPr>
      <w:r>
        <w:rPr>
          <w:rFonts w:ascii="Times New Roman" w:hAnsi="Times New Roman"/>
          <w:b/>
          <w:color w:val="475569"/>
          <w:sz w:val="19"/>
        </w:rPr>
        <w:t>Table 2.1: Formal Use Case Specification Matrix (UC-01 to UC-06)</w:t>
      </w:r>
    </w:p>
    <w:tbl>
      <w:tblPr>
        <w:tblW w:type="auto" w:w="0"/>
        <w:jc w:val="center"/>
        <w:tblLook w:firstColumn="1" w:firstRow="1" w:lastColumn="0" w:lastRow="0" w:noHBand="0" w:noVBand="1" w:val="04A0"/>
      </w:tblPr>
      <w:tblGrid>
        <w:gridCol w:w="2376"/>
        <w:gridCol w:w="2376"/>
        <w:gridCol w:w="2376"/>
        <w:gridCol w:w="2376"/>
      </w:tblGrid>
      <w:tr>
        <w:tc>
          <w:tcPr>
            <w:tcW w:type="dxa" w:w="93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UC ID</w:t>
            </w:r>
          </w:p>
        </w:tc>
        <w:tc>
          <w:tcPr>
            <w:tcW w:type="dxa" w:w="26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USE CASE NAME</w:t>
            </w:r>
          </w:p>
        </w:tc>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PRIMARY ACTOR</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GOAL &amp; PRE-CONDITION</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UC-01</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Ingest Transaction Stream</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Engineer / Admin</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Ingests raw event logs, validates schema, enforces datatypes.</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UC-02</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Isolate Reversals &amp; IQR Filter</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Engineer / Admin</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Purges null IDs, isolates returns (^C), caps Tukey bulk outliers.</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UC-03</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Compute Vectorized RFM</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Analytics Engineer</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Aggregates transactions into customer-level Recency, Frequency, Spend.</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UC-04</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Train &amp; Tune K-Means Model</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Scientist</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Applies log1p + StandardScaler, evaluates Elbow/Silhouette, fits k=4.</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UC-05</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Inspect Executive KPI Metrics</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Commercial Executive</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Monitors portfolio spend ($65k), Champions share (72.5%), at-risk capital.</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UC-06</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Export Targeted CRM Audiences</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Marketing Manager</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Filters segments in activation ledger and exports audience lists for campaigns.</w:t>
            </w:r>
          </w:p>
        </w:tc>
      </w:tr>
    </w:tbl>
    <w:p>
      <w:pPr>
        <w:spacing w:before="40" w:after="60"/>
        <w:jc w:val="center"/>
      </w:pPr>
      <w:r>
        <w:rPr>
          <w:rFonts w:ascii="Times New Roman" w:hAnsi="Times New Roman"/>
          <w:b/>
          <w:color w:val="475569"/>
          <w:sz w:val="19"/>
        </w:rPr>
        <w:t>Table 2.2: Project Progress Work Evaluation Schedule (24/09/2026 Milestone)</w:t>
      </w:r>
    </w:p>
    <w:tbl>
      <w:tblPr>
        <w:tblW w:type="auto" w:w="0"/>
        <w:jc w:val="center"/>
        <w:tblLook w:firstColumn="1" w:firstRow="1" w:lastColumn="0" w:lastRow="0" w:noHBand="0" w:noVBand="1" w:val="04A0"/>
      </w:tblPr>
      <w:tblGrid>
        <w:gridCol w:w="1901"/>
        <w:gridCol w:w="1901"/>
        <w:gridCol w:w="1901"/>
        <w:gridCol w:w="1901"/>
        <w:gridCol w:w="1901"/>
      </w:tblGrid>
      <w:tr>
        <w:tc>
          <w:tcPr>
            <w:tcW w:type="dxa" w:w="129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DATE</w:t>
            </w:r>
          </w:p>
        </w:tc>
        <w:tc>
          <w:tcPr>
            <w:tcW w:type="dxa" w:w="244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ASSESSMENT PARTICULARS</w:t>
            </w:r>
          </w:p>
        </w:tc>
        <w:tc>
          <w:tcPr>
            <w:tcW w:type="dxa" w:w="187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INDEX SECTIONS</w:t>
            </w:r>
          </w:p>
        </w:tc>
        <w:tc>
          <w:tcPr>
            <w:tcW w:type="dxa" w:w="10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MARKS</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CURRENT STATUS</w:t>
            </w:r>
          </w:p>
        </w:tc>
      </w:tr>
      <w:tr>
        <w:tc>
          <w:tcPr>
            <w:tcW w:type="dxa" w:w="1296"/>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24/09/2026</w:t>
            </w:r>
          </w:p>
        </w:tc>
        <w:tc>
          <w:tcPr>
            <w:tcW w:type="dxa" w:w="2448"/>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3"/>
              </w:rPr>
              <w:t>First Progress Work</w:t>
            </w:r>
          </w:p>
        </w:tc>
        <w:tc>
          <w:tcPr>
            <w:tcW w:type="dxa" w:w="1872"/>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1.1, 1.2, 1.3, 2.1, 2.2</w:t>
            </w:r>
          </w:p>
        </w:tc>
        <w:tc>
          <w:tcPr>
            <w:tcW w:type="dxa" w:w="1008"/>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3"/>
              </w:rPr>
              <w:t>COMPLETED (Current Submission)</w:t>
            </w:r>
          </w:p>
        </w:tc>
      </w:tr>
      <w:tr>
        <w:tc>
          <w:tcPr>
            <w:tcW w:type="dxa" w:w="129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13/10/2026</w:t>
            </w:r>
          </w:p>
        </w:tc>
        <w:tc>
          <w:tcPr>
            <w:tcW w:type="dxa" w:w="244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Mid-Term Exam (Second Progress)</w:t>
            </w:r>
          </w:p>
        </w:tc>
        <w:tc>
          <w:tcPr>
            <w:tcW w:type="dxa" w:w="187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2.3, 2.4, 3.1, 4.1</w:t>
            </w:r>
          </w:p>
        </w:tc>
        <w:tc>
          <w:tcPr>
            <w:tcW w:type="dxa" w:w="100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20 Marks</w:t>
            </w:r>
          </w:p>
        </w:tc>
        <w:tc>
          <w:tcPr>
            <w:tcW w:type="dxa" w:w="259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Next Milestone</w:t>
            </w:r>
          </w:p>
        </w:tc>
      </w:tr>
      <w:tr>
        <w:tc>
          <w:tcPr>
            <w:tcW w:type="dxa" w:w="129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27/10/2026</w:t>
            </w:r>
          </w:p>
        </w:tc>
        <w:tc>
          <w:tcPr>
            <w:tcW w:type="dxa" w:w="244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Third Progress Work</w:t>
            </w:r>
          </w:p>
        </w:tc>
        <w:tc>
          <w:tcPr>
            <w:tcW w:type="dxa" w:w="187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4.2, 4.3, 5.1, 5.2, 6.1</w:t>
            </w:r>
          </w:p>
        </w:tc>
        <w:tc>
          <w:tcPr>
            <w:tcW w:type="dxa" w:w="100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Third Milestone</w:t>
            </w:r>
          </w:p>
        </w:tc>
      </w:tr>
      <w:tr>
        <w:tc>
          <w:tcPr>
            <w:tcW w:type="dxa" w:w="129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06/11/2026</w:t>
            </w:r>
          </w:p>
        </w:tc>
        <w:tc>
          <w:tcPr>
            <w:tcW w:type="dxa" w:w="244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Report Submission (Spiral Binding)</w:t>
            </w:r>
          </w:p>
        </w:tc>
        <w:tc>
          <w:tcPr>
            <w:tcW w:type="dxa" w:w="187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Final Signed Spiral Copy</w:t>
            </w:r>
          </w:p>
        </w:tc>
        <w:tc>
          <w:tcPr>
            <w:tcW w:type="dxa" w:w="100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Final Submission</w:t>
            </w:r>
          </w:p>
        </w:tc>
      </w:tr>
      <w:tr>
        <w:tc>
          <w:tcPr>
            <w:tcW w:type="dxa" w:w="129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18-20/11/2026</w:t>
            </w:r>
          </w:p>
        </w:tc>
        <w:tc>
          <w:tcPr>
            <w:tcW w:type="dxa" w:w="244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Final Exam (SEE)</w:t>
            </w:r>
          </w:p>
        </w:tc>
        <w:tc>
          <w:tcPr>
            <w:tcW w:type="dxa" w:w="187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Exam &amp; Viva Voce</w:t>
            </w:r>
          </w:p>
        </w:tc>
        <w:tc>
          <w:tcPr>
            <w:tcW w:type="dxa" w:w="100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50 Marks</w:t>
            </w:r>
          </w:p>
        </w:tc>
        <w:tc>
          <w:tcPr>
            <w:tcW w:type="dxa" w:w="259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Semester Examination</w:t>
            </w:r>
          </w:p>
        </w:tc>
      </w:tr>
    </w:tbl>
    <w:sectPr w:rsidR="00FC693F" w:rsidRPr="0006063C" w:rsidSect="00034616">
      <w:pgSz w:w="12240" w:h="15840"/>
      <w:pgMar w:top="1080"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