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Arial" w:hAnsi="Arial"/>
          <w:b/>
          <w:color w:val="0F172A"/>
          <w:sz w:val="44"/>
        </w:rPr>
        <w:t>E-COMMERCE CUSTOMER LIFECYCLE &amp;</w:t>
        <w:br/>
        <w:t>RFM SEGMENTATION DASHBOARD</w:t>
      </w:r>
    </w:p>
    <w:p>
      <w:pPr>
        <w:spacing w:after="360"/>
        <w:jc w:val="center"/>
      </w:pPr>
      <w:r>
        <w:rPr>
          <w:rFonts w:ascii="Arial" w:hAnsi="Arial"/>
          <w:i/>
          <w:color w:val="4F46E5"/>
          <w:sz w:val="24"/>
        </w:rPr>
        <w:t>End-to-End Analytics Engineering, Algorithmic Clustering &amp; Strategic CRM Activation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</w:tcPr>
          <w:p>
            <w:r>
              <w:rPr>
                <w:b/>
                <w:sz w:val="19"/>
              </w:rPr>
              <w:t>Candidate / Author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19"/>
              </w:rPr>
              <w:t>Deep Koshiya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19"/>
              </w:rPr>
              <w:t>Project Scope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19"/>
              </w:rPr>
              <w:t>Customer Lifecycle Analytics, RFM Scoring, K-Means Clustering &amp; BI Engineering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19"/>
              </w:rPr>
              <w:t>Technology Stack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19"/>
              </w:rPr>
              <w:t>Python 3.9+, Pandas, Scikit-Learn, SciPy, Matplotlib, HTML5/Tailwind/Chart.js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19"/>
              </w:rPr>
              <w:t>Submission Date</w:t>
            </w:r>
          </w:p>
        </w:tc>
        <w:tc>
          <w:tcPr>
            <w:tcW w:type="dxa" w:w="4680"/>
            <w:shd w:fill="FFFFFF"/>
          </w:tcPr>
          <w:p>
            <w:r>
              <w:rPr>
                <w:sz w:val="19"/>
              </w:rPr>
              <w:t>September 2026</w:t>
            </w:r>
          </w:p>
        </w:tc>
      </w:tr>
    </w:tbl>
    <w:p>
      <w:pPr>
        <w:spacing w:after="280"/>
      </w:pP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1. Executive Summary</w:t>
      </w:r>
    </w:p>
    <w:p>
      <w:pPr>
        <w:spacing w:after="120" w:line="276" w:lineRule="auto"/>
      </w:pPr>
      <w:r>
        <w:rPr>
          <w:sz w:val="20"/>
        </w:rPr>
        <w:t>In modern multi-category digital commerce, treating an entire customer base as a homogenous entity leads to suboptimal marketing spend, inflated Customer Acquisition Costs (CAC), and customer churn blindspots. This comprehensive project establishes an end-to-end data analytics engineering pipeline that takes raw transactional event logs and refines them into actionable behavioral cohorts.</w:t>
      </w:r>
    </w:p>
    <w:p>
      <w:pPr>
        <w:spacing w:after="120" w:line="276" w:lineRule="auto"/>
      </w:pPr>
      <w:r>
        <w:rPr>
          <w:sz w:val="20"/>
        </w:rPr>
        <w:t>By synthesizing data cleaning best practices (including Tukey's IQR outlier isolation and credit note segregation), customer-level RFM feature engineering, unsupervised machine learning (K-Means), and heuristic quantile scoring (pd.qcut), the system generates an enterprise star-schema data mart and an interactive executive BI dashboard. Key commercial findings reveal a strong Pareto concentration: 27.4% of customers ('Champions') generate 72.5% of gross revenues, while $2,384+ in high-margin spend is vulnerable within at-risk, dormant cohorts.</w:t>
      </w: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2. Business Problem &amp; Commercial Context</w:t>
      </w:r>
    </w:p>
    <w:p>
      <w:pPr>
        <w:spacing w:after="120" w:line="276" w:lineRule="auto"/>
      </w:pPr>
      <w:r>
        <w:rPr>
          <w:sz w:val="20"/>
        </w:rPr>
        <w:t>Online retailers face distinct commercial challenges across customer acquisition, retention, and loyalty development:</w:t>
      </w:r>
    </w:p>
    <w:p>
      <w:pPr>
        <w:spacing w:after="120" w:line="276" w:lineRule="auto"/>
      </w:pPr>
      <w:r>
        <w:rPr>
          <w:b/>
          <w:sz w:val="20"/>
        </w:rPr>
        <w:t xml:space="preserve">• Budget Misallocation: </w:t>
      </w:r>
      <w:r>
        <w:rPr>
          <w:sz w:val="20"/>
        </w:rPr>
        <w:t>Marketing campaigns delivered uniformly dilute returns on ad spend (ROAS). High-value accounts receive standard discount coupons they do not need, while churn-risk customers are neglected until they lapse permanently.</w:t>
      </w:r>
    </w:p>
    <w:p>
      <w:pPr>
        <w:spacing w:after="120" w:line="276" w:lineRule="auto"/>
      </w:pPr>
      <w:r>
        <w:rPr>
          <w:b/>
          <w:sz w:val="20"/>
        </w:rPr>
        <w:t xml:space="preserve">• Churn Vulnerability: </w:t>
      </w:r>
      <w:r>
        <w:rPr>
          <w:sz w:val="20"/>
        </w:rPr>
        <w:t>Without longitudinal entity tracking, management cannot distinguish between a dip in seasonal demand versus a systemic churn trend among top-tier accounts.</w:t>
      </w:r>
    </w:p>
    <w:p>
      <w:pPr>
        <w:spacing w:after="120" w:line="276" w:lineRule="auto"/>
      </w:pPr>
      <w:r>
        <w:rPr>
          <w:b/>
          <w:sz w:val="20"/>
        </w:rPr>
        <w:t xml:space="preserve">• Data Integrity Impediments: </w:t>
      </w:r>
      <w:r>
        <w:rPr>
          <w:sz w:val="20"/>
        </w:rPr>
        <w:t>Unfiltered transactional datasets often contain B2B distributor bulk orders, cancelled credit invoices, and unauthenticated guest sessions, creating artificial distortions in lifetime value models.</w:t>
      </w: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3. Data Cleaning &amp; Refinery Pipeline</w:t>
      </w:r>
    </w:p>
    <w:p>
      <w:pPr>
        <w:spacing w:after="120" w:line="276" w:lineRule="auto"/>
      </w:pPr>
      <w:r>
        <w:rPr>
          <w:sz w:val="20"/>
        </w:rPr>
        <w:t>Raw transactional logs conform to the standard UCI Online Retail format with 7 initial attributes: InvoiceNo, StockCode, Description, Quantity, InvoiceDate, UnitPrice, and CustomerID. The cleaning architecture implements four defensive stages:</w:t>
      </w:r>
    </w:p>
    <w:p>
      <w:pPr>
        <w:spacing w:after="120" w:line="276" w:lineRule="auto"/>
      </w:pPr>
      <w:r>
        <w:rPr>
          <w:b/>
          <w:sz w:val="20"/>
        </w:rPr>
        <w:t xml:space="preserve">1. Schema Enforcement &amp; Typing: </w:t>
      </w:r>
      <w:r>
        <w:rPr>
          <w:sz w:val="20"/>
        </w:rPr>
        <w:t>Casting string identifiers, enforcing ISO-8601 timestamps, and trimming extraneous whitespace across SKU descriptions.</w:t>
      </w:r>
    </w:p>
    <w:p>
      <w:pPr>
        <w:spacing w:after="120" w:line="276" w:lineRule="auto"/>
      </w:pPr>
      <w:r>
        <w:rPr>
          <w:b/>
          <w:sz w:val="20"/>
        </w:rPr>
        <w:t xml:space="preserve">2. Entity Identification: </w:t>
      </w:r>
      <w:r>
        <w:rPr>
          <w:sz w:val="20"/>
        </w:rPr>
        <w:t>Transactions lacking CustomerID represent anonymous guest checkouts. Because they cannot be linked across multiple sessions, these 1,888 records are dropped to maintain longitudinal customer profiles.</w:t>
      </w:r>
    </w:p>
    <w:p>
      <w:pPr>
        <w:spacing w:after="120" w:line="276" w:lineRule="auto"/>
      </w:pPr>
      <w:r>
        <w:rPr>
          <w:b/>
          <w:sz w:val="20"/>
        </w:rPr>
        <w:t xml:space="preserve">3. Reverse Logistics Isolation: </w:t>
      </w:r>
      <w:r>
        <w:rPr>
          <w:sz w:val="20"/>
        </w:rPr>
        <w:t>Invoices starting with 'C' or containing negative quantities/zero prices represent product returns, damaged items, or system adjustments. Rather than discarding them entirely, 713 records were segregated into fact_reversals_audit.csv for accounting reconciliation.</w:t>
      </w:r>
    </w:p>
    <w:p>
      <w:pPr>
        <w:spacing w:after="120" w:line="276" w:lineRule="auto"/>
      </w:pPr>
      <w:r>
        <w:rPr>
          <w:b/>
          <w:sz w:val="20"/>
        </w:rPr>
        <w:t xml:space="preserve">4. Statistical Outlier Removal: </w:t>
      </w:r>
      <w:r>
        <w:rPr>
          <w:sz w:val="20"/>
        </w:rPr>
        <w:t>Bulk wholesale orders distort consumer clustering. Using Tukey's Interquartile Range method (IQR = Q3 - Q1), fences were constructed to bound quantities within [1, 24] and prices within (0, 7.50].</w:t>
      </w: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4. Feature Engineering: RFM Derivation</w:t>
      </w:r>
    </w:p>
    <w:p>
      <w:pPr>
        <w:spacing w:after="120" w:line="276" w:lineRule="auto"/>
      </w:pPr>
      <w:r>
        <w:rPr>
          <w:sz w:val="20"/>
        </w:rPr>
        <w:t>The cleaned transactional stream was aggregated into a customer-level analytical base table (ABT) using a fixed operational snapshot date: T_obs = max(InvoiceDate) + 1 day (December 11, 2023).</w:t>
      </w:r>
    </w:p>
    <w:p>
      <w:pPr>
        <w:spacing w:after="120" w:line="276" w:lineRule="auto"/>
      </w:pPr>
      <w:r>
        <w:rPr>
          <w:b/>
          <w:sz w:val="20"/>
        </w:rPr>
        <w:t xml:space="preserve">• Recency (R): </w:t>
      </w:r>
      <w:r>
        <w:rPr>
          <w:sz w:val="20"/>
        </w:rPr>
        <w:t>Recency (R) = Time elapsed in integer days between the customer's most recent transaction and T_obs. Lower values indicate higher current engagement.</w:t>
      </w:r>
    </w:p>
    <w:p>
      <w:pPr>
        <w:spacing w:after="120" w:line="276" w:lineRule="auto"/>
      </w:pPr>
      <w:r>
        <w:rPr>
          <w:b/>
          <w:sz w:val="20"/>
        </w:rPr>
        <w:t xml:space="preserve">• Frequency (F): </w:t>
      </w:r>
      <w:r>
        <w:rPr>
          <w:sz w:val="20"/>
        </w:rPr>
        <w:t>Frequency (F) = Distinct count of unique invoices (nunique) placed by the customer. Evaluating distinct checkouts prevents multi-item single carts from falsely appearing as repeat visits.</w:t>
      </w:r>
    </w:p>
    <w:p>
      <w:pPr>
        <w:spacing w:after="120" w:line="276" w:lineRule="auto"/>
      </w:pPr>
      <w:r>
        <w:rPr>
          <w:b/>
          <w:sz w:val="20"/>
        </w:rPr>
        <w:t xml:space="preserve">• Monetary (M): </w:t>
      </w:r>
      <w:r>
        <w:rPr>
          <w:sz w:val="20"/>
        </w:rPr>
        <w:t>Monetary (M) = Cumulative net spend across all valid items (Quantity * UnitPrice).</w:t>
      </w:r>
    </w:p>
    <w:p>
      <w:pPr>
        <w:spacing w:after="120" w:line="276" w:lineRule="auto"/>
      </w:pPr>
      <w:r>
        <w:rPr>
          <w:b/>
          <w:sz w:val="20"/>
        </w:rPr>
        <w:t xml:space="preserve">• Average Order Value (AOV): </w:t>
      </w:r>
      <w:r>
        <w:rPr>
          <w:sz w:val="20"/>
        </w:rPr>
        <w:t>Average Order Value (AOV) = Monetary / Frequency. A secondary metric indicating basket efficiency.</w:t>
      </w: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5. Unsupervised Machine Learning (K-Means)</w:t>
      </w:r>
    </w:p>
    <w:p>
      <w:pPr>
        <w:spacing w:after="120" w:line="276" w:lineRule="auto"/>
      </w:pPr>
      <w:r>
        <w:rPr>
          <w:sz w:val="20"/>
        </w:rPr>
        <w:t>Due to the heavy positive skew inherent to consumer spend, feeding raw RFM values directly into K-Means causes cluster centroids to be dominated by extreme spenders. The pipeline executes:</w:t>
      </w:r>
    </w:p>
    <w:p>
      <w:pPr>
        <w:spacing w:after="120" w:line="276" w:lineRule="auto"/>
      </w:pPr>
      <w:r>
        <w:rPr>
          <w:b/>
          <w:sz w:val="20"/>
        </w:rPr>
        <w:t xml:space="preserve">1. Log1p Transformation: </w:t>
      </w:r>
      <w:r>
        <w:rPr>
          <w:sz w:val="20"/>
        </w:rPr>
        <w:t>Compresses long right tails into normal approximations, handling low values smoothly.</w:t>
      </w:r>
    </w:p>
    <w:p>
      <w:pPr>
        <w:spacing w:after="120" w:line="276" w:lineRule="auto"/>
      </w:pPr>
      <w:r>
        <w:rPr>
          <w:b/>
          <w:sz w:val="20"/>
        </w:rPr>
        <w:t xml:space="preserve">2. Z-Score Standardization: </w:t>
      </w:r>
      <w:r>
        <w:rPr>
          <w:sz w:val="20"/>
        </w:rPr>
        <w:t>Standardizes features to zero mean and unit variance (z = (x - mu) / sigma), ensuring equal geometric weighting in Euclidean distance calculations.</w:t>
      </w:r>
    </w:p>
    <w:p>
      <w:pPr>
        <w:spacing w:after="120" w:line="276" w:lineRule="auto"/>
      </w:pPr>
      <w:r>
        <w:rPr>
          <w:b/>
          <w:sz w:val="20"/>
        </w:rPr>
        <w:t xml:space="preserve">3. Diagnostics &amp; Cluster Tuning: </w:t>
      </w:r>
      <w:r>
        <w:rPr>
          <w:sz w:val="20"/>
        </w:rPr>
        <w:t>Evaluated cluster numbers k in [2..6] using Within-Cluster Sum of Squares (Inertia) and Silhouette Scores. Optimal separation occurred at k=4 (Silhouette Score: 0.3817, Inertia: 430.5).</w:t>
      </w:r>
    </w:p>
    <w:p>
      <w:pPr>
        <w:spacing w:before="120"/>
      </w:pP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kmeans_diagnos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Figure 1: K-Means Elbow Curve (Inertia) and Silhouette Score Diagnostics across Cluster Counts (k=2 to 6).</w:t>
      </w: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6. Quantile RFM Scoring &amp; Taxonomy</w:t>
      </w:r>
    </w:p>
    <w:p>
      <w:pPr>
        <w:spacing w:after="120" w:line="276" w:lineRule="auto"/>
      </w:pPr>
      <w:r>
        <w:rPr>
          <w:sz w:val="20"/>
        </w:rPr>
        <w:t>To provide operational consistency for marketing automation, each customer was also assigned 1–5 relative scores using quintile binning (pd.qcut):</w:t>
      </w:r>
    </w:p>
    <w:p>
      <w:pPr>
        <w:spacing w:after="120" w:line="276" w:lineRule="auto"/>
      </w:pPr>
      <w:r>
        <w:rPr>
          <w:b/>
          <w:sz w:val="20"/>
        </w:rPr>
        <w:t xml:space="preserve">• Recency Score (R_Score): </w:t>
      </w:r>
      <w:r>
        <w:rPr>
          <w:sz w:val="20"/>
        </w:rPr>
        <w:t>Score 5 represents the most recent buyers (lowest days); Score 1 represents longest inactivity.</w:t>
      </w:r>
    </w:p>
    <w:p>
      <w:pPr>
        <w:spacing w:after="120" w:line="276" w:lineRule="auto"/>
      </w:pPr>
      <w:r>
        <w:rPr>
          <w:b/>
          <w:sz w:val="20"/>
        </w:rPr>
        <w:t xml:space="preserve">• Frequency Score (F_Score): </w:t>
      </w:r>
      <w:r>
        <w:rPr>
          <w:sz w:val="20"/>
        </w:rPr>
        <w:t>Score 5 represents top repeat buyers; Score 1 represents single purchase shoppers.</w:t>
      </w:r>
    </w:p>
    <w:p>
      <w:pPr>
        <w:spacing w:after="120" w:line="276" w:lineRule="auto"/>
      </w:pPr>
      <w:r>
        <w:rPr>
          <w:b/>
          <w:sz w:val="20"/>
        </w:rPr>
        <w:t xml:space="preserve">• Monetary Score (M_Score): </w:t>
      </w:r>
      <w:r>
        <w:rPr>
          <w:sz w:val="20"/>
        </w:rPr>
        <w:t>Score 5 represents top gross spenders; Score 1 represents lowest monetary contribution.</w:t>
      </w:r>
    </w:p>
    <w:p>
      <w:pPr>
        <w:spacing w:after="120" w:line="276" w:lineRule="auto"/>
      </w:pPr>
      <w:r>
        <w:rPr>
          <w:b/>
          <w:sz w:val="20"/>
        </w:rPr>
        <w:t xml:space="preserve">• RFM Composite: </w:t>
      </w:r>
      <w:r>
        <w:rPr>
          <w:sz w:val="20"/>
        </w:rPr>
        <w:t>A 3-digit string (e.g., '555' for top champions, '111' for dormant single purchasers).</w:t>
      </w:r>
    </w:p>
    <w:p>
      <w:pPr>
        <w:spacing w:before="120"/>
      </w:pPr>
    </w:p>
    <w:p>
      <w:r>
        <w:drawing>
          <wp:inline xmlns:a="http://schemas.openxmlformats.org/drawingml/2006/main" xmlns:pic="http://schemas.openxmlformats.org/drawingml/2006/picture">
            <wp:extent cx="54864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atial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Figure 2: Spatial Customer Migration Map (Recency vs. Spend, Bubble Size = Frequency).</w:t>
      </w: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7. Portfolio Health &amp; Segment Analytics</w:t>
      </w:r>
    </w:p>
    <w:p>
      <w:pPr>
        <w:spacing w:after="120" w:line="276" w:lineRule="auto"/>
      </w:pPr>
      <w:r>
        <w:rPr>
          <w:sz w:val="20"/>
        </w:rPr>
        <w:t>Across the portfolio of 540 active customers generating $65,132.81 in total spend, behavioral segmentation yielded 8 operational cohorts: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172A"/>
          </w:tcPr>
          <w:p>
            <w:r>
              <w:rPr>
                <w:b/>
                <w:color w:val="FFFFFF"/>
                <w:sz w:val="17"/>
              </w:rPr>
              <w:t>Business Segment</w:t>
            </w:r>
          </w:p>
        </w:tc>
        <w:tc>
          <w:tcPr>
            <w:tcW w:type="dxa" w:w="1337"/>
            <w:shd w:fill="0F172A"/>
          </w:tcPr>
          <w:p>
            <w:r>
              <w:rPr>
                <w:b/>
                <w:color w:val="FFFFFF"/>
                <w:sz w:val="17"/>
              </w:rPr>
              <w:t>Users</w:t>
            </w:r>
          </w:p>
        </w:tc>
        <w:tc>
          <w:tcPr>
            <w:tcW w:type="dxa" w:w="1337"/>
            <w:shd w:fill="0F172A"/>
          </w:tcPr>
          <w:p>
            <w:r>
              <w:rPr>
                <w:b/>
                <w:color w:val="FFFFFF"/>
                <w:sz w:val="17"/>
              </w:rPr>
              <w:t>User %</w:t>
            </w:r>
          </w:p>
        </w:tc>
        <w:tc>
          <w:tcPr>
            <w:tcW w:type="dxa" w:w="1337"/>
            <w:shd w:fill="0F172A"/>
          </w:tcPr>
          <w:p>
            <w:r>
              <w:rPr>
                <w:b/>
                <w:color w:val="FFFFFF"/>
                <w:sz w:val="17"/>
              </w:rPr>
              <w:t>Total Spend</w:t>
            </w:r>
          </w:p>
        </w:tc>
        <w:tc>
          <w:tcPr>
            <w:tcW w:type="dxa" w:w="1337"/>
            <w:shd w:fill="0F172A"/>
          </w:tcPr>
          <w:p>
            <w:r>
              <w:rPr>
                <w:b/>
                <w:color w:val="FFFFFF"/>
                <w:sz w:val="17"/>
              </w:rPr>
              <w:t>Spend %</w:t>
            </w:r>
          </w:p>
        </w:tc>
        <w:tc>
          <w:tcPr>
            <w:tcW w:type="dxa" w:w="1337"/>
            <w:shd w:fill="0F172A"/>
          </w:tcPr>
          <w:p>
            <w:r>
              <w:rPr>
                <w:b/>
                <w:color w:val="FFFFFF"/>
                <w:sz w:val="17"/>
              </w:rPr>
              <w:t>Avg R (d)</w:t>
            </w:r>
          </w:p>
        </w:tc>
        <w:tc>
          <w:tcPr>
            <w:tcW w:type="dxa" w:w="1337"/>
            <w:shd w:fill="0F172A"/>
          </w:tcPr>
          <w:p>
            <w:r>
              <w:rPr>
                <w:b/>
                <w:color w:val="FFFFFF"/>
                <w:sz w:val="17"/>
              </w:rPr>
              <w:t>Avg F</w:t>
            </w:r>
          </w:p>
        </w:tc>
      </w:tr>
      <w:tr>
        <w:tc>
          <w:tcPr>
            <w:tcW w:type="dxa" w:w="1337"/>
            <w:shd w:fill="F8FAFC"/>
          </w:tcPr>
          <w:p>
            <w:r>
              <w:rPr>
                <w:sz w:val="17"/>
              </w:rPr>
              <w:t>Champions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148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27.4%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$47,250.31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72.5%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13.6d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18.4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sz w:val="17"/>
              </w:rPr>
              <w:t>Loyal Customers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95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17.6%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$6,346.33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9.7%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37.7d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3.8</w:t>
            </w:r>
          </w:p>
        </w:tc>
      </w:tr>
      <w:tr>
        <w:tc>
          <w:tcPr>
            <w:tcW w:type="dxa" w:w="1337"/>
            <w:shd w:fill="F8FAFC"/>
          </w:tcPr>
          <w:p>
            <w:r>
              <w:rPr>
                <w:sz w:val="17"/>
              </w:rPr>
              <w:t>Hibernating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116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21.5%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$3,745.34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5.8%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139.7d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1.9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sz w:val="17"/>
              </w:rPr>
              <w:t>Mid-Market Regulars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2.4%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$2,508.67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3.9%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44.5d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11.3</w:t>
            </w:r>
          </w:p>
        </w:tc>
      </w:tr>
      <w:tr>
        <w:tc>
          <w:tcPr>
            <w:tcW w:type="dxa" w:w="1337"/>
            <w:shd w:fill="F8FAFC"/>
          </w:tcPr>
          <w:p>
            <w:r>
              <w:rPr>
                <w:sz w:val="17"/>
              </w:rPr>
              <w:t>At Risk (High Value)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4.3%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$2,384.72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3.7%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92.8d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5.9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sz w:val="17"/>
              </w:rPr>
              <w:t>Lost / Inactive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77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14.3%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$1,255.78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1.9%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163.0d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1.0</w:t>
            </w:r>
          </w:p>
        </w:tc>
      </w:tr>
      <w:tr>
        <w:tc>
          <w:tcPr>
            <w:tcW w:type="dxa" w:w="1337"/>
            <w:shd w:fill="F8FAFC"/>
          </w:tcPr>
          <w:p>
            <w:r>
              <w:rPr>
                <w:sz w:val="17"/>
              </w:rPr>
              <w:t>Needs Attention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6.1%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$846.77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47.2d</w:t>
            </w:r>
          </w:p>
        </w:tc>
        <w:tc>
          <w:tcPr>
            <w:tcW w:type="dxa" w:w="1337"/>
            <w:shd w:fill="F8FAFC"/>
          </w:tcPr>
          <w:p>
            <w:r>
              <w:rPr>
                <w:sz w:val="17"/>
              </w:rPr>
              <w:t>1.5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sz w:val="17"/>
              </w:rPr>
              <w:t>Recent Converts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6.5%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$794.89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1.2%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15.9d</w:t>
            </w:r>
          </w:p>
        </w:tc>
        <w:tc>
          <w:tcPr>
            <w:tcW w:type="dxa" w:w="1337"/>
            <w:shd w:fill="FFFFFF"/>
          </w:tcPr>
          <w:p>
            <w:r>
              <w:rPr>
                <w:sz w:val="17"/>
              </w:rPr>
              <w:t>1.3</w:t>
            </w:r>
          </w:p>
        </w:tc>
      </w:tr>
    </w:tbl>
    <w:p>
      <w:pPr>
        <w:spacing w:before="160"/>
      </w:pP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8. Strategic CRM Action Playbooks</w:t>
      </w:r>
    </w:p>
    <w:p>
      <w:pPr>
        <w:spacing w:after="120" w:line="276" w:lineRule="auto"/>
      </w:pPr>
      <w:r>
        <w:rPr>
          <w:b/>
          <w:sz w:val="20"/>
        </w:rPr>
        <w:t xml:space="preserve">• Champions (72.5% Rev): </w:t>
      </w:r>
      <w:r>
        <w:rPr>
          <w:sz w:val="20"/>
        </w:rPr>
        <w:t>Deploy VIP concierge treatment, early product releases, and non-discount rewards (loyalty gifts). Do not over-discount, as this segment exhibits low price sensitivity.</w:t>
      </w:r>
    </w:p>
    <w:p>
      <w:pPr>
        <w:spacing w:after="120" w:line="276" w:lineRule="auto"/>
      </w:pPr>
      <w:r>
        <w:rPr>
          <w:b/>
          <w:sz w:val="20"/>
        </w:rPr>
        <w:t xml:space="preserve">• Loyal Customers (9.7% Rev): </w:t>
      </w:r>
      <w:r>
        <w:rPr>
          <w:sz w:val="20"/>
        </w:rPr>
        <w:t>Introduce category expansion programs, bundle recommendations, and threshold loyalty point boosters (e.g., 'Spend $50 to earn 2x points').</w:t>
      </w:r>
    </w:p>
    <w:p>
      <w:pPr>
        <w:spacing w:after="120" w:line="276" w:lineRule="auto"/>
      </w:pPr>
      <w:r>
        <w:rPr>
          <w:b/>
          <w:sz w:val="20"/>
        </w:rPr>
        <w:t xml:space="preserve">• At Risk - High Value ($2,384 exposed): </w:t>
      </w:r>
      <w:r>
        <w:rPr>
          <w:sz w:val="20"/>
        </w:rPr>
        <w:t>Urgent win-back required. Deploy personalized multi-channel outreach (SMS/email) with aggressive time-limited vouchers ($15 off $50) before permanent churn.</w:t>
      </w:r>
    </w:p>
    <w:p>
      <w:pPr>
        <w:spacing w:after="120" w:line="276" w:lineRule="auto"/>
      </w:pPr>
      <w:r>
        <w:rPr>
          <w:b/>
          <w:sz w:val="20"/>
        </w:rPr>
        <w:t xml:space="preserve">• Recent Converts / Promising: </w:t>
      </w:r>
      <w:r>
        <w:rPr>
          <w:sz w:val="20"/>
        </w:rPr>
        <w:t>Deploy automated onboarding drip campaigns. Provide an immediate 10% coupon valid for 7 days to incentivize second order conversion.</w:t>
      </w:r>
    </w:p>
    <w:p>
      <w:pPr>
        <w:spacing w:after="120" w:line="276" w:lineRule="auto"/>
      </w:pPr>
      <w:r>
        <w:rPr>
          <w:b/>
          <w:sz w:val="20"/>
        </w:rPr>
        <w:t xml:space="preserve">• Lost / Inactive: </w:t>
      </w:r>
      <w:r>
        <w:rPr>
          <w:sz w:val="20"/>
        </w:rPr>
        <w:t>Suppress completely from paid acquisition retargeting lists (Google Ads, Meta Ads) to eliminate budget waste. Retain only low-cost automated email cycles.</w:t>
      </w: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9. Executive BI Dashboard Architecture</w:t>
      </w:r>
    </w:p>
    <w:p>
      <w:pPr>
        <w:spacing w:after="120" w:line="276" w:lineRule="auto"/>
      </w:pPr>
      <w:r>
        <w:rPr>
          <w:sz w:val="20"/>
        </w:rPr>
        <w:t>To enable self-service exploration by marketing executives and commercial directors, the pipeline compiles a responsive executive web dashboard and exports clean star-schema datasets:</w:t>
      </w:r>
    </w:p>
    <w:p>
      <w:pPr>
        <w:spacing w:after="120" w:line="276" w:lineRule="auto"/>
      </w:pPr>
      <w:r>
        <w:rPr>
          <w:b/>
          <w:sz w:val="20"/>
        </w:rPr>
        <w:t xml:space="preserve">• Star-Schema Model: </w:t>
      </w:r>
      <w:r>
        <w:rPr>
          <w:sz w:val="20"/>
        </w:rPr>
        <w:t>DIM_CUSTOMER_RFM (CustomerID PK, Recency, Frequency, Monetary, AOV, R_Score, F_Score, M_Score, Business_Segment, Recommended_Action) joined to FACT_TRANSACTIONS (InvoiceNo, StockCode, Quantity, UnitPrice, LineItemTotal).</w:t>
      </w:r>
    </w:p>
    <w:p>
      <w:pPr>
        <w:spacing w:after="120" w:line="276" w:lineRule="auto"/>
      </w:pPr>
      <w:r>
        <w:rPr>
          <w:b/>
          <w:sz w:val="20"/>
        </w:rPr>
        <w:t xml:space="preserve">• Interactive Dashboard: </w:t>
      </w:r>
      <w:r>
        <w:rPr>
          <w:sz w:val="20"/>
        </w:rPr>
        <w:t>1920x1080 FHD executive layout featuring 6 KPI scorecards, segment donut composition, spatial migration scatterplot, K-Means diagnostics, and a searchable activation table.</w:t>
      </w:r>
    </w:p>
    <w:p>
      <w:pPr>
        <w:spacing w:before="280" w:after="80"/>
      </w:pPr>
      <w:r>
        <w:rPr>
          <w:rFonts w:ascii="Arial" w:hAnsi="Arial"/>
          <w:b/>
          <w:color w:val="4F46E5"/>
          <w:sz w:val="30"/>
        </w:rPr>
        <w:t>10. Conclusion &amp; Future Roadmap</w:t>
      </w:r>
    </w:p>
    <w:p>
      <w:pPr>
        <w:spacing w:after="120" w:line="276" w:lineRule="auto"/>
      </w:pPr>
      <w:r>
        <w:rPr>
          <w:sz w:val="20"/>
        </w:rPr>
        <w:t>This project establishes a verified, production-grade analytics framework that translates raw e-commerce logs into distinct, actionable customer segments. By pairing statistical outlier cleaning with both machine learning (K-Means) and rule-based quantile scoring, the organization gains clear operational visibility into revenue concentration and churn vulnerabilities.</w:t>
      </w:r>
    </w:p>
    <w:p>
      <w:pPr>
        <w:spacing w:after="120" w:line="276" w:lineRule="auto"/>
      </w:pPr>
      <w:r>
        <w:rPr>
          <w:b/>
          <w:sz w:val="20"/>
        </w:rPr>
        <w:t xml:space="preserve">• Probabilistic CLV Modeling: </w:t>
      </w:r>
      <w:r>
        <w:rPr>
          <w:sz w:val="20"/>
        </w:rPr>
        <w:t>Integrating Buy 'Til You Die (BTYD) probabilistic models (BG/NBD and Gamma-Gamma) to predict individual customer transaction probabilities and forward-looking 12-month expected monetary value.</w:t>
      </w:r>
    </w:p>
    <w:p>
      <w:pPr>
        <w:spacing w:after="120" w:line="276" w:lineRule="auto"/>
      </w:pPr>
      <w:r>
        <w:rPr>
          <w:b/>
          <w:sz w:val="20"/>
        </w:rPr>
        <w:t xml:space="preserve">• Automated Event-Driven Webhooks: </w:t>
      </w:r>
      <w:r>
        <w:rPr>
          <w:sz w:val="20"/>
        </w:rPr>
        <w:t>Triggering automated webhook payloads into CRM platforms (Klaviyo, Braze, Salesforce) based on daily cohort transitions.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