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jc w:val="center"/>
      </w:pPr>
      <w:r>
        <w:drawing>
          <wp:inline xmlns:a="http://schemas.openxmlformats.org/drawingml/2006/main" xmlns:pic="http://schemas.openxmlformats.org/drawingml/2006/picture">
            <wp:extent cx="4937760" cy="860581"/>
            <wp:docPr id="1" name="Picture 1"/>
            <wp:cNvGraphicFramePr>
              <a:graphicFrameLocks noChangeAspect="1"/>
            </wp:cNvGraphicFramePr>
            <a:graphic>
              <a:graphicData uri="http://schemas.openxmlformats.org/drawingml/2006/picture">
                <pic:pic>
                  <pic:nvPicPr>
                    <pic:cNvPr id="0" name="iar_banner_hd.png"/>
                    <pic:cNvPicPr/>
                  </pic:nvPicPr>
                  <pic:blipFill>
                    <a:blip r:embed="rId9"/>
                    <a:stretch>
                      <a:fillRect/>
                    </a:stretch>
                  </pic:blipFill>
                  <pic:spPr>
                    <a:xfrm>
                      <a:off x="0" y="0"/>
                      <a:ext cx="4937760" cy="860581"/>
                    </a:xfrm>
                    <a:prstGeom prst="rect"/>
                  </pic:spPr>
                </pic:pic>
              </a:graphicData>
            </a:graphic>
          </wp:inline>
        </w:drawing>
      </w:r>
    </w:p>
    <w:p>
      <w:pPr>
        <w:spacing w:after="40" w:before="0"/>
        <w:jc w:val="center"/>
      </w:pPr>
      <w:r>
        <w:rPr>
          <w:rFonts w:ascii="Times New Roman" w:hAnsi="Times New Roman"/>
          <w:b/>
          <w:color w:val="7A003C"/>
          <w:sz w:val="28"/>
        </w:rPr>
        <w:t>INSTITUTE OF ADVANCED RESEARCH (IAR)</w:t>
      </w:r>
    </w:p>
    <w:p>
      <w:pPr>
        <w:spacing w:after="60"/>
        <w:jc w:val="center"/>
      </w:pPr>
      <w:r>
        <w:rPr>
          <w:rFonts w:ascii="Times New Roman" w:hAnsi="Times New Roman"/>
          <w:i/>
          <w:color w:val="475569"/>
          <w:sz w:val="19"/>
        </w:rPr>
        <w:t>The University for Innovation | Gandhinagar, Gujarat</w:t>
      </w:r>
    </w:p>
    <w:p>
      <w:pPr>
        <w:spacing w:after="160"/>
        <w:jc w:val="center"/>
      </w:pPr>
      <w:r>
        <w:rPr>
          <w:rFonts w:ascii="Times New Roman" w:hAnsi="Times New Roman"/>
          <w:b/>
          <w:color w:val="1E1B4B"/>
          <w:sz w:val="22"/>
        </w:rPr>
        <w:t>B.Sc. in Artificial Intelligence &amp; Data Science | Semester V (5th Semester)</w:t>
        <w:br/>
        <w:t>Academic Session: 2026 – 2027</w:t>
      </w:r>
    </w:p>
    <w:p>
      <w:pPr>
        <w:spacing w:after="160"/>
        <w:jc w:val="center"/>
      </w:pPr>
      <w:r>
        <w:rPr>
          <w:rFonts w:ascii="Times New Roman" w:hAnsi="Times New Roman"/>
          <w:color w:val="7A003C"/>
          <w:sz w:val="18"/>
        </w:rPr>
        <w:t>━━━━━━━━━━━━━━━━━━━━━━━━━━━━━━━━━━━━━━━━━</w:t>
      </w:r>
    </w:p>
    <w:p>
      <w:pPr>
        <w:spacing w:after="80"/>
        <w:jc w:val="center"/>
      </w:pPr>
      <w:r>
        <w:rPr>
          <w:rFonts w:ascii="Times New Roman" w:hAnsi="Times New Roman"/>
          <w:b/>
          <w:color w:val="1E1B4B"/>
          <w:sz w:val="30"/>
        </w:rPr>
        <w:t>MAIN PROJECT REPORT</w:t>
        <w:br/>
        <w:t>CUSTOMER SEGMENTATION USING RFM ANALYSIS AND UNSUPERVISED MACHINE LEARNING FOR E-COMMERCE PLATFORMS</w:t>
      </w:r>
    </w:p>
    <w:p>
      <w:pPr>
        <w:spacing w:after="200"/>
        <w:jc w:val="center"/>
      </w:pPr>
      <w:r>
        <w:rPr>
          <w:rFonts w:ascii="Times New Roman" w:hAnsi="Times New Roman"/>
          <w:i/>
          <w:color w:val="0F172A"/>
          <w:sz w:val="19"/>
        </w:rPr>
        <w:t>A Comprehensive Step-by-Step Capstone Project Report Submitted in Partial Fulfillment of the Requirements</w:t>
        <w:br/>
        <w:t>for the Degree of Bachelor of Science in Artificial Intelligence &amp; Data Science</w:t>
      </w:r>
    </w:p>
    <w:tbl>
      <w:tblPr>
        <w:tblW w:type="auto" w:w="0"/>
        <w:jc w:val="center"/>
        <w:tblLook w:firstColumn="1" w:firstRow="1" w:lastColumn="0" w:lastRow="0" w:noHBand="0" w:noVBand="1" w:val="04A0"/>
      </w:tblPr>
      <w:tblGrid>
        <w:gridCol w:w="4716"/>
        <w:gridCol w:w="4716"/>
      </w:tblGrid>
      <w:tr>
        <w:tc>
          <w:tcPr>
            <w:tcW w:type="dxa" w:w="3168"/>
            <w:shd w:fill="F8FAFC"/>
            <w:tcMar>
              <w:top w:w="16" w:type="dxa"/>
              <w:bottom w:w="16" w:type="dxa"/>
              <w:left w:w="30" w:type="dxa"/>
              <w:right w:w="3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6"/>
              </w:rPr>
              <w:t>Assessment Milestone:</w:t>
            </w:r>
          </w:p>
        </w:tc>
        <w:tc>
          <w:tcPr>
            <w:tcW w:type="dxa" w:w="5616"/>
            <w:shd w:fill="FFFFFF"/>
            <w:tcMar>
              <w:top w:w="16" w:type="dxa"/>
              <w:bottom w:w="16" w:type="dxa"/>
              <w:left w:w="30" w:type="dxa"/>
              <w:right w:w="3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6"/>
              </w:rPr>
              <w:t>MAIN PROJECT REPORT SUBMISSION (FINAL EVALUATION)</w:t>
            </w:r>
          </w:p>
        </w:tc>
      </w:tr>
      <w:tr>
        <w:tc>
          <w:tcPr>
            <w:tcW w:type="dxa" w:w="3168"/>
            <w:shd w:fill="F8FAFC"/>
            <w:tcMar>
              <w:top w:w="16" w:type="dxa"/>
              <w:bottom w:w="16" w:type="dxa"/>
              <w:left w:w="30" w:type="dxa"/>
              <w:right w:w="3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6"/>
              </w:rPr>
              <w:t>Milestone Sub-Particulars:</w:t>
            </w:r>
          </w:p>
        </w:tc>
        <w:tc>
          <w:tcPr>
            <w:tcW w:type="dxa" w:w="5616"/>
            <w:shd w:fill="FFFFFF"/>
            <w:tcMar>
              <w:top w:w="16" w:type="dxa"/>
              <w:bottom w:w="16" w:type="dxa"/>
              <w:left w:w="30" w:type="dxa"/>
              <w:right w:w="3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6"/>
              </w:rPr>
              <w:t>Comprehensive Step-by-Step Spiral Binding Submission &amp; Final Semester End Examination (SEE)</w:t>
            </w:r>
          </w:p>
        </w:tc>
      </w:tr>
      <w:tr>
        <w:tc>
          <w:tcPr>
            <w:tcW w:type="dxa" w:w="3168"/>
            <w:shd w:fill="F8FAFC"/>
            <w:tcMar>
              <w:top w:w="16" w:type="dxa"/>
              <w:bottom w:w="16" w:type="dxa"/>
              <w:left w:w="30" w:type="dxa"/>
              <w:right w:w="3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6"/>
              </w:rPr>
              <w:t>Scheduled Milestone Dates:</w:t>
            </w:r>
          </w:p>
        </w:tc>
        <w:tc>
          <w:tcPr>
            <w:tcW w:type="dxa" w:w="5616"/>
            <w:shd w:fill="FFFFFF"/>
            <w:tcMar>
              <w:top w:w="16" w:type="dxa"/>
              <w:bottom w:w="16" w:type="dxa"/>
              <w:left w:w="30" w:type="dxa"/>
              <w:right w:w="3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6"/>
              </w:rPr>
              <w:t>Spiral Binding Submission: 06/11/2026 | Final SEE Examination: 18–20/11/2026</w:t>
            </w:r>
          </w:p>
        </w:tc>
      </w:tr>
      <w:tr>
        <w:tc>
          <w:tcPr>
            <w:tcW w:type="dxa" w:w="3168"/>
            <w:shd w:fill="F8FAFC"/>
            <w:tcMar>
              <w:top w:w="16" w:type="dxa"/>
              <w:bottom w:w="16" w:type="dxa"/>
              <w:left w:w="30" w:type="dxa"/>
              <w:right w:w="3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6"/>
              </w:rPr>
              <w:t>Curriculum Scope Completed:</w:t>
            </w:r>
          </w:p>
        </w:tc>
        <w:tc>
          <w:tcPr>
            <w:tcW w:type="dxa" w:w="5616"/>
            <w:shd w:fill="FFFFFF"/>
            <w:tcMar>
              <w:top w:w="16" w:type="dxa"/>
              <w:bottom w:w="16" w:type="dxa"/>
              <w:left w:w="30" w:type="dxa"/>
              <w:right w:w="3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6"/>
              </w:rPr>
              <w:t>Step-by-Step Project Execution (Chapters 1–6, Sections 1.1–6.1, Roman Pages I–IX &amp; Appendices)</w:t>
            </w:r>
          </w:p>
        </w:tc>
      </w:tr>
      <w:tr>
        <w:tc>
          <w:tcPr>
            <w:tcW w:type="dxa" w:w="3168"/>
            <w:shd w:fill="F8FAFC"/>
            <w:tcMar>
              <w:top w:w="16" w:type="dxa"/>
              <w:bottom w:w="16" w:type="dxa"/>
              <w:left w:w="30" w:type="dxa"/>
              <w:right w:w="3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6"/>
              </w:rPr>
              <w:t>Course &amp; Project Code:</w:t>
            </w:r>
          </w:p>
        </w:tc>
        <w:tc>
          <w:tcPr>
            <w:tcW w:type="dxa" w:w="5616"/>
            <w:shd w:fill="FFFFFF"/>
            <w:tcMar>
              <w:top w:w="16" w:type="dxa"/>
              <w:bottom w:w="16" w:type="dxa"/>
              <w:left w:w="30" w:type="dxa"/>
              <w:right w:w="3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6"/>
              </w:rPr>
              <w:t>Project - 1 (CE-502 / PRJ-701)</w:t>
            </w:r>
          </w:p>
        </w:tc>
      </w:tr>
      <w:tr>
        <w:tc>
          <w:tcPr>
            <w:tcW w:type="dxa" w:w="3168"/>
            <w:shd w:fill="F8FAFC"/>
            <w:tcMar>
              <w:top w:w="16" w:type="dxa"/>
              <w:bottom w:w="16" w:type="dxa"/>
              <w:left w:w="30" w:type="dxa"/>
              <w:right w:w="3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6"/>
              </w:rPr>
              <w:t>Total Marks Evaluated:</w:t>
            </w:r>
          </w:p>
        </w:tc>
        <w:tc>
          <w:tcPr>
            <w:tcW w:type="dxa" w:w="5616"/>
            <w:shd w:fill="FFFFFF"/>
            <w:tcMar>
              <w:top w:w="16" w:type="dxa"/>
              <w:bottom w:w="16" w:type="dxa"/>
              <w:left w:w="30" w:type="dxa"/>
              <w:right w:w="3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6"/>
              </w:rPr>
              <w:t>100 Marks (10 First + 20 Mid-Term + 10 Third + 10 Spiral + 50 Final SEE Exam)</w:t>
            </w:r>
          </w:p>
        </w:tc>
      </w:tr>
    </w:tbl>
    <w:p>
      <w:pPr>
        <w:spacing w:after="160"/>
      </w:pPr>
    </w:p>
    <w:tbl>
      <w:tblPr>
        <w:tblW w:type="auto" w:w="0"/>
        <w:jc w:val="center"/>
        <w:tblLook w:firstColumn="1" w:firstRow="1" w:lastColumn="0" w:lastRow="0" w:noHBand="0" w:noVBand="1" w:val="04A0"/>
      </w:tblPr>
      <w:tblGrid>
        <w:gridCol w:w="4716"/>
        <w:gridCol w:w="4716"/>
      </w:tblGrid>
      <w:tr>
        <w:tc>
          <w:tcPr>
            <w:tcW w:type="dxa" w:w="4392"/>
            <w:shd w:fill="F1F5F9"/>
            <w:tcMar>
              <w:top w:w="20" w:type="dxa"/>
              <w:bottom w:w="20" w:type="dxa"/>
              <w:left w:w="30" w:type="dxa"/>
              <w:right w:w="3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sz w:val="16"/>
              </w:rPr>
              <w:t>PROJECT CANDIDATE:</w:t>
              <w:br/>
              <w:t>Mr. Deep Koshiya</w:t>
              <w:br/>
              <w:t>B.Sc. in AI &amp; Data Science</w:t>
              <w:br/>
              <w:t>Semester: V (5th Semester)</w:t>
              <w:br/>
              <w:t>Enrollment ID: 2024-AIDS-042</w:t>
            </w:r>
          </w:p>
        </w:tc>
        <w:tc>
          <w:tcPr>
            <w:tcW w:type="dxa" w:w="4392"/>
            <w:shd w:fill="F1F5F9"/>
            <w:tcMar>
              <w:top w:w="20" w:type="dxa"/>
              <w:bottom w:w="20" w:type="dxa"/>
              <w:left w:w="30" w:type="dxa"/>
              <w:right w:w="3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sz w:val="16"/>
              </w:rPr>
              <w:t>ACADEMIC SUPERVISION &amp; APPROVAL:</w:t>
              <w:br/>
              <w:t>Assigned Project Supervisor &amp; Project Coordinator</w:t>
              <w:br/>
              <w:t>Head of the School</w:t>
              <w:br/>
              <w:t>Institute of Advanced Research (IAR), Gandhinagar</w:t>
            </w:r>
          </w:p>
        </w:tc>
      </w:tr>
      <w:tr>
        <w:tc>
          <w:tcPr>
            <w:tcW w:type="dxa" w:w="4392"/>
            <w:shd w:fill="FFFFFF"/>
            <w:tcMar>
              <w:top w:w="16" w:type="dxa"/>
              <w:bottom w:w="16" w:type="dxa"/>
              <w:left w:w="30" w:type="dxa"/>
              <w:right w:w="3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sz w:val="15"/>
              </w:rPr>
              <w:t>_________________________</w:t>
              <w:br/>
              <w:t>(Candidate Signature)</w:t>
            </w:r>
          </w:p>
        </w:tc>
        <w:tc>
          <w:tcPr>
            <w:tcW w:type="dxa" w:w="4392"/>
            <w:shd w:fill="FFFFFF"/>
            <w:tcMar>
              <w:top w:w="16" w:type="dxa"/>
              <w:bottom w:w="16" w:type="dxa"/>
              <w:left w:w="30" w:type="dxa"/>
              <w:right w:w="3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sz w:val="15"/>
              </w:rPr>
              <w:t>_________________________</w:t>
              <w:br/>
              <w:t>(Supervisor &amp; Head Signature)</w:t>
            </w:r>
          </w:p>
        </w:tc>
      </w:tr>
    </w:tbl>
    <w:p>
      <w:r>
        <w:br w:type="page"/>
      </w:r>
    </w:p>
    <w:p>
      <w:pPr>
        <w:spacing w:before="0" w:after="20" w:line="276" w:lineRule="auto"/>
        <w:jc w:val="right"/>
      </w:pPr>
      <w:r>
        <w:rPr>
          <w:rFonts w:ascii="Times New Roman" w:hAnsi="Times New Roman"/>
          <w:i/>
          <w:color w:val="0F172A"/>
          <w:sz w:val="22"/>
        </w:rPr>
        <w:t>Page I</w:t>
      </w:r>
    </w:p>
    <w:p>
      <w:pPr>
        <w:keepNext/>
        <w:spacing w:before="40" w:after="60"/>
        <w:jc w:val="left"/>
      </w:pPr>
      <w:r>
        <w:rPr>
          <w:rFonts w:ascii="Times New Roman" w:hAnsi="Times New Roman"/>
          <w:b/>
          <w:color w:val="1E1B4B"/>
          <w:sz w:val="30"/>
        </w:rPr>
        <w:t>CERTIFICATE OF PROJECT COMPLETION &amp; RECOMMENDATION</w:t>
      </w:r>
    </w:p>
    <w:p>
      <w:pPr>
        <w:spacing w:before="0" w:after="70" w:line="276" w:lineRule="auto"/>
        <w:jc w:val="both"/>
      </w:pPr>
      <w:r>
        <w:rPr>
          <w:rFonts w:ascii="Times New Roman" w:hAnsi="Times New Roman"/>
          <w:i w:val="0"/>
          <w:color w:val="0F172A"/>
          <w:sz w:val="22"/>
        </w:rPr>
        <w:t>This is to certify that the project entitled "Customer Segmentation Using RFM Analysis and Unsupervised Machine Learning for E-Commerce Platforms" is a bonafide record of independent project work carried out by Mr. Deep Koshiya (B.Sc. in Artificial Intelligence &amp; Data Science, Semester V) under my direct academic supervision and guidance, in partial fulfillment of the requirements for the award of Bachelor of Science in Artificial Intelligence &amp; Data Science at the Institute of Advanced Research (IAR), Gandhinagar, during the academic session 2026 – 2027.</w:t>
      </w:r>
    </w:p>
    <w:p>
      <w:pPr>
        <w:spacing w:before="0" w:after="70" w:line="276" w:lineRule="auto"/>
        <w:jc w:val="both"/>
      </w:pPr>
      <w:r>
        <w:rPr>
          <w:rFonts w:ascii="Times New Roman" w:hAnsi="Times New Roman"/>
          <w:i w:val="0"/>
          <w:color w:val="0F172A"/>
          <w:sz w:val="22"/>
        </w:rPr>
        <w:t>The project work has satisfied all prescribed curricular criteria according to the university syllabus for Project - 1 (CE-502 / PRJ-701). The candidate has successfully completed all evaluation milestones: First Progress Work (24/09/2026), Mid-Term Examination (13/10/2026), Third Progress Work (27/10/2026), and this comprehensive 40-page Main Project Report for Spiral Binding (06/11/2026).</w:t>
      </w:r>
    </w:p>
    <w:p>
      <w:pPr>
        <w:spacing w:before="0" w:after="70" w:line="276" w:lineRule="auto"/>
        <w:jc w:val="both"/>
      </w:pPr>
      <w:r>
        <w:rPr>
          <w:rFonts w:ascii="Times New Roman" w:hAnsi="Times New Roman"/>
          <w:i w:val="0"/>
          <w:color w:val="0F172A"/>
          <w:sz w:val="22"/>
        </w:rPr>
        <w:t>To the best of my knowledge, the matter embodied in this project report has not been submitted to any other University or Institution for the award of any degree or diploma. I hereby recommend this project report for formal acceptance and evaluation in the Final Semester End Examination (SEE) and Viva Voce.</w:t>
      </w:r>
    </w:p>
    <w:tbl>
      <w:tblPr>
        <w:tblW w:type="auto" w:w="0"/>
        <w:jc w:val="center"/>
        <w:tblLook w:firstColumn="1" w:firstRow="1" w:lastColumn="0" w:lastRow="0" w:noHBand="0" w:noVBand="1" w:val="04A0"/>
      </w:tblPr>
      <w:tblGrid>
        <w:gridCol w:w="3144"/>
        <w:gridCol w:w="3144"/>
        <w:gridCol w:w="3144"/>
      </w:tblGrid>
      <w:tr>
        <w:tc>
          <w:tcPr>
            <w:tcW w:type="dxa" w:w="2880"/>
            <w:shd w:fill="F8FAFC"/>
            <w:tcMar>
              <w:top w:w="20" w:type="dxa"/>
              <w:bottom w:w="20" w:type="dxa"/>
              <w:left w:w="18" w:type="dxa"/>
              <w:right w:w="18"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Mr. Deep Koshiya</w:t>
              <w:br/>
              <w:t>(Project Candidate)</w:t>
            </w:r>
          </w:p>
        </w:tc>
        <w:tc>
          <w:tcPr>
            <w:tcW w:type="dxa" w:w="3024"/>
            <w:shd w:fill="F8FAFC"/>
            <w:tcMar>
              <w:top w:w="20" w:type="dxa"/>
              <w:bottom w:w="20" w:type="dxa"/>
              <w:left w:w="18" w:type="dxa"/>
              <w:right w:w="18"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Internal Project Supervisor</w:t>
              <w:br/>
              <w:t>Institute of Advanced Research</w:t>
            </w:r>
          </w:p>
        </w:tc>
        <w:tc>
          <w:tcPr>
            <w:tcW w:type="dxa" w:w="2880"/>
            <w:shd w:fill="F8FAFC"/>
            <w:tcMar>
              <w:top w:w="20" w:type="dxa"/>
              <w:bottom w:w="20" w:type="dxa"/>
              <w:left w:w="18" w:type="dxa"/>
              <w:right w:w="18"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External Examiner / SEE</w:t>
              <w:br/>
              <w:t>University Evaluation Committee</w:t>
            </w:r>
          </w:p>
        </w:tc>
      </w:tr>
      <w:tr>
        <w:tc>
          <w:tcPr>
            <w:tcW w:type="dxa" w:w="2880"/>
            <w:shd w:fill="FFFFFF"/>
            <w:tcMar>
              <w:top w:w="20" w:type="dxa"/>
              <w:bottom w:w="20" w:type="dxa"/>
              <w:left w:w="18" w:type="dxa"/>
              <w:right w:w="18"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Date: 06/11/2026</w:t>
              <w:br/>
              <w:t>Place: Gandhinagar</w:t>
            </w:r>
          </w:p>
        </w:tc>
        <w:tc>
          <w:tcPr>
            <w:tcW w:type="dxa" w:w="3024"/>
            <w:shd w:fill="FFFFFF"/>
            <w:tcMar>
              <w:top w:w="20" w:type="dxa"/>
              <w:bottom w:w="20" w:type="dxa"/>
              <w:left w:w="18" w:type="dxa"/>
              <w:right w:w="18"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Date: 06/11/2026</w:t>
              <w:br/>
              <w:t>Place: Gandhinagar</w:t>
            </w:r>
          </w:p>
        </w:tc>
        <w:tc>
          <w:tcPr>
            <w:tcW w:type="dxa" w:w="2880"/>
            <w:shd w:fill="FFFFFF"/>
            <w:tcMar>
              <w:top w:w="20" w:type="dxa"/>
              <w:bottom w:w="20" w:type="dxa"/>
              <w:left w:w="18" w:type="dxa"/>
              <w:right w:w="18"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Date: ___/11/2026</w:t>
              <w:br/>
              <w:t>Place: Gandhinagar</w:t>
            </w:r>
          </w:p>
        </w:tc>
      </w:tr>
    </w:tbl>
    <w:p>
      <w:pPr>
        <w:spacing w:before="200" w:after="40"/>
        <w:jc w:val="center"/>
      </w:pPr>
      <w:r>
        <w:rPr>
          <w:rFonts w:ascii="Times New Roman" w:hAnsi="Times New Roman"/>
          <w:b/>
          <w:color w:val="1E1B4B"/>
          <w:sz w:val="17"/>
        </w:rPr>
        <w:t>ENDORSED &amp; COUNTERSIGNED BY:</w:t>
        <w:br/>
        <w:br/>
        <w:t>_____________________________________________</w:t>
        <w:br/>
        <w:t>Head of the School / Institutional Project Coordinator</w:t>
        <w:br/>
        <w:t>Institute of Advanced Research (IAR), Gandhinagar</w:t>
      </w:r>
    </w:p>
    <w:p>
      <w:r>
        <w:br w:type="page"/>
      </w:r>
    </w:p>
    <w:p>
      <w:pPr>
        <w:spacing w:before="0" w:after="20" w:line="276" w:lineRule="auto"/>
        <w:jc w:val="right"/>
      </w:pPr>
      <w:r>
        <w:rPr>
          <w:rFonts w:ascii="Times New Roman" w:hAnsi="Times New Roman"/>
          <w:i/>
          <w:color w:val="0F172A"/>
          <w:sz w:val="22"/>
        </w:rPr>
        <w:t>Page II</w:t>
      </w:r>
    </w:p>
    <w:p>
      <w:pPr>
        <w:keepNext/>
        <w:spacing w:before="40" w:after="60"/>
        <w:jc w:val="left"/>
      </w:pPr>
      <w:r>
        <w:rPr>
          <w:rFonts w:ascii="Times New Roman" w:hAnsi="Times New Roman"/>
          <w:b/>
          <w:color w:val="1E1B4B"/>
          <w:sz w:val="30"/>
        </w:rPr>
        <w:t>ACADEMIC INTEGRITY &amp; PLAGIARISM DECLARATION</w:t>
      </w:r>
    </w:p>
    <w:p>
      <w:pPr>
        <w:spacing w:before="0" w:after="70" w:line="276" w:lineRule="auto"/>
        <w:jc w:val="both"/>
      </w:pPr>
      <w:r>
        <w:rPr>
          <w:rFonts w:ascii="Times New Roman" w:hAnsi="Times New Roman"/>
          <w:i w:val="0"/>
          <w:color w:val="0F172A"/>
          <w:sz w:val="22"/>
        </w:rPr>
        <w:t>I, Mr. Deep Koshiya, student of Bachelor of Science in Artificial Intelligence &amp; Data Science, Semester V, at Institute of Advanced Research (IAR), Gandhinagar, hereby solemnly declare that the project report entitled "Customer Segmentation Using RFM Analysis and Unsupervised Machine Learning for E-Commerce Platforms" submitted for the course Project - 1 (CE-502 / PRJ-701) is my own original work.</w:t>
      </w:r>
    </w:p>
    <w:p>
      <w:pPr>
        <w:spacing w:before="0" w:after="70" w:line="276" w:lineRule="auto"/>
        <w:jc w:val="both"/>
      </w:pPr>
      <w:r>
        <w:rPr>
          <w:rFonts w:ascii="Times New Roman" w:hAnsi="Times New Roman"/>
          <w:b/>
          <w:color w:val="0F172A"/>
          <w:sz w:val="22"/>
        </w:rPr>
        <w:t xml:space="preserve">Specific Declarations: </w:t>
      </w:r>
      <w:r>
        <w:rPr>
          <w:rFonts w:ascii="Times New Roman" w:hAnsi="Times New Roman"/>
          <w:i w:val="0"/>
          <w:color w:val="0F172A"/>
          <w:sz w:val="22"/>
        </w:rPr>
        <w:t>I confirm that:</w:t>
      </w:r>
    </w:p>
    <w:p>
      <w:pPr>
        <w:spacing w:before="20" w:after="60" w:line="276" w:lineRule="auto"/>
        <w:jc w:val="both"/>
      </w:pPr>
      <w:r>
        <w:rPr>
          <w:rFonts w:ascii="Times New Roman" w:hAnsi="Times New Roman"/>
          <w:i w:val="0"/>
          <w:color w:val="0F172A"/>
          <w:sz w:val="22"/>
        </w:rPr>
        <w:t>1. All analytical methodologies, code algorithms, machine learning pipelines, and interactive dashboard interfaces presented in this report were developed independently by me under the supervision of my faculty guide.</w:t>
      </w:r>
    </w:p>
    <w:p>
      <w:pPr>
        <w:spacing w:before="20" w:after="60" w:line="276" w:lineRule="auto"/>
        <w:jc w:val="both"/>
      </w:pPr>
      <w:r>
        <w:rPr>
          <w:rFonts w:ascii="Times New Roman" w:hAnsi="Times New Roman"/>
          <w:i w:val="0"/>
          <w:color w:val="0F172A"/>
          <w:sz w:val="22"/>
        </w:rPr>
        <w:t>2. All literature, data sources, theoretical models, and software libraries (NumPy, Pandas, Scikit-Learn, Streamlit, Cryptography, Argon2-cffi) utilized have been duly cited and referenced in Chapter 6 according to IEEE academic conventions.</w:t>
      </w:r>
    </w:p>
    <w:p>
      <w:pPr>
        <w:spacing w:before="20" w:after="60" w:line="276" w:lineRule="auto"/>
        <w:jc w:val="both"/>
      </w:pPr>
      <w:r>
        <w:rPr>
          <w:rFonts w:ascii="Times New Roman" w:hAnsi="Times New Roman"/>
          <w:i w:val="0"/>
          <w:color w:val="0F172A"/>
          <w:sz w:val="22"/>
        </w:rPr>
        <w:t>3. The complete source code repository, dataset schemas, test suites, and project documentation have been publicly archived on GitHub at: https://github.com/Deep-k-coder/ecommerce-rfm-analytics.</w:t>
      </w:r>
    </w:p>
    <w:p>
      <w:pPr>
        <w:spacing w:before="20" w:after="60" w:line="276" w:lineRule="auto"/>
        <w:jc w:val="both"/>
      </w:pPr>
      <w:r>
        <w:rPr>
          <w:rFonts w:ascii="Times New Roman" w:hAnsi="Times New Roman"/>
          <w:i w:val="0"/>
          <w:color w:val="0F172A"/>
          <w:sz w:val="22"/>
        </w:rPr>
        <w:t>4. This work does not violate any intellectual property rights, data privacy regulations, or academic honesty standards prescribed by the Institute of Advanced Research (IAR).</w:t>
      </w:r>
    </w:p>
    <w:p>
      <w:pPr>
        <w:spacing w:before="20" w:after="60" w:line="276" w:lineRule="auto"/>
        <w:jc w:val="both"/>
      </w:pPr>
      <w:r>
        <w:rPr>
          <w:rFonts w:ascii="Times New Roman" w:hAnsi="Times New Roman"/>
          <w:i w:val="0"/>
          <w:color w:val="0F172A"/>
          <w:sz w:val="22"/>
        </w:rPr>
        <w:t>5. I understand that any willful misrepresentation, unauthorized plagiarism, or academic misconduct will result in severe disciplinary action and forfeiture of course credit.</w:t>
      </w:r>
    </w:p>
    <w:p>
      <w:pPr>
        <w:spacing w:before="240"/>
        <w:jc w:val="right"/>
      </w:pPr>
      <w:r>
        <w:rPr>
          <w:rFonts w:ascii="Times New Roman" w:hAnsi="Times New Roman"/>
          <w:b/>
          <w:color w:val="0F172A"/>
          <w:sz w:val="18"/>
        </w:rPr>
        <w:t>_____________________________________</w:t>
        <w:br/>
        <w:t>Mr. Deep Koshiya</w:t>
        <w:br/>
        <w:t>B.Sc. in AI &amp; Data Science (Semester V)</w:t>
        <w:br/>
        <w:t>Date: 06/11/2026 | Place: Gandhinagar</w:t>
      </w:r>
    </w:p>
    <w:p>
      <w:r>
        <w:br w:type="page"/>
      </w:r>
    </w:p>
    <w:p>
      <w:pPr>
        <w:spacing w:before="0" w:after="20" w:line="276" w:lineRule="auto"/>
        <w:jc w:val="right"/>
      </w:pPr>
      <w:r>
        <w:rPr>
          <w:rFonts w:ascii="Times New Roman" w:hAnsi="Times New Roman"/>
          <w:i/>
          <w:color w:val="0F172A"/>
          <w:sz w:val="22"/>
        </w:rPr>
        <w:t>Page III</w:t>
      </w:r>
    </w:p>
    <w:p>
      <w:pPr>
        <w:keepNext/>
        <w:spacing w:before="40" w:after="60"/>
        <w:jc w:val="left"/>
      </w:pPr>
      <w:r>
        <w:rPr>
          <w:rFonts w:ascii="Times New Roman" w:hAnsi="Times New Roman"/>
          <w:b/>
          <w:color w:val="1E1B4B"/>
          <w:sz w:val="30"/>
        </w:rPr>
        <w:t>ACKNOWLEDGMENT</w:t>
      </w:r>
    </w:p>
    <w:p>
      <w:pPr>
        <w:spacing w:before="0" w:after="70" w:line="276" w:lineRule="auto"/>
        <w:jc w:val="both"/>
      </w:pPr>
      <w:r>
        <w:rPr>
          <w:rFonts w:ascii="Times New Roman" w:hAnsi="Times New Roman"/>
          <w:i w:val="0"/>
          <w:color w:val="0F172A"/>
          <w:sz w:val="22"/>
        </w:rPr>
        <w:t>The successful completion of this capstone project report and software engineering implementation marks a significant milestone in my academic development in Artificial Intelligence and Data Science. I take this opportunity to express my deepest gratitude to all individuals and institutions who contributed their guidance, expertise, and encouragement throughout this journey.</w:t>
      </w:r>
    </w:p>
    <w:p>
      <w:pPr>
        <w:spacing w:before="0" w:after="70" w:line="276" w:lineRule="auto"/>
        <w:jc w:val="both"/>
      </w:pPr>
      <w:r>
        <w:rPr>
          <w:rFonts w:ascii="Times New Roman" w:hAnsi="Times New Roman"/>
          <w:i w:val="0"/>
          <w:color w:val="0F172A"/>
          <w:sz w:val="22"/>
        </w:rPr>
        <w:t>First and foremost, I express my profound gratitude to my assigned internal project supervisor at the Institute of Advanced Research (IAR) for their steadfast technical mentorship, constructive evaluation feedback, and insightful recommendations across all four progress milestones. Their rigorous scrutiny elevated the scientific quality of our feature engineering, unsupervised clustering evaluation, and enterprise cybersecurity implementation.</w:t>
      </w:r>
    </w:p>
    <w:p>
      <w:pPr>
        <w:spacing w:before="0" w:after="70" w:line="276" w:lineRule="auto"/>
        <w:jc w:val="both"/>
      </w:pPr>
      <w:r>
        <w:rPr>
          <w:rFonts w:ascii="Times New Roman" w:hAnsi="Times New Roman"/>
          <w:i w:val="0"/>
          <w:color w:val="0F172A"/>
          <w:sz w:val="22"/>
        </w:rPr>
        <w:t>I extend my sincere appreciation to the Head of the School and the academic leadership of Institute of Advanced Research (IAR) for maintaining world-class computational infrastructure, high-performance computing labs, and an intellectually vibrant environment that encourages applied research and commercial software innovation.</w:t>
      </w:r>
    </w:p>
    <w:p>
      <w:pPr>
        <w:spacing w:before="0" w:after="70" w:line="276" w:lineRule="auto"/>
        <w:jc w:val="both"/>
      </w:pPr>
      <w:r>
        <w:rPr>
          <w:rFonts w:ascii="Times New Roman" w:hAnsi="Times New Roman"/>
          <w:i w:val="0"/>
          <w:color w:val="0F172A"/>
          <w:sz w:val="22"/>
        </w:rPr>
        <w:t>I am also deeply grateful to the open-source software community and the maintainers of Python, Scikit-Learn, Pandas, Streamlit, and Cryptography, whose robust foundational libraries made this end-to-end analytical architecture possible.</w:t>
      </w:r>
    </w:p>
    <w:p>
      <w:pPr>
        <w:spacing w:before="0" w:after="70" w:line="276" w:lineRule="auto"/>
        <w:jc w:val="both"/>
      </w:pPr>
      <w:r>
        <w:rPr>
          <w:rFonts w:ascii="Times New Roman" w:hAnsi="Times New Roman"/>
          <w:i w:val="0"/>
          <w:color w:val="0F172A"/>
          <w:sz w:val="22"/>
        </w:rPr>
        <w:t>Finally, I express my heartfelt gratitude to my family and peers for their continuous moral support, patience, and encouragement throughout the semester.</w:t>
      </w:r>
    </w:p>
    <w:p>
      <w:pPr>
        <w:spacing w:before="120" w:after="120" w:line="276" w:lineRule="auto"/>
        <w:jc w:val="right"/>
      </w:pPr>
      <w:r>
        <w:rPr>
          <w:rFonts w:ascii="Times New Roman" w:hAnsi="Times New Roman"/>
          <w:i/>
          <w:color w:val="0F172A"/>
          <w:sz w:val="22"/>
        </w:rPr>
        <w:t>Mr. Deep Koshiya | B.Sc. in AI &amp; Data Science (Semester V) | Date: 06/11/2026</w:t>
      </w:r>
    </w:p>
    <w:p>
      <w:r>
        <w:br w:type="page"/>
      </w:r>
    </w:p>
    <w:p>
      <w:pPr>
        <w:spacing w:before="0" w:after="20" w:line="276" w:lineRule="auto"/>
        <w:jc w:val="right"/>
      </w:pPr>
      <w:r>
        <w:rPr>
          <w:rFonts w:ascii="Times New Roman" w:hAnsi="Times New Roman"/>
          <w:i/>
          <w:color w:val="0F172A"/>
          <w:sz w:val="22"/>
        </w:rPr>
        <w:t>Page IV</w:t>
      </w:r>
    </w:p>
    <w:p>
      <w:pPr>
        <w:keepNext/>
        <w:spacing w:before="40" w:after="60"/>
        <w:jc w:val="left"/>
      </w:pPr>
      <w:r>
        <w:rPr>
          <w:rFonts w:ascii="Times New Roman" w:hAnsi="Times New Roman"/>
          <w:b/>
          <w:color w:val="1E1B4B"/>
          <w:sz w:val="30"/>
        </w:rPr>
        <w:t>EXECUTIVE ABSTRACT</w:t>
      </w:r>
    </w:p>
    <w:p>
      <w:pPr>
        <w:spacing w:before="0" w:after="70" w:line="276" w:lineRule="auto"/>
        <w:jc w:val="both"/>
      </w:pPr>
      <w:r>
        <w:rPr>
          <w:rFonts w:ascii="Times New Roman" w:hAnsi="Times New Roman"/>
          <w:i w:val="0"/>
          <w:color w:val="0F172A"/>
          <w:sz w:val="22"/>
        </w:rPr>
        <w:t>In modern multi-channel commercial e-commerce, treat-all-alike marketing strategies lead to severe customer churn, inflated Customer Acquisition Costs (CAC), and customer communication fatigue. The 'E-Commerce Customer Lifecycle &amp; RFM Segmentation Dashboard' resolves these commercial vulnerabilities through an end-to-end applied data analytics and unsupervised machine learning engineering system.</w:t>
      </w:r>
    </w:p>
    <w:p>
      <w:pPr>
        <w:spacing w:before="0" w:after="70" w:line="276" w:lineRule="auto"/>
        <w:jc w:val="both"/>
      </w:pPr>
      <w:r>
        <w:rPr>
          <w:rFonts w:ascii="Times New Roman" w:hAnsi="Times New Roman"/>
          <w:i w:val="0"/>
          <w:color w:val="0F172A"/>
          <w:sz w:val="22"/>
        </w:rPr>
        <w:t>The automated pipeline ingests raw transactional event logs, validates schema compliance, filters unauthenticated guest traffic, segregates reverse logistics (cancellations and credit returns) into an isolated audit ledger, and neutralizes extreme commercial spend skewness. A vectorized feature engineering engine computes customer-level Recency, Frequency, Monetary (RFM), and Average Order Value (AOV) metrics. Mathematical transformations—specifically logarithmic compression (log1p) and Z-score standardization—stabilize skewed distributions, enabling robust K-Means clustering initialized with the k-means++ seeding algorithm. Clustering quality is validated across cluster counts (k=2 to 8) using Within-Cluster Sum of Squares (Inertia Elbow method) and Silhouette Analysis (optimal Silhouette Score: 0.58 at k=4). Concurrently, a rule-based quantile engine maps accounts into eight distinct commercial personas ('Champions', 'Loyal Customers', 'Potential Loyalists', 'At Risk Whales', 'Hibernating', etc.).</w:t>
      </w:r>
    </w:p>
    <w:p>
      <w:pPr>
        <w:spacing w:before="0" w:after="70" w:line="276" w:lineRule="auto"/>
        <w:jc w:val="both"/>
      </w:pPr>
      <w:r>
        <w:rPr>
          <w:rFonts w:ascii="Times New Roman" w:hAnsi="Times New Roman"/>
          <w:i w:val="0"/>
          <w:color w:val="0F172A"/>
          <w:sz w:val="22"/>
        </w:rPr>
        <w:t>This 40-page Main Project report documents the complete step-by-step project implementation for Spiral Binding submission (06/11/2026, 10 Marks) and Final Semester End Examination (SEE, 18–20/11/2026, 50 Marks). It covers complete Level 0–2 Data Flow Diagrams (DFDs), UML Use Case, Class, and Sequence models, a star-schema Data Dictionary, production sample coding, enterprise security tasks (AES-256-GCM encryption, Argon2id password hashing, Role-Based Access Control), execution navigation, commercial impact analysis (+28.4% retention lift, 3.8x ROAS), and future enhancements towards real-time Kafka/Flink streaming.</w:t>
      </w:r>
    </w:p>
    <w:p>
      <w:pPr>
        <w:spacing w:before="0" w:after="70" w:line="276" w:lineRule="auto"/>
        <w:jc w:val="both"/>
      </w:pPr>
      <w:r>
        <w:rPr>
          <w:rFonts w:ascii="Times New Roman" w:hAnsi="Times New Roman"/>
          <w:b/>
          <w:color w:val="0F172A"/>
          <w:sz w:val="22"/>
        </w:rPr>
        <w:t xml:space="preserve">Keywords: </w:t>
      </w:r>
      <w:r>
        <w:rPr>
          <w:rFonts w:ascii="Times New Roman" w:hAnsi="Times New Roman"/>
          <w:i w:val="0"/>
          <w:color w:val="0F172A"/>
          <w:sz w:val="22"/>
        </w:rPr>
        <w:t>Customer Segmentation, RFM Analysis, K-Means Clustering, Unsupervised Machine Learning, Customer Lifetime Value (CLV), Data Engineering, Streamlit Dashboard, AES-256 Encryption, OWASP Top 10, E-Commerce Analytics.</w:t>
      </w:r>
    </w:p>
    <w:p>
      <w:r>
        <w:br w:type="page"/>
      </w:r>
    </w:p>
    <w:p>
      <w:pPr>
        <w:spacing w:before="0" w:after="20" w:line="276" w:lineRule="auto"/>
        <w:jc w:val="right"/>
      </w:pPr>
      <w:r>
        <w:rPr>
          <w:rFonts w:ascii="Times New Roman" w:hAnsi="Times New Roman"/>
          <w:i/>
          <w:color w:val="0F172A"/>
          <w:sz w:val="22"/>
        </w:rPr>
        <w:t>Page V</w:t>
      </w:r>
    </w:p>
    <w:p>
      <w:pPr>
        <w:keepNext/>
        <w:spacing w:before="40" w:after="20"/>
        <w:jc w:val="left"/>
      </w:pPr>
      <w:r>
        <w:rPr>
          <w:rFonts w:ascii="Times New Roman" w:hAnsi="Times New Roman"/>
          <w:b/>
          <w:color w:val="1E1B4B"/>
          <w:sz w:val="30"/>
        </w:rPr>
        <w:t>INDEX OF THE PROJECT REPORT (TABLE OF CONTENTS)</w:t>
      </w:r>
    </w:p>
    <w:p>
      <w:pPr>
        <w:spacing w:before="0" w:after="60" w:line="276" w:lineRule="auto"/>
        <w:jc w:val="both"/>
      </w:pPr>
      <w:r>
        <w:rPr>
          <w:rFonts w:ascii="Times New Roman" w:hAnsi="Times New Roman"/>
          <w:i/>
          <w:color w:val="0F172A"/>
          <w:sz w:val="22"/>
        </w:rPr>
        <w:t>(Structured strictly according to University Syllabus Guidelines for B.Sc. AI and Data Science SEM V)</w:t>
      </w:r>
    </w:p>
    <w:tbl>
      <w:tblPr>
        <w:tblW w:type="auto" w:w="0"/>
        <w:jc w:val="center"/>
        <w:tblLook w:firstColumn="1" w:firstRow="1" w:lastColumn="0" w:lastRow="0" w:noHBand="0" w:noVBand="1" w:val="04A0"/>
      </w:tblPr>
      <w:tblGrid>
        <w:gridCol w:w="2358"/>
        <w:gridCol w:w="2358"/>
        <w:gridCol w:w="2358"/>
        <w:gridCol w:w="2358"/>
      </w:tblGrid>
      <w:tr>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SR.</w:t>
            </w:r>
          </w:p>
        </w:tc>
        <w:tc>
          <w:tcPr>
            <w:tcW w:type="dxa" w:w="403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CURRICULUM SECTION / TOPIC</w:t>
            </w:r>
          </w:p>
        </w:tc>
        <w:tc>
          <w:tcPr>
            <w:tcW w:type="dxa" w:w="158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SCHEDULE</w:t>
            </w:r>
          </w:p>
        </w:tc>
        <w:tc>
          <w:tcPr>
            <w:tcW w:type="dxa" w:w="230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STATUS &amp; PAGE</w:t>
            </w:r>
          </w:p>
        </w:tc>
      </w:tr>
      <w:tr>
        <w:tc>
          <w:tcPr>
            <w:tcW w:type="dxa" w:w="864"/>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w:t>
            </w:r>
          </w:p>
        </w:tc>
        <w:tc>
          <w:tcPr>
            <w:tcW w:type="dxa" w:w="4032"/>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Institutional Certificate of Completion &amp; Final SEE Approval</w:t>
            </w:r>
          </w:p>
        </w:tc>
        <w:tc>
          <w:tcPr>
            <w:tcW w:type="dxa" w:w="1584"/>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06/11/2026</w:t>
            </w:r>
          </w:p>
        </w:tc>
        <w:tc>
          <w:tcPr>
            <w:tcW w:type="dxa" w:w="2304"/>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 I [Completed]</w:t>
            </w:r>
          </w:p>
        </w:tc>
      </w:tr>
      <w:tr>
        <w:tc>
          <w:tcPr>
            <w:tcW w:type="dxa" w:w="864"/>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w:t>
            </w:r>
          </w:p>
        </w:tc>
        <w:tc>
          <w:tcPr>
            <w:tcW w:type="dxa" w:w="4032"/>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Academic Integrity &amp; Plagiarism Clearance Declaration</w:t>
            </w:r>
          </w:p>
        </w:tc>
        <w:tc>
          <w:tcPr>
            <w:tcW w:type="dxa" w:w="1584"/>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06/11/2026</w:t>
            </w:r>
          </w:p>
        </w:tc>
        <w:tc>
          <w:tcPr>
            <w:tcW w:type="dxa" w:w="2304"/>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 II [Completed]</w:t>
            </w:r>
          </w:p>
        </w:tc>
      </w:tr>
      <w:tr>
        <w:tc>
          <w:tcPr>
            <w:tcW w:type="dxa" w:w="864"/>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w:t>
            </w:r>
          </w:p>
        </w:tc>
        <w:tc>
          <w:tcPr>
            <w:tcW w:type="dxa" w:w="4032"/>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Acknowledgment</w:t>
            </w:r>
          </w:p>
        </w:tc>
        <w:tc>
          <w:tcPr>
            <w:tcW w:type="dxa" w:w="1584"/>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06/11/2026</w:t>
            </w:r>
          </w:p>
        </w:tc>
        <w:tc>
          <w:tcPr>
            <w:tcW w:type="dxa" w:w="2304"/>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 III [Completed]</w:t>
            </w:r>
          </w:p>
        </w:tc>
      </w:tr>
      <w:tr>
        <w:tc>
          <w:tcPr>
            <w:tcW w:type="dxa" w:w="864"/>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w:t>
            </w:r>
          </w:p>
        </w:tc>
        <w:tc>
          <w:tcPr>
            <w:tcW w:type="dxa" w:w="4032"/>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Executive Abstract &amp; Keywords</w:t>
            </w:r>
          </w:p>
        </w:tc>
        <w:tc>
          <w:tcPr>
            <w:tcW w:type="dxa" w:w="1584"/>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06/11/2026</w:t>
            </w:r>
          </w:p>
        </w:tc>
        <w:tc>
          <w:tcPr>
            <w:tcW w:type="dxa" w:w="2304"/>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 IV [Completed]</w:t>
            </w:r>
          </w:p>
        </w:tc>
      </w:tr>
      <w:tr>
        <w:tc>
          <w:tcPr>
            <w:tcW w:type="dxa" w:w="864"/>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w:t>
            </w:r>
          </w:p>
        </w:tc>
        <w:tc>
          <w:tcPr>
            <w:tcW w:type="dxa" w:w="4032"/>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Index of the Project Report &amp; Lists of Figures/Tables</w:t>
            </w:r>
          </w:p>
        </w:tc>
        <w:tc>
          <w:tcPr>
            <w:tcW w:type="dxa" w:w="1584"/>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06/11/2026</w:t>
            </w:r>
          </w:p>
        </w:tc>
        <w:tc>
          <w:tcPr>
            <w:tcW w:type="dxa" w:w="2304"/>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Pages V–IX [Completed]</w:t>
            </w:r>
          </w:p>
        </w:tc>
      </w:tr>
      <w:tr>
        <w:tc>
          <w:tcPr>
            <w:tcW w:type="dxa" w:w="86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1.1</w:t>
            </w:r>
          </w:p>
        </w:tc>
        <w:tc>
          <w:tcPr>
            <w:tcW w:type="dxa" w:w="4032"/>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Problem Definition &amp; Commercial Need Identification</w:t>
            </w:r>
          </w:p>
        </w:tc>
        <w:tc>
          <w:tcPr>
            <w:tcW w:type="dxa" w:w="158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24/09/2026</w:t>
            </w:r>
          </w:p>
        </w:tc>
        <w:tc>
          <w:tcPr>
            <w:tcW w:type="dxa" w:w="230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 1 [Completed]</w:t>
            </w:r>
          </w:p>
        </w:tc>
      </w:tr>
      <w:tr>
        <w:tc>
          <w:tcPr>
            <w:tcW w:type="dxa" w:w="86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1.2</w:t>
            </w:r>
          </w:p>
        </w:tc>
        <w:tc>
          <w:tcPr>
            <w:tcW w:type="dxa" w:w="4032"/>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Functional &amp; Non-Functional Requirement Specifications</w:t>
            </w:r>
          </w:p>
        </w:tc>
        <w:tc>
          <w:tcPr>
            <w:tcW w:type="dxa" w:w="158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24/09/2026</w:t>
            </w:r>
          </w:p>
        </w:tc>
        <w:tc>
          <w:tcPr>
            <w:tcW w:type="dxa" w:w="230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 2 [Completed]</w:t>
            </w:r>
          </w:p>
        </w:tc>
      </w:tr>
      <w:tr>
        <w:tc>
          <w:tcPr>
            <w:tcW w:type="dxa" w:w="86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1.3</w:t>
            </w:r>
          </w:p>
        </w:tc>
        <w:tc>
          <w:tcPr>
            <w:tcW w:type="dxa" w:w="4032"/>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Hardware, Software &amp; Environmental Specifications</w:t>
            </w:r>
          </w:p>
        </w:tc>
        <w:tc>
          <w:tcPr>
            <w:tcW w:type="dxa" w:w="158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24/09/2026</w:t>
            </w:r>
          </w:p>
        </w:tc>
        <w:tc>
          <w:tcPr>
            <w:tcW w:type="dxa" w:w="230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 3 [Completed]</w:t>
            </w:r>
          </w:p>
        </w:tc>
      </w:tr>
      <w:tr>
        <w:tc>
          <w:tcPr>
            <w:tcW w:type="dxa" w:w="86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1.4</w:t>
            </w:r>
          </w:p>
        </w:tc>
        <w:tc>
          <w:tcPr>
            <w:tcW w:type="dxa" w:w="4032"/>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Raw Transactional Dataset &amp; Exploratory Analysis</w:t>
            </w:r>
          </w:p>
        </w:tc>
        <w:tc>
          <w:tcPr>
            <w:tcW w:type="dxa" w:w="158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24/09/2026</w:t>
            </w:r>
          </w:p>
        </w:tc>
        <w:tc>
          <w:tcPr>
            <w:tcW w:type="dxa" w:w="230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 4 [Completed]</w:t>
            </w:r>
          </w:p>
        </w:tc>
      </w:tr>
      <w:tr>
        <w:tc>
          <w:tcPr>
            <w:tcW w:type="dxa" w:w="86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2.1</w:t>
            </w:r>
          </w:p>
        </w:tc>
        <w:tc>
          <w:tcPr>
            <w:tcW w:type="dxa" w:w="4032"/>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Data Flow Analysis: Level-0, Level-1 &amp; Level-2 DFDs</w:t>
            </w:r>
          </w:p>
        </w:tc>
        <w:tc>
          <w:tcPr>
            <w:tcW w:type="dxa" w:w="158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24/09/2026</w:t>
            </w:r>
          </w:p>
        </w:tc>
        <w:tc>
          <w:tcPr>
            <w:tcW w:type="dxa" w:w="230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Pages 5–7 [Completed]</w:t>
            </w:r>
          </w:p>
        </w:tc>
      </w:tr>
      <w:tr>
        <w:tc>
          <w:tcPr>
            <w:tcW w:type="dxa" w:w="86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2.2</w:t>
            </w:r>
          </w:p>
        </w:tc>
        <w:tc>
          <w:tcPr>
            <w:tcW w:type="dxa" w:w="4032"/>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Use Case Modeling &amp; Specification Matrix</w:t>
            </w:r>
          </w:p>
        </w:tc>
        <w:tc>
          <w:tcPr>
            <w:tcW w:type="dxa" w:w="158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24/09/2026</w:t>
            </w:r>
          </w:p>
        </w:tc>
        <w:tc>
          <w:tcPr>
            <w:tcW w:type="dxa" w:w="230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Pages 8–9 [Completed]</w:t>
            </w:r>
          </w:p>
        </w:tc>
      </w:tr>
    </w:tbl>
    <w:p>
      <w:r>
        <w:br w:type="page"/>
      </w:r>
    </w:p>
    <w:p>
      <w:pPr>
        <w:spacing w:before="0" w:after="20" w:line="276" w:lineRule="auto"/>
        <w:jc w:val="right"/>
      </w:pPr>
      <w:r>
        <w:rPr>
          <w:rFonts w:ascii="Times New Roman" w:hAnsi="Times New Roman"/>
          <w:i/>
          <w:color w:val="0F172A"/>
          <w:sz w:val="22"/>
        </w:rPr>
        <w:t>Page VI</w:t>
      </w:r>
    </w:p>
    <w:p>
      <w:pPr>
        <w:keepNext/>
        <w:spacing w:before="40" w:after="20"/>
        <w:jc w:val="left"/>
      </w:pPr>
      <w:r>
        <w:rPr>
          <w:rFonts w:ascii="Times New Roman" w:hAnsi="Times New Roman"/>
          <w:b/>
          <w:color w:val="1E1B4B"/>
          <w:sz w:val="30"/>
        </w:rPr>
        <w:t>INDEX OF THE PROJECT REPORT (CONTINUED)</w:t>
      </w:r>
    </w:p>
    <w:p>
      <w:pPr>
        <w:spacing w:before="0" w:after="60" w:line="276" w:lineRule="auto"/>
        <w:jc w:val="both"/>
      </w:pPr>
      <w:r>
        <w:rPr>
          <w:rFonts w:ascii="Times New Roman" w:hAnsi="Times New Roman"/>
          <w:i/>
          <w:color w:val="0F172A"/>
          <w:sz w:val="22"/>
        </w:rPr>
        <w:t>(Structured strictly according to University Syllabus Guidelines for B.Sc. AI and Data Science SEM V)</w:t>
      </w:r>
    </w:p>
    <w:tbl>
      <w:tblPr>
        <w:tblW w:type="auto" w:w="0"/>
        <w:jc w:val="center"/>
        <w:tblLook w:firstColumn="1" w:firstRow="1" w:lastColumn="0" w:lastRow="0" w:noHBand="0" w:noVBand="1" w:val="04A0"/>
      </w:tblPr>
      <w:tblGrid>
        <w:gridCol w:w="2358"/>
        <w:gridCol w:w="2358"/>
        <w:gridCol w:w="2358"/>
        <w:gridCol w:w="2358"/>
      </w:tblGrid>
      <w:tr>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SR.</w:t>
            </w:r>
          </w:p>
        </w:tc>
        <w:tc>
          <w:tcPr>
            <w:tcW w:type="dxa" w:w="403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CURRICULUM SECTION / TOPIC</w:t>
            </w:r>
          </w:p>
        </w:tc>
        <w:tc>
          <w:tcPr>
            <w:tcW w:type="dxa" w:w="158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SCHEDULE</w:t>
            </w:r>
          </w:p>
        </w:tc>
        <w:tc>
          <w:tcPr>
            <w:tcW w:type="dxa" w:w="230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STATUS &amp; PAGE</w:t>
            </w:r>
          </w:p>
        </w:tc>
      </w:tr>
      <w:tr>
        <w:tc>
          <w:tcPr>
            <w:tcW w:type="dxa" w:w="86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2.3</w:t>
            </w:r>
          </w:p>
        </w:tc>
        <w:tc>
          <w:tcPr>
            <w:tcW w:type="dxa" w:w="4032"/>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UML Class Architecture &amp; Design Pattern Contracts</w:t>
            </w:r>
          </w:p>
        </w:tc>
        <w:tc>
          <w:tcPr>
            <w:tcW w:type="dxa" w:w="158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13/10/2026</w:t>
            </w:r>
          </w:p>
        </w:tc>
        <w:tc>
          <w:tcPr>
            <w:tcW w:type="dxa" w:w="230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Pages 10–11 [Completed]</w:t>
            </w:r>
          </w:p>
        </w:tc>
      </w:tr>
      <w:tr>
        <w:tc>
          <w:tcPr>
            <w:tcW w:type="dxa" w:w="86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2.4</w:t>
            </w:r>
          </w:p>
        </w:tc>
        <w:tc>
          <w:tcPr>
            <w:tcW w:type="dxa" w:w="4032"/>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UML Sequence Diagrams for Data Pipelines</w:t>
            </w:r>
          </w:p>
        </w:tc>
        <w:tc>
          <w:tcPr>
            <w:tcW w:type="dxa" w:w="158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13/10/2026</w:t>
            </w:r>
          </w:p>
        </w:tc>
        <w:tc>
          <w:tcPr>
            <w:tcW w:type="dxa" w:w="230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 12 [Completed]</w:t>
            </w:r>
          </w:p>
        </w:tc>
      </w:tr>
      <w:tr>
        <w:tc>
          <w:tcPr>
            <w:tcW w:type="dxa" w:w="86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3.1</w:t>
            </w:r>
          </w:p>
        </w:tc>
        <w:tc>
          <w:tcPr>
            <w:tcW w:type="dxa" w:w="4032"/>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Star-Schema Data Dictionary (Fact &amp; Dim Schemas)</w:t>
            </w:r>
          </w:p>
        </w:tc>
        <w:tc>
          <w:tcPr>
            <w:tcW w:type="dxa" w:w="158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13/10/2026</w:t>
            </w:r>
          </w:p>
        </w:tc>
        <w:tc>
          <w:tcPr>
            <w:tcW w:type="dxa" w:w="230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Pages 13–15 [Completed]</w:t>
            </w:r>
          </w:p>
        </w:tc>
      </w:tr>
      <w:tr>
        <w:tc>
          <w:tcPr>
            <w:tcW w:type="dxa" w:w="86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3.2–3.3</w:t>
            </w:r>
          </w:p>
        </w:tc>
        <w:tc>
          <w:tcPr>
            <w:tcW w:type="dxa" w:w="4032"/>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COCOMO II Estimation &amp; Milestone Project Schedule</w:t>
            </w:r>
          </w:p>
        </w:tc>
        <w:tc>
          <w:tcPr>
            <w:tcW w:type="dxa" w:w="158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13/10/2026</w:t>
            </w:r>
          </w:p>
        </w:tc>
        <w:tc>
          <w:tcPr>
            <w:tcW w:type="dxa" w:w="230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Pages 16–17 [Completed]</w:t>
            </w:r>
          </w:p>
        </w:tc>
      </w:tr>
      <w:tr>
        <w:tc>
          <w:tcPr>
            <w:tcW w:type="dxa" w:w="86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4.1</w:t>
            </w:r>
          </w:p>
        </w:tc>
        <w:tc>
          <w:tcPr>
            <w:tcW w:type="dxa" w:w="4032"/>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Screen Layouts &amp; Operational Input Validation Matrix</w:t>
            </w:r>
          </w:p>
        </w:tc>
        <w:tc>
          <w:tcPr>
            <w:tcW w:type="dxa" w:w="158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13/10/2026</w:t>
            </w:r>
          </w:p>
        </w:tc>
        <w:tc>
          <w:tcPr>
            <w:tcW w:type="dxa" w:w="230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Pages 18–19 [Completed]</w:t>
            </w:r>
          </w:p>
        </w:tc>
      </w:tr>
      <w:tr>
        <w:tc>
          <w:tcPr>
            <w:tcW w:type="dxa" w:w="86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4.2</w:t>
            </w:r>
          </w:p>
        </w:tc>
        <w:tc>
          <w:tcPr>
            <w:tcW w:type="dxa" w:w="4032"/>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Sample Coding: Refinery, RFM, K-Means &amp; Quantiles</w:t>
            </w:r>
          </w:p>
        </w:tc>
        <w:tc>
          <w:tcPr>
            <w:tcW w:type="dxa" w:w="158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27/10/2026</w:t>
            </w:r>
          </w:p>
        </w:tc>
        <w:tc>
          <w:tcPr>
            <w:tcW w:type="dxa" w:w="230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Pages 20–23 [Completed]</w:t>
            </w:r>
          </w:p>
        </w:tc>
      </w:tr>
      <w:tr>
        <w:tc>
          <w:tcPr>
            <w:tcW w:type="dxa" w:w="86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4.2.3</w:t>
            </w:r>
          </w:p>
        </w:tc>
        <w:tc>
          <w:tcPr>
            <w:tcW w:type="dxa" w:w="4032"/>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Enterprise Security Implementation (AES-256 &amp; Argon2id)</w:t>
            </w:r>
          </w:p>
        </w:tc>
        <w:tc>
          <w:tcPr>
            <w:tcW w:type="dxa" w:w="158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27/10/2026</w:t>
            </w:r>
          </w:p>
        </w:tc>
        <w:tc>
          <w:tcPr>
            <w:tcW w:type="dxa" w:w="230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 24 [Completed]</w:t>
            </w:r>
          </w:p>
        </w:tc>
      </w:tr>
      <w:tr>
        <w:tc>
          <w:tcPr>
            <w:tcW w:type="dxa" w:w="86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4.3</w:t>
            </w:r>
          </w:p>
        </w:tc>
        <w:tc>
          <w:tcPr>
            <w:tcW w:type="dxa" w:w="4032"/>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Project Execution Pipeline &amp; User Navigation Journey</w:t>
            </w:r>
          </w:p>
        </w:tc>
        <w:tc>
          <w:tcPr>
            <w:tcW w:type="dxa" w:w="158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27/10/2026</w:t>
            </w:r>
          </w:p>
        </w:tc>
        <w:tc>
          <w:tcPr>
            <w:tcW w:type="dxa" w:w="230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Pages 25–26 [Completed]</w:t>
            </w:r>
          </w:p>
        </w:tc>
      </w:tr>
      <w:tr>
        <w:tc>
          <w:tcPr>
            <w:tcW w:type="dxa" w:w="86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5.1</w:t>
            </w:r>
          </w:p>
        </w:tc>
        <w:tc>
          <w:tcPr>
            <w:tcW w:type="dxa" w:w="4032"/>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Importance of Tasks, ROI Lift &amp; Strategic Playbook</w:t>
            </w:r>
          </w:p>
        </w:tc>
        <w:tc>
          <w:tcPr>
            <w:tcW w:type="dxa" w:w="158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27/10/2026</w:t>
            </w:r>
          </w:p>
        </w:tc>
        <w:tc>
          <w:tcPr>
            <w:tcW w:type="dxa" w:w="230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Pages 27–28 [Completed]</w:t>
            </w:r>
          </w:p>
        </w:tc>
      </w:tr>
      <w:tr>
        <w:tc>
          <w:tcPr>
            <w:tcW w:type="dxa" w:w="86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5.2</w:t>
            </w:r>
          </w:p>
        </w:tc>
        <w:tc>
          <w:tcPr>
            <w:tcW w:type="dxa" w:w="4032"/>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Future Enhancements: Streaming RFM &amp; Deep CLV</w:t>
            </w:r>
          </w:p>
        </w:tc>
        <w:tc>
          <w:tcPr>
            <w:tcW w:type="dxa" w:w="158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27/10/2026</w:t>
            </w:r>
          </w:p>
        </w:tc>
        <w:tc>
          <w:tcPr>
            <w:tcW w:type="dxa" w:w="230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 29 [Completed]</w:t>
            </w:r>
          </w:p>
        </w:tc>
      </w:tr>
      <w:tr>
        <w:tc>
          <w:tcPr>
            <w:tcW w:type="dxa" w:w="864"/>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6.1 &amp; App</w:t>
            </w:r>
          </w:p>
        </w:tc>
        <w:tc>
          <w:tcPr>
            <w:tcW w:type="dxa" w:w="4032"/>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Academic References (IEEE) &amp; 100 Marks Grade Sheet</w:t>
            </w:r>
          </w:p>
        </w:tc>
        <w:tc>
          <w:tcPr>
            <w:tcW w:type="dxa" w:w="1584"/>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06/11/2026</w:t>
            </w:r>
          </w:p>
        </w:tc>
        <w:tc>
          <w:tcPr>
            <w:tcW w:type="dxa" w:w="2304"/>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Page 30 [Final Deliverable]</w:t>
            </w:r>
          </w:p>
        </w:tc>
      </w:tr>
    </w:tbl>
    <w:p>
      <w:r>
        <w:br w:type="page"/>
      </w:r>
    </w:p>
    <w:p>
      <w:pPr>
        <w:spacing w:before="0" w:after="20" w:line="276" w:lineRule="auto"/>
        <w:jc w:val="right"/>
      </w:pPr>
      <w:r>
        <w:rPr>
          <w:rFonts w:ascii="Times New Roman" w:hAnsi="Times New Roman"/>
          <w:i/>
          <w:color w:val="0F172A"/>
          <w:sz w:val="22"/>
        </w:rPr>
        <w:t>Page VII</w:t>
      </w:r>
    </w:p>
    <w:p>
      <w:pPr>
        <w:keepNext/>
        <w:spacing w:before="40" w:after="20"/>
        <w:jc w:val="left"/>
      </w:pPr>
      <w:r>
        <w:rPr>
          <w:rFonts w:ascii="Times New Roman" w:hAnsi="Times New Roman"/>
          <w:b/>
          <w:color w:val="1E1B4B"/>
          <w:sz w:val="30"/>
        </w:rPr>
        <w:t>LIST OF FIGURES</w:t>
      </w:r>
    </w:p>
    <w:tbl>
      <w:tblPr>
        <w:tblW w:type="auto" w:w="0"/>
        <w:jc w:val="center"/>
        <w:tblLook w:firstColumn="1" w:firstRow="1" w:lastColumn="0" w:lastRow="0" w:noHBand="0" w:noVBand="1" w:val="04A0"/>
      </w:tblPr>
      <w:tblGrid>
        <w:gridCol w:w="3144"/>
        <w:gridCol w:w="3144"/>
        <w:gridCol w:w="3144"/>
      </w:tblGrid>
      <w:tr>
        <w:tc>
          <w:tcPr>
            <w:tcW w:type="dxa" w:w="172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FIGURE NO.</w:t>
            </w:r>
          </w:p>
        </w:tc>
        <w:tc>
          <w:tcPr>
            <w:tcW w:type="dxa" w:w="561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FIGURE TITLE / DESCRIPTION</w:t>
            </w:r>
          </w:p>
        </w:tc>
        <w:tc>
          <w:tcPr>
            <w:tcW w:type="dxa" w:w="144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PAGE NO.</w:t>
            </w:r>
          </w:p>
        </w:tc>
      </w:tr>
      <w:tr>
        <w:tc>
          <w:tcPr>
            <w:tcW w:type="dxa" w:w="172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Figure 2.1</w:t>
            </w:r>
          </w:p>
        </w:tc>
        <w:tc>
          <w:tcPr>
            <w:tcW w:type="dxa" w:w="561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Context Level-0 Data Flow Diagram (Global System Perimeter)</w:t>
            </w:r>
          </w:p>
        </w:tc>
        <w:tc>
          <w:tcPr>
            <w:tcW w:type="dxa" w:w="1440"/>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5</w:t>
            </w:r>
          </w:p>
        </w:tc>
      </w:tr>
      <w:tr>
        <w:tc>
          <w:tcPr>
            <w:tcW w:type="dxa" w:w="172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Figure 2.2</w:t>
            </w:r>
          </w:p>
        </w:tc>
        <w:tc>
          <w:tcPr>
            <w:tcW w:type="dxa" w:w="5616"/>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Level-1 Subsystem Data Flow Diagram (ETL &amp; Analytics Modules)</w:t>
            </w:r>
          </w:p>
        </w:tc>
        <w:tc>
          <w:tcPr>
            <w:tcW w:type="dxa" w:w="1440"/>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6</w:t>
            </w:r>
          </w:p>
        </w:tc>
      </w:tr>
      <w:tr>
        <w:tc>
          <w:tcPr>
            <w:tcW w:type="dxa" w:w="172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Figure 2.3</w:t>
            </w:r>
          </w:p>
        </w:tc>
        <w:tc>
          <w:tcPr>
            <w:tcW w:type="dxa" w:w="561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Level-2 Detailed Data Flow Diagram (Refinery, Scaling &amp; Inference)</w:t>
            </w:r>
          </w:p>
        </w:tc>
        <w:tc>
          <w:tcPr>
            <w:tcW w:type="dxa" w:w="1440"/>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7</w:t>
            </w:r>
          </w:p>
        </w:tc>
      </w:tr>
      <w:tr>
        <w:tc>
          <w:tcPr>
            <w:tcW w:type="dxa" w:w="172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Figure 2.4</w:t>
            </w:r>
          </w:p>
        </w:tc>
        <w:tc>
          <w:tcPr>
            <w:tcW w:type="dxa" w:w="5616"/>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Comprehensive Use Case Model for Administrators &amp; Marketers</w:t>
            </w:r>
          </w:p>
        </w:tc>
        <w:tc>
          <w:tcPr>
            <w:tcW w:type="dxa" w:w="1440"/>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8</w:t>
            </w:r>
          </w:p>
        </w:tc>
      </w:tr>
      <w:tr>
        <w:tc>
          <w:tcPr>
            <w:tcW w:type="dxa" w:w="172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Figure 2.5</w:t>
            </w:r>
          </w:p>
        </w:tc>
        <w:tc>
          <w:tcPr>
            <w:tcW w:type="dxa" w:w="561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UML Class Diagram: Object-Oriented Entities &amp; Method Contracts</w:t>
            </w:r>
          </w:p>
        </w:tc>
        <w:tc>
          <w:tcPr>
            <w:tcW w:type="dxa" w:w="1440"/>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10</w:t>
            </w:r>
          </w:p>
        </w:tc>
      </w:tr>
      <w:tr>
        <w:tc>
          <w:tcPr>
            <w:tcW w:type="dxa" w:w="172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Figure 2.6</w:t>
            </w:r>
          </w:p>
        </w:tc>
        <w:tc>
          <w:tcPr>
            <w:tcW w:type="dxa" w:w="5616"/>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UML Sequence Diagram: Transaction Ingestion &amp; Preprocessing</w:t>
            </w:r>
          </w:p>
        </w:tc>
        <w:tc>
          <w:tcPr>
            <w:tcW w:type="dxa" w:w="1440"/>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12</w:t>
            </w:r>
          </w:p>
        </w:tc>
      </w:tr>
      <w:tr>
        <w:tc>
          <w:tcPr>
            <w:tcW w:type="dxa" w:w="172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Figure 2.7</w:t>
            </w:r>
          </w:p>
        </w:tc>
        <w:tc>
          <w:tcPr>
            <w:tcW w:type="dxa" w:w="561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UML Sequence Diagram: RFM Feature Engineering &amp; Clustering</w:t>
            </w:r>
          </w:p>
        </w:tc>
        <w:tc>
          <w:tcPr>
            <w:tcW w:type="dxa" w:w="1440"/>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12</w:t>
            </w:r>
          </w:p>
        </w:tc>
      </w:tr>
      <w:tr>
        <w:tc>
          <w:tcPr>
            <w:tcW w:type="dxa" w:w="172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Figure 4.1</w:t>
            </w:r>
          </w:p>
        </w:tc>
        <w:tc>
          <w:tcPr>
            <w:tcW w:type="dxa" w:w="5616"/>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Multi-View Interactive Dashboard Workstation Screen Layouts</w:t>
            </w:r>
          </w:p>
        </w:tc>
        <w:tc>
          <w:tcPr>
            <w:tcW w:type="dxa" w:w="1440"/>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18</w:t>
            </w:r>
          </w:p>
        </w:tc>
      </w:tr>
      <w:tr>
        <w:tc>
          <w:tcPr>
            <w:tcW w:type="dxa" w:w="172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Figure 4.2</w:t>
            </w:r>
          </w:p>
        </w:tc>
        <w:tc>
          <w:tcPr>
            <w:tcW w:type="dxa" w:w="561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K-Means Diagnostics: Inertia Elbow Curve &amp; Silhouette Analysis</w:t>
            </w:r>
          </w:p>
        </w:tc>
        <w:tc>
          <w:tcPr>
            <w:tcW w:type="dxa" w:w="1440"/>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22</w:t>
            </w:r>
          </w:p>
        </w:tc>
      </w:tr>
      <w:tr>
        <w:tc>
          <w:tcPr>
            <w:tcW w:type="dxa" w:w="172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Figure 5.1</w:t>
            </w:r>
          </w:p>
        </w:tc>
        <w:tc>
          <w:tcPr>
            <w:tcW w:type="dxa" w:w="5616"/>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Empirical Customer Distribution vs. Disproportionate Revenue Share</w:t>
            </w:r>
          </w:p>
        </w:tc>
        <w:tc>
          <w:tcPr>
            <w:tcW w:type="dxa" w:w="1440"/>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27</w:t>
            </w:r>
          </w:p>
        </w:tc>
      </w:tr>
      <w:tr>
        <w:tc>
          <w:tcPr>
            <w:tcW w:type="dxa" w:w="172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Figure 5.2</w:t>
            </w:r>
          </w:p>
        </w:tc>
        <w:tc>
          <w:tcPr>
            <w:tcW w:type="dxa" w:w="561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Spatial 3D Behavioral Customer Clusters (Log-RFM Metric Space)</w:t>
            </w:r>
          </w:p>
        </w:tc>
        <w:tc>
          <w:tcPr>
            <w:tcW w:type="dxa" w:w="1440"/>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27</w:t>
            </w:r>
          </w:p>
        </w:tc>
      </w:tr>
    </w:tbl>
    <w:p>
      <w:r>
        <w:br w:type="page"/>
      </w:r>
    </w:p>
    <w:p>
      <w:pPr>
        <w:spacing w:before="0" w:after="20" w:line="276" w:lineRule="auto"/>
        <w:jc w:val="right"/>
      </w:pPr>
      <w:r>
        <w:rPr>
          <w:rFonts w:ascii="Times New Roman" w:hAnsi="Times New Roman"/>
          <w:i/>
          <w:color w:val="0F172A"/>
          <w:sz w:val="22"/>
        </w:rPr>
        <w:t>Page VIII</w:t>
      </w:r>
    </w:p>
    <w:p>
      <w:pPr>
        <w:keepNext/>
        <w:spacing w:before="40" w:after="20"/>
        <w:jc w:val="left"/>
      </w:pPr>
      <w:r>
        <w:rPr>
          <w:rFonts w:ascii="Times New Roman" w:hAnsi="Times New Roman"/>
          <w:b/>
          <w:color w:val="1E1B4B"/>
          <w:sz w:val="30"/>
        </w:rPr>
        <w:t>LIST OF TABLES</w:t>
      </w:r>
    </w:p>
    <w:tbl>
      <w:tblPr>
        <w:tblW w:type="auto" w:w="0"/>
        <w:jc w:val="center"/>
        <w:tblLook w:firstColumn="1" w:firstRow="1" w:lastColumn="0" w:lastRow="0" w:noHBand="0" w:noVBand="1" w:val="04A0"/>
      </w:tblPr>
      <w:tblGrid>
        <w:gridCol w:w="3144"/>
        <w:gridCol w:w="3144"/>
        <w:gridCol w:w="3144"/>
      </w:tblGrid>
      <w:tr>
        <w:tc>
          <w:tcPr>
            <w:tcW w:type="dxa" w:w="172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TABLE NO.</w:t>
            </w:r>
          </w:p>
        </w:tc>
        <w:tc>
          <w:tcPr>
            <w:tcW w:type="dxa" w:w="561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TABLE TITLE / DESCRIPTION</w:t>
            </w:r>
          </w:p>
        </w:tc>
        <w:tc>
          <w:tcPr>
            <w:tcW w:type="dxa" w:w="144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PAGE NO.</w:t>
            </w:r>
          </w:p>
        </w:tc>
      </w:tr>
      <w:tr>
        <w:tc>
          <w:tcPr>
            <w:tcW w:type="dxa" w:w="172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Table 1.1</w:t>
            </w:r>
          </w:p>
        </w:tc>
        <w:tc>
          <w:tcPr>
            <w:tcW w:type="dxa" w:w="561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Functional and Non-Functional Requirements Specification Matrix</w:t>
            </w:r>
          </w:p>
        </w:tc>
        <w:tc>
          <w:tcPr>
            <w:tcW w:type="dxa" w:w="1440"/>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2</w:t>
            </w:r>
          </w:p>
        </w:tc>
      </w:tr>
      <w:tr>
        <w:tc>
          <w:tcPr>
            <w:tcW w:type="dxa" w:w="172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Table 1.2</w:t>
            </w:r>
          </w:p>
        </w:tc>
        <w:tc>
          <w:tcPr>
            <w:tcW w:type="dxa" w:w="5616"/>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Hardware, Software and Deployment Stack Environmental Parameters</w:t>
            </w:r>
          </w:p>
        </w:tc>
        <w:tc>
          <w:tcPr>
            <w:tcW w:type="dxa" w:w="1440"/>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3</w:t>
            </w:r>
          </w:p>
        </w:tc>
      </w:tr>
      <w:tr>
        <w:tc>
          <w:tcPr>
            <w:tcW w:type="dxa" w:w="172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Table 2.1</w:t>
            </w:r>
          </w:p>
        </w:tc>
        <w:tc>
          <w:tcPr>
            <w:tcW w:type="dxa" w:w="561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Formal Use Case Specification Matrix (Actors, Preconditions, Triggers)</w:t>
            </w:r>
          </w:p>
        </w:tc>
        <w:tc>
          <w:tcPr>
            <w:tcW w:type="dxa" w:w="1440"/>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9</w:t>
            </w:r>
          </w:p>
        </w:tc>
      </w:tr>
      <w:tr>
        <w:tc>
          <w:tcPr>
            <w:tcW w:type="dxa" w:w="172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Table 3.1</w:t>
            </w:r>
          </w:p>
        </w:tc>
        <w:tc>
          <w:tcPr>
            <w:tcW w:type="dxa" w:w="5616"/>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Data Dictionary: FactTransactions Table Physical Schema</w:t>
            </w:r>
          </w:p>
        </w:tc>
        <w:tc>
          <w:tcPr>
            <w:tcW w:type="dxa" w:w="1440"/>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14</w:t>
            </w:r>
          </w:p>
        </w:tc>
      </w:tr>
      <w:tr>
        <w:tc>
          <w:tcPr>
            <w:tcW w:type="dxa" w:w="172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Table 3.2</w:t>
            </w:r>
          </w:p>
        </w:tc>
        <w:tc>
          <w:tcPr>
            <w:tcW w:type="dxa" w:w="561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Data Dictionary: FactReversalsAudit Table Physical Schema</w:t>
            </w:r>
          </w:p>
        </w:tc>
        <w:tc>
          <w:tcPr>
            <w:tcW w:type="dxa" w:w="1440"/>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14</w:t>
            </w:r>
          </w:p>
        </w:tc>
      </w:tr>
      <w:tr>
        <w:tc>
          <w:tcPr>
            <w:tcW w:type="dxa" w:w="172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Table 3.3</w:t>
            </w:r>
          </w:p>
        </w:tc>
        <w:tc>
          <w:tcPr>
            <w:tcW w:type="dxa" w:w="5616"/>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Data Dictionary: DimCustomerRFM Table Physical Schema</w:t>
            </w:r>
          </w:p>
        </w:tc>
        <w:tc>
          <w:tcPr>
            <w:tcW w:type="dxa" w:w="1440"/>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15</w:t>
            </w:r>
          </w:p>
        </w:tc>
      </w:tr>
      <w:tr>
        <w:tc>
          <w:tcPr>
            <w:tcW w:type="dxa" w:w="172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Table 3.4</w:t>
            </w:r>
          </w:p>
        </w:tc>
        <w:tc>
          <w:tcPr>
            <w:tcW w:type="dxa" w:w="561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COCOMO II Cost Estimation &amp; Resource Planning Summary</w:t>
            </w:r>
          </w:p>
        </w:tc>
        <w:tc>
          <w:tcPr>
            <w:tcW w:type="dxa" w:w="1440"/>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16</w:t>
            </w:r>
          </w:p>
        </w:tc>
      </w:tr>
      <w:tr>
        <w:tc>
          <w:tcPr>
            <w:tcW w:type="dxa" w:w="172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Table 3.5</w:t>
            </w:r>
          </w:p>
        </w:tc>
        <w:tc>
          <w:tcPr>
            <w:tcW w:type="dxa" w:w="5616"/>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Capstone Project Work Breakdown Structure (WBS) &amp; Timeline</w:t>
            </w:r>
          </w:p>
        </w:tc>
        <w:tc>
          <w:tcPr>
            <w:tcW w:type="dxa" w:w="1440"/>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17</w:t>
            </w:r>
          </w:p>
        </w:tc>
      </w:tr>
      <w:tr>
        <w:tc>
          <w:tcPr>
            <w:tcW w:type="dxa" w:w="172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Table 4.1</w:t>
            </w:r>
          </w:p>
        </w:tc>
        <w:tc>
          <w:tcPr>
            <w:tcW w:type="dxa" w:w="561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Operational Input Validation Rules &amp; Cleansing Actions Matrix</w:t>
            </w:r>
          </w:p>
        </w:tc>
        <w:tc>
          <w:tcPr>
            <w:tcW w:type="dxa" w:w="1440"/>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19</w:t>
            </w:r>
          </w:p>
        </w:tc>
      </w:tr>
      <w:tr>
        <w:tc>
          <w:tcPr>
            <w:tcW w:type="dxa" w:w="172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Table 4.2</w:t>
            </w:r>
          </w:p>
        </w:tc>
        <w:tc>
          <w:tcPr>
            <w:tcW w:type="dxa" w:w="5616"/>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OWASP Top 10 Security Threats Mitigation Architecture</w:t>
            </w:r>
          </w:p>
        </w:tc>
        <w:tc>
          <w:tcPr>
            <w:tcW w:type="dxa" w:w="1440"/>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24</w:t>
            </w:r>
          </w:p>
        </w:tc>
      </w:tr>
      <w:tr>
        <w:tc>
          <w:tcPr>
            <w:tcW w:type="dxa" w:w="172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Table 5.1</w:t>
            </w:r>
          </w:p>
        </w:tc>
        <w:tc>
          <w:tcPr>
            <w:tcW w:type="dxa" w:w="561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Strategic Retention Playbook: Customer Cohort Action Matrix</w:t>
            </w:r>
          </w:p>
        </w:tc>
        <w:tc>
          <w:tcPr>
            <w:tcW w:type="dxa" w:w="1440"/>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Page 28</w:t>
            </w:r>
          </w:p>
        </w:tc>
      </w:tr>
    </w:tbl>
    <w:p>
      <w:r>
        <w:br w:type="page"/>
      </w:r>
    </w:p>
    <w:p>
      <w:pPr>
        <w:spacing w:before="0" w:after="20" w:line="276" w:lineRule="auto"/>
        <w:jc w:val="right"/>
      </w:pPr>
      <w:r>
        <w:rPr>
          <w:rFonts w:ascii="Times New Roman" w:hAnsi="Times New Roman"/>
          <w:i/>
          <w:color w:val="0F172A"/>
          <w:sz w:val="22"/>
        </w:rPr>
        <w:t>Page IX</w:t>
      </w:r>
    </w:p>
    <w:p>
      <w:pPr>
        <w:keepNext/>
        <w:spacing w:before="40" w:after="20"/>
        <w:jc w:val="left"/>
      </w:pPr>
      <w:r>
        <w:rPr>
          <w:rFonts w:ascii="Times New Roman" w:hAnsi="Times New Roman"/>
          <w:b/>
          <w:color w:val="1E1B4B"/>
          <w:sz w:val="30"/>
        </w:rPr>
        <w:t>LIST OF ABBREVIATIONS &amp; NOMENCLATURE</w:t>
      </w:r>
    </w:p>
    <w:tbl>
      <w:tblPr>
        <w:tblW w:type="auto" w:w="0"/>
        <w:jc w:val="center"/>
        <w:tblLook w:firstColumn="1" w:firstRow="1" w:lastColumn="0" w:lastRow="0" w:noHBand="0" w:noVBand="1" w:val="04A0"/>
      </w:tblPr>
      <w:tblGrid>
        <w:gridCol w:w="3144"/>
        <w:gridCol w:w="3144"/>
        <w:gridCol w:w="3144"/>
      </w:tblGrid>
      <w:tr>
        <w:tc>
          <w:tcPr>
            <w:tcW w:type="dxa" w:w="172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ABBREVIATION</w:t>
            </w:r>
          </w:p>
        </w:tc>
        <w:tc>
          <w:tcPr>
            <w:tcW w:type="dxa" w:w="388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EXPANDED FORM</w:t>
            </w:r>
          </w:p>
        </w:tc>
        <w:tc>
          <w:tcPr>
            <w:tcW w:type="dxa" w:w="316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DOMAIN CONTEXT</w:t>
            </w:r>
          </w:p>
        </w:tc>
      </w:tr>
      <w:tr>
        <w:tc>
          <w:tcPr>
            <w:tcW w:type="dxa" w:w="172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RFM</w:t>
            </w:r>
          </w:p>
        </w:tc>
        <w:tc>
          <w:tcPr>
            <w:tcW w:type="dxa" w:w="388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Recency, Frequency, and Monetary Value</w:t>
            </w:r>
          </w:p>
        </w:tc>
        <w:tc>
          <w:tcPr>
            <w:tcW w:type="dxa" w:w="316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Core Customer Behavioral Feature Matrix</w:t>
            </w:r>
          </w:p>
        </w:tc>
      </w:tr>
      <w:tr>
        <w:tc>
          <w:tcPr>
            <w:tcW w:type="dxa" w:w="172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CLV / LTV</w:t>
            </w:r>
          </w:p>
        </w:tc>
        <w:tc>
          <w:tcPr>
            <w:tcW w:type="dxa" w:w="388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Customer Lifetime Value</w:t>
            </w:r>
          </w:p>
        </w:tc>
        <w:tc>
          <w:tcPr>
            <w:tcW w:type="dxa" w:w="316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Long-term Net Profit Predictive Metric</w:t>
            </w:r>
          </w:p>
        </w:tc>
      </w:tr>
      <w:tr>
        <w:tc>
          <w:tcPr>
            <w:tcW w:type="dxa" w:w="172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CAC</w:t>
            </w:r>
          </w:p>
        </w:tc>
        <w:tc>
          <w:tcPr>
            <w:tcW w:type="dxa" w:w="388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Customer Acquisition Cost</w:t>
            </w:r>
          </w:p>
        </w:tc>
        <w:tc>
          <w:tcPr>
            <w:tcW w:type="dxa" w:w="316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Capital Expenditure to Acquire One Customer</w:t>
            </w:r>
          </w:p>
        </w:tc>
      </w:tr>
      <w:tr>
        <w:tc>
          <w:tcPr>
            <w:tcW w:type="dxa" w:w="172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AOV</w:t>
            </w:r>
          </w:p>
        </w:tc>
        <w:tc>
          <w:tcPr>
            <w:tcW w:type="dxa" w:w="388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Average Order Value</w:t>
            </w:r>
          </w:p>
        </w:tc>
        <w:tc>
          <w:tcPr>
            <w:tcW w:type="dxa" w:w="316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Monetary Value per Completed Invoice</w:t>
            </w:r>
          </w:p>
        </w:tc>
      </w:tr>
      <w:tr>
        <w:tc>
          <w:tcPr>
            <w:tcW w:type="dxa" w:w="172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DFD</w:t>
            </w:r>
          </w:p>
        </w:tc>
        <w:tc>
          <w:tcPr>
            <w:tcW w:type="dxa" w:w="388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Data Flow Diagram</w:t>
            </w:r>
          </w:p>
        </w:tc>
        <w:tc>
          <w:tcPr>
            <w:tcW w:type="dxa" w:w="316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Structured System Analysis &amp; Data Pipeline Model</w:t>
            </w:r>
          </w:p>
        </w:tc>
      </w:tr>
      <w:tr>
        <w:tc>
          <w:tcPr>
            <w:tcW w:type="dxa" w:w="172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UML</w:t>
            </w:r>
          </w:p>
        </w:tc>
        <w:tc>
          <w:tcPr>
            <w:tcW w:type="dxa" w:w="388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Unified Modeling Language</w:t>
            </w:r>
          </w:p>
        </w:tc>
        <w:tc>
          <w:tcPr>
            <w:tcW w:type="dxa" w:w="316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Object-Oriented Software Design Standards</w:t>
            </w:r>
          </w:p>
        </w:tc>
      </w:tr>
      <w:tr>
        <w:tc>
          <w:tcPr>
            <w:tcW w:type="dxa" w:w="172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WCSS</w:t>
            </w:r>
          </w:p>
        </w:tc>
        <w:tc>
          <w:tcPr>
            <w:tcW w:type="dxa" w:w="388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Within-Cluster Sum of Squares</w:t>
            </w:r>
          </w:p>
        </w:tc>
        <w:tc>
          <w:tcPr>
            <w:tcW w:type="dxa" w:w="316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Inertia Metric for K-Means Convergence</w:t>
            </w:r>
          </w:p>
        </w:tc>
      </w:tr>
      <w:tr>
        <w:tc>
          <w:tcPr>
            <w:tcW w:type="dxa" w:w="172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IQR</w:t>
            </w:r>
          </w:p>
        </w:tc>
        <w:tc>
          <w:tcPr>
            <w:tcW w:type="dxa" w:w="388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Interquartile Range</w:t>
            </w:r>
          </w:p>
        </w:tc>
        <w:tc>
          <w:tcPr>
            <w:tcW w:type="dxa" w:w="316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Tukey's Robust Statistical Outlier Detection</w:t>
            </w:r>
          </w:p>
        </w:tc>
      </w:tr>
      <w:tr>
        <w:tc>
          <w:tcPr>
            <w:tcW w:type="dxa" w:w="172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AES-GCM</w:t>
            </w:r>
          </w:p>
        </w:tc>
        <w:tc>
          <w:tcPr>
            <w:tcW w:type="dxa" w:w="388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Advanced Encryption Standard - Galois/Counter Mode</w:t>
            </w:r>
          </w:p>
        </w:tc>
        <w:tc>
          <w:tcPr>
            <w:tcW w:type="dxa" w:w="316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Cryptographic Authenticated Symmetric Encryption</w:t>
            </w:r>
          </w:p>
        </w:tc>
      </w:tr>
      <w:tr>
        <w:tc>
          <w:tcPr>
            <w:tcW w:type="dxa" w:w="172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RBAC</w:t>
            </w:r>
          </w:p>
        </w:tc>
        <w:tc>
          <w:tcPr>
            <w:tcW w:type="dxa" w:w="388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Role-Based Access Control</w:t>
            </w:r>
          </w:p>
        </w:tc>
        <w:tc>
          <w:tcPr>
            <w:tcW w:type="dxa" w:w="316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Enterprise User Authorization Security Model</w:t>
            </w:r>
          </w:p>
        </w:tc>
      </w:tr>
      <w:tr>
        <w:tc>
          <w:tcPr>
            <w:tcW w:type="dxa" w:w="172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JWT</w:t>
            </w:r>
          </w:p>
        </w:tc>
        <w:tc>
          <w:tcPr>
            <w:tcW w:type="dxa" w:w="388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JSON Web Token</w:t>
            </w:r>
          </w:p>
        </w:tc>
        <w:tc>
          <w:tcPr>
            <w:tcW w:type="dxa" w:w="316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Stateless Cryptographically Signed Session Token</w:t>
            </w:r>
          </w:p>
        </w:tc>
      </w:tr>
      <w:tr>
        <w:tc>
          <w:tcPr>
            <w:tcW w:type="dxa" w:w="172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CDP</w:t>
            </w:r>
          </w:p>
        </w:tc>
        <w:tc>
          <w:tcPr>
            <w:tcW w:type="dxa" w:w="388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Customer Data Platform</w:t>
            </w:r>
          </w:p>
        </w:tc>
        <w:tc>
          <w:tcPr>
            <w:tcW w:type="dxa" w:w="316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Centralized Marketing Automation Data Repository</w:t>
            </w:r>
          </w:p>
        </w:tc>
      </w:tr>
    </w:tbl>
    <w:p>
      <w:r>
        <w:br w:type="page"/>
      </w:r>
    </w:p>
    <w:p>
      <w:pPr>
        <w:spacing w:before="0" w:after="20" w:line="276" w:lineRule="auto"/>
        <w:jc w:val="right"/>
      </w:pPr>
      <w:r>
        <w:rPr>
          <w:rFonts w:ascii="Times New Roman" w:hAnsi="Times New Roman"/>
          <w:i/>
          <w:color w:val="0F172A"/>
          <w:sz w:val="22"/>
        </w:rPr>
        <w:t>Page 1</w:t>
      </w:r>
    </w:p>
    <w:p>
      <w:pPr>
        <w:keepNext/>
        <w:spacing w:before="120" w:after="50"/>
        <w:jc w:val="left"/>
      </w:pPr>
      <w:r>
        <w:rPr>
          <w:rFonts w:ascii="Times New Roman" w:hAnsi="Times New Roman"/>
          <w:b/>
          <w:color w:val="1E1B4B"/>
          <w:sz w:val="30"/>
        </w:rPr>
        <w:t>1. ABOUT THE SYSTEM:</w:t>
      </w:r>
    </w:p>
    <w:p>
      <w:pPr>
        <w:keepNext/>
        <w:spacing w:before="100" w:after="40"/>
        <w:jc w:val="left"/>
      </w:pPr>
      <w:r>
        <w:rPr>
          <w:rFonts w:ascii="Times New Roman" w:hAnsi="Times New Roman"/>
          <w:b/>
          <w:color w:val="0F172A"/>
          <w:sz w:val="26"/>
        </w:rPr>
        <w:t>1.1 Problem Definition &amp; Identification of Commercial Needs</w:t>
      </w:r>
    </w:p>
    <w:p>
      <w:pPr>
        <w:spacing w:before="0" w:after="70" w:line="276" w:lineRule="auto"/>
        <w:jc w:val="both"/>
      </w:pPr>
      <w:r>
        <w:rPr>
          <w:rFonts w:ascii="Times New Roman" w:hAnsi="Times New Roman"/>
          <w:i w:val="0"/>
          <w:color w:val="0F172A"/>
          <w:sz w:val="22"/>
        </w:rPr>
        <w:t>Commercial multi-channel retail organizations capture millions of transactional log events. However, business decision-makers frequently treat their customer base as a homogenous entity, deploying blanket marketing promotions and undifferentiated discount vouchers. This indiscriminate strategy introduces three critical commercial failures:</w:t>
      </w:r>
    </w:p>
    <w:p>
      <w:pPr>
        <w:spacing w:before="0" w:after="70" w:line="276" w:lineRule="auto"/>
        <w:jc w:val="both"/>
      </w:pPr>
      <w:r>
        <w:rPr>
          <w:rFonts w:ascii="Times New Roman" w:hAnsi="Times New Roman"/>
          <w:i w:val="0"/>
          <w:color w:val="0F172A"/>
          <w:sz w:val="22"/>
        </w:rPr>
        <w:t>1. Extreme Revenue Decoupling: In commercial retail, a tiny fraction of customers generates a disproportionate share of total revenue (the Pareto 80/20 rule). Broad campaigns waste resources on unengaged shoppers while failing to provide tailored retention incentives for high-value VIP accounts.</w:t>
        <w:br/>
        <w:t>2. Customer Churn &amp; Communication Fatigue: Inundating dormant accounts with frequent, generic messaging accelerates opt-outs and brand abandonment, eroding customer lifetime value.</w:t>
        <w:br/>
        <w:t>3. Siloed Analytical Operations: Marketing teams lack automated, production-ready tools to translate complex transactional tables into real-time behavioral cohorts with verified operational guidance.</w:t>
      </w:r>
    </w:p>
    <w:p>
      <w:pPr>
        <w:spacing w:before="0" w:after="70" w:line="276" w:lineRule="auto"/>
        <w:jc w:val="both"/>
      </w:pPr>
      <w:r>
        <w:rPr>
          <w:rFonts w:ascii="Times New Roman" w:hAnsi="Times New Roman"/>
          <w:i w:val="0"/>
          <w:color w:val="0F172A"/>
          <w:sz w:val="22"/>
        </w:rPr>
        <w:t>To eliminate these systemic vulnerabilities, this project engineers an automated, end-to-end unsupervised machine learning and data engineering system. The platform ingests raw transactional event streams, enforces automated data refinery cleansing, computes deterministic Recency, Frequency, Monetary (RFM), and Average Order Value (AOV) metrics, and clusters accounts via K-Means Unsupervised Learning and quantile stratification into actionable business cohorts.</w:t>
      </w:r>
    </w:p>
    <w:p>
      <w:r>
        <w:br w:type="page"/>
      </w:r>
    </w:p>
    <w:p>
      <w:pPr>
        <w:spacing w:before="0" w:after="20" w:line="276" w:lineRule="auto"/>
        <w:jc w:val="right"/>
      </w:pPr>
      <w:r>
        <w:rPr>
          <w:rFonts w:ascii="Times New Roman" w:hAnsi="Times New Roman"/>
          <w:i/>
          <w:color w:val="0F172A"/>
          <w:sz w:val="22"/>
        </w:rPr>
        <w:t>Page 2</w:t>
      </w:r>
    </w:p>
    <w:p>
      <w:pPr>
        <w:keepNext/>
        <w:spacing w:before="100" w:after="40"/>
        <w:jc w:val="left"/>
      </w:pPr>
      <w:r>
        <w:rPr>
          <w:rFonts w:ascii="Times New Roman" w:hAnsi="Times New Roman"/>
          <w:b/>
          <w:color w:val="0F172A"/>
          <w:sz w:val="26"/>
        </w:rPr>
        <w:t>1.2 Requirement Specifications (Product &amp; System Tasks)</w:t>
      </w:r>
    </w:p>
    <w:p>
      <w:pPr>
        <w:spacing w:before="0" w:after="70" w:line="276" w:lineRule="auto"/>
        <w:jc w:val="both"/>
      </w:pPr>
      <w:r>
        <w:rPr>
          <w:rFonts w:ascii="Times New Roman" w:hAnsi="Times New Roman"/>
          <w:i w:val="0"/>
          <w:color w:val="0F172A"/>
          <w:sz w:val="22"/>
        </w:rPr>
        <w:t>The system architecture satisfies rigorous functional and non-functional requirements to ensure enterprise scalability, computational reproducibility, and strict compliance with global data privacy frameworks (GDPR, ISO/IEC 27001).</w:t>
      </w:r>
    </w:p>
    <w:p>
      <w:pPr>
        <w:spacing w:before="40" w:after="70"/>
        <w:jc w:val="center"/>
      </w:pPr>
      <w:r>
        <w:rPr>
          <w:rFonts w:ascii="Times New Roman" w:hAnsi="Times New Roman"/>
          <w:b/>
          <w:color w:val="475569"/>
          <w:sz w:val="19"/>
        </w:rPr>
        <w:t>Table 1.1: Functional and Non-Functional Requirements Specification Matrix</w:t>
      </w:r>
    </w:p>
    <w:tbl>
      <w:tblPr>
        <w:tblW w:type="auto" w:w="0"/>
        <w:jc w:val="center"/>
        <w:tblLook w:firstColumn="1" w:firstRow="1" w:lastColumn="0" w:lastRow="0" w:noHBand="0" w:noVBand="1" w:val="04A0"/>
      </w:tblPr>
      <w:tblGrid>
        <w:gridCol w:w="3144"/>
        <w:gridCol w:w="3144"/>
        <w:gridCol w:w="3144"/>
      </w:tblGrid>
      <w:tr>
        <w:tc>
          <w:tcPr>
            <w:tcW w:type="dxa" w:w="144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ID</w:t>
            </w:r>
          </w:p>
        </w:tc>
        <w:tc>
          <w:tcPr>
            <w:tcW w:type="dxa" w:w="316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REQUIREMENT SPECIFICATION</w:t>
            </w:r>
          </w:p>
        </w:tc>
        <w:tc>
          <w:tcPr>
            <w:tcW w:type="dxa" w:w="417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SYSTEM IMPLEMENTATION &amp; METRIC</w:t>
            </w:r>
          </w:p>
        </w:tc>
      </w:tr>
      <w:tr>
        <w:tc>
          <w:tcPr>
            <w:tcW w:type="dxa" w:w="1440"/>
            <w:shd w:fill="F8FAFC"/>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FR-01</w:t>
            </w:r>
          </w:p>
        </w:tc>
        <w:tc>
          <w:tcPr>
            <w:tcW w:type="dxa" w:w="3168"/>
            <w:shd w:fill="F8FAFC"/>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Transactional Ingestion &amp; Hygiene</w:t>
            </w:r>
          </w:p>
        </w:tc>
        <w:tc>
          <w:tcPr>
            <w:tcW w:type="dxa" w:w="4176"/>
            <w:shd w:fill="F8FAFC"/>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Isolate unauthenticated sessions, quarantine negative return quantities into audit ledgers, enforce UTF-8 CSV parsing.</w:t>
            </w:r>
          </w:p>
        </w:tc>
      </w:tr>
      <w:tr>
        <w:tc>
          <w:tcPr>
            <w:tcW w:type="dxa" w:w="1440"/>
            <w:shd w:fill="FFFFFF"/>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FR-02</w:t>
            </w:r>
          </w:p>
        </w:tc>
        <w:tc>
          <w:tcPr>
            <w:tcW w:type="dxa" w:w="3168"/>
            <w:shd w:fill="FFFFFF"/>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Vectorized RFM Feature Extraction</w:t>
            </w:r>
          </w:p>
        </w:tc>
        <w:tc>
          <w:tcPr>
            <w:tcW w:type="dxa" w:w="4176"/>
            <w:shd w:fill="FFFFFF"/>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Vectorized groupby aggregations computing Recency (days), Frequency (unique orders), Monetary (spend), and AOV in &lt; 2.5s.</w:t>
            </w:r>
          </w:p>
        </w:tc>
      </w:tr>
      <w:tr>
        <w:tc>
          <w:tcPr>
            <w:tcW w:type="dxa" w:w="1440"/>
            <w:shd w:fill="F8FAFC"/>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FR-03</w:t>
            </w:r>
          </w:p>
        </w:tc>
        <w:tc>
          <w:tcPr>
            <w:tcW w:type="dxa" w:w="3168"/>
            <w:shd w:fill="F8FAFC"/>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Statistical Transformation &amp; Scaling</w:t>
            </w:r>
          </w:p>
        </w:tc>
        <w:tc>
          <w:tcPr>
            <w:tcW w:type="dxa" w:w="4176"/>
            <w:shd w:fill="F8FAFC"/>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Apply np.log1p(x) transformation to eliminate spend skewness, followed by StandardScaler Z-score normalization.</w:t>
            </w:r>
          </w:p>
        </w:tc>
      </w:tr>
      <w:tr>
        <w:tc>
          <w:tcPr>
            <w:tcW w:type="dxa" w:w="1440"/>
            <w:shd w:fill="FFFFFF"/>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FR-04</w:t>
            </w:r>
          </w:p>
        </w:tc>
        <w:tc>
          <w:tcPr>
            <w:tcW w:type="dxa" w:w="3168"/>
            <w:shd w:fill="FFFFFF"/>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Algorithmic Clustering &amp; Diagnostics</w:t>
            </w:r>
          </w:p>
        </w:tc>
        <w:tc>
          <w:tcPr>
            <w:tcW w:type="dxa" w:w="4176"/>
            <w:shd w:fill="FFFFFF"/>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K-Means++ initialization with automated inertia elbow point and silhouette evaluation across k=[2..8].</w:t>
            </w:r>
          </w:p>
        </w:tc>
      </w:tr>
      <w:tr>
        <w:tc>
          <w:tcPr>
            <w:tcW w:type="dxa" w:w="1440"/>
            <w:shd w:fill="F8FAFC"/>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NFR-01</w:t>
            </w:r>
          </w:p>
        </w:tc>
        <w:tc>
          <w:tcPr>
            <w:tcW w:type="dxa" w:w="3168"/>
            <w:shd w:fill="F8FAFC"/>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Sub-Second Interactive Dashboard</w:t>
            </w:r>
          </w:p>
        </w:tc>
        <w:tc>
          <w:tcPr>
            <w:tcW w:type="dxa" w:w="4176"/>
            <w:shd w:fill="F8FAFC"/>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Streamlit &amp; Plotly dark-mode interface rendering 3D scatter plots and cohort filters with response time &lt; 500ms.</w:t>
            </w:r>
          </w:p>
        </w:tc>
      </w:tr>
      <w:tr>
        <w:tc>
          <w:tcPr>
            <w:tcW w:type="dxa" w:w="1440"/>
            <w:shd w:fill="FFFFFF"/>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NFR-02</w:t>
            </w:r>
          </w:p>
        </w:tc>
        <w:tc>
          <w:tcPr>
            <w:tcW w:type="dxa" w:w="3168"/>
            <w:shd w:fill="FFFFFF"/>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Defense-in-Depth Cybersecurity</w:t>
            </w:r>
          </w:p>
        </w:tc>
        <w:tc>
          <w:tcPr>
            <w:tcW w:type="dxa" w:w="4176"/>
            <w:shd w:fill="FFFFFF"/>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AES-256-GCM field encryption for PII, Argon2id password hashing, and Role-Based Access Control (RBAC).</w:t>
            </w:r>
          </w:p>
        </w:tc>
      </w:tr>
    </w:tbl>
    <w:p>
      <w:r>
        <w:br w:type="page"/>
      </w:r>
    </w:p>
    <w:p>
      <w:pPr>
        <w:spacing w:before="0" w:after="20" w:line="276" w:lineRule="auto"/>
        <w:jc w:val="right"/>
      </w:pPr>
      <w:r>
        <w:rPr>
          <w:rFonts w:ascii="Times New Roman" w:hAnsi="Times New Roman"/>
          <w:i/>
          <w:color w:val="0F172A"/>
          <w:sz w:val="22"/>
        </w:rPr>
        <w:t>Page 3</w:t>
      </w:r>
    </w:p>
    <w:p>
      <w:pPr>
        <w:keepNext/>
        <w:spacing w:before="100" w:after="40"/>
        <w:jc w:val="left"/>
      </w:pPr>
      <w:r>
        <w:rPr>
          <w:rFonts w:ascii="Times New Roman" w:hAnsi="Times New Roman"/>
          <w:b/>
          <w:color w:val="0F172A"/>
          <w:sz w:val="26"/>
        </w:rPr>
        <w:t>1.3 Hardware, Software &amp; Environmental Specifications</w:t>
      </w:r>
    </w:p>
    <w:p>
      <w:pPr>
        <w:spacing w:before="0" w:after="70" w:line="276" w:lineRule="auto"/>
        <w:jc w:val="both"/>
      </w:pPr>
      <w:r>
        <w:rPr>
          <w:rFonts w:ascii="Times New Roman" w:hAnsi="Times New Roman"/>
          <w:i w:val="0"/>
          <w:color w:val="0F172A"/>
          <w:sz w:val="22"/>
        </w:rPr>
        <w:t>To ensure robust reproducibility across operating systems, the target hardware environment, software libraries, and deployment runtime configurations were rigorously defined.</w:t>
      </w:r>
    </w:p>
    <w:p>
      <w:pPr>
        <w:spacing w:before="40" w:after="70"/>
        <w:jc w:val="center"/>
      </w:pPr>
      <w:r>
        <w:rPr>
          <w:rFonts w:ascii="Times New Roman" w:hAnsi="Times New Roman"/>
          <w:b/>
          <w:color w:val="475569"/>
          <w:sz w:val="19"/>
        </w:rPr>
        <w:t>Table 1.2: Hardware, Software and Environmental Architecture Parameters</w:t>
      </w:r>
    </w:p>
    <w:tbl>
      <w:tblPr>
        <w:tblW w:type="auto" w:w="0"/>
        <w:jc w:val="center"/>
        <w:tblLook w:firstColumn="1" w:firstRow="1" w:lastColumn="0" w:lastRow="0" w:noHBand="0" w:noVBand="1" w:val="04A0"/>
      </w:tblPr>
      <w:tblGrid>
        <w:gridCol w:w="3144"/>
        <w:gridCol w:w="3144"/>
        <w:gridCol w:w="3144"/>
      </w:tblGrid>
      <w:tr>
        <w:tc>
          <w:tcPr>
            <w:tcW w:type="dxa" w:w="216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ARCHITECTURAL TIER</w:t>
            </w:r>
          </w:p>
        </w:tc>
        <w:tc>
          <w:tcPr>
            <w:tcW w:type="dxa" w:w="331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ENGINEERING SPECIFICATION</w:t>
            </w:r>
          </w:p>
        </w:tc>
        <w:tc>
          <w:tcPr>
            <w:tcW w:type="dxa" w:w="331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PRODUCTION DEPLOYMENT ENVIRONMENT</w:t>
            </w:r>
          </w:p>
        </w:tc>
      </w:tr>
      <w:tr>
        <w:tc>
          <w:tcPr>
            <w:tcW w:type="dxa" w:w="2160"/>
            <w:shd w:fill="F8FAFC"/>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Processor / Compute</w:t>
            </w:r>
          </w:p>
        </w:tc>
        <w:tc>
          <w:tcPr>
            <w:tcW w:type="dxa" w:w="3312"/>
            <w:shd w:fill="F8FAFC"/>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Apple Silicon M-Series / Intel Core i7 (8+ Virtual Cores)</w:t>
            </w:r>
          </w:p>
        </w:tc>
        <w:tc>
          <w:tcPr>
            <w:tcW w:type="dxa" w:w="3312"/>
            <w:shd w:fill="F8FAFC"/>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Supports multi-threaded parallel NumPy BLAS/LAPACK linear algebra.</w:t>
            </w:r>
          </w:p>
        </w:tc>
      </w:tr>
      <w:tr>
        <w:tc>
          <w:tcPr>
            <w:tcW w:type="dxa" w:w="2160"/>
            <w:shd w:fill="FFFFFF"/>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Primary Memory (RAM)</w:t>
            </w:r>
          </w:p>
        </w:tc>
        <w:tc>
          <w:tcPr>
            <w:tcW w:type="dxa" w:w="3312"/>
            <w:shd w:fill="FFFFFF"/>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16 GB Unified Memory / LPDDR5 (Minimum 8 GB required)</w:t>
            </w:r>
          </w:p>
        </w:tc>
        <w:tc>
          <w:tcPr>
            <w:tcW w:type="dxa" w:w="3312"/>
            <w:shd w:fill="FFFFFF"/>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Accommodates 1M+ transaction rows in memory without swap paging.</w:t>
            </w:r>
          </w:p>
        </w:tc>
      </w:tr>
      <w:tr>
        <w:tc>
          <w:tcPr>
            <w:tcW w:type="dxa" w:w="2160"/>
            <w:shd w:fill="F8FAFC"/>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Operating System</w:t>
            </w:r>
          </w:p>
        </w:tc>
        <w:tc>
          <w:tcPr>
            <w:tcW w:type="dxa" w:w="3312"/>
            <w:shd w:fill="F8FAFC"/>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macOS Sonoma 14+ / Ubuntu Linux 22.04 LTS / Windows 11</w:t>
            </w:r>
          </w:p>
        </w:tc>
        <w:tc>
          <w:tcPr>
            <w:tcW w:type="dxa" w:w="3312"/>
            <w:shd w:fill="F8FAFC"/>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Cross-platform compatibility via standard POSIX Python runtime.</w:t>
            </w:r>
          </w:p>
        </w:tc>
      </w:tr>
      <w:tr>
        <w:tc>
          <w:tcPr>
            <w:tcW w:type="dxa" w:w="2160"/>
            <w:shd w:fill="FFFFFF"/>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Python Environment</w:t>
            </w:r>
          </w:p>
        </w:tc>
        <w:tc>
          <w:tcPr>
            <w:tcW w:type="dxa" w:w="3312"/>
            <w:shd w:fill="FFFFFF"/>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Python 3.9+ with virtualenv isolated dependency packaging</w:t>
            </w:r>
          </w:p>
        </w:tc>
        <w:tc>
          <w:tcPr>
            <w:tcW w:type="dxa" w:w="3312"/>
            <w:shd w:fill="FFFFFF"/>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Eliminates global dependency pollution and guarantees version locks.</w:t>
            </w:r>
          </w:p>
        </w:tc>
      </w:tr>
      <w:tr>
        <w:tc>
          <w:tcPr>
            <w:tcW w:type="dxa" w:w="2160"/>
            <w:shd w:fill="F8FAFC"/>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Data Science Stack</w:t>
            </w:r>
          </w:p>
        </w:tc>
        <w:tc>
          <w:tcPr>
            <w:tcW w:type="dxa" w:w="3312"/>
            <w:shd w:fill="F8FAFC"/>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NumPy 2.0+, Pandas 2.3+, Scikit-Learn 1.6+, SciPy 1.13+</w:t>
            </w:r>
          </w:p>
        </w:tc>
        <w:tc>
          <w:tcPr>
            <w:tcW w:type="dxa" w:w="3312"/>
            <w:shd w:fill="F8FAFC"/>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High-performance vectorized C/Cython compiled statistical routines.</w:t>
            </w:r>
          </w:p>
        </w:tc>
      </w:tr>
      <w:tr>
        <w:tc>
          <w:tcPr>
            <w:tcW w:type="dxa" w:w="2160"/>
            <w:shd w:fill="FFFFFF"/>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Web Presentation</w:t>
            </w:r>
          </w:p>
        </w:tc>
        <w:tc>
          <w:tcPr>
            <w:tcW w:type="dxa" w:w="3312"/>
            <w:shd w:fill="FFFFFF"/>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Streamlit 1.38+, Plotly 5.24+, Tailwind CSS CDN</w:t>
            </w:r>
          </w:p>
        </w:tc>
        <w:tc>
          <w:tcPr>
            <w:tcW w:type="dxa" w:w="3312"/>
            <w:shd w:fill="FFFFFF"/>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Hardware-accelerated WebGL rendering for interactive 3D scatter plots.</w:t>
            </w:r>
          </w:p>
        </w:tc>
      </w:tr>
    </w:tbl>
    <w:p>
      <w:r>
        <w:br w:type="page"/>
      </w:r>
    </w:p>
    <w:p>
      <w:pPr>
        <w:spacing w:before="0" w:after="20" w:line="276" w:lineRule="auto"/>
        <w:jc w:val="right"/>
      </w:pPr>
      <w:r>
        <w:rPr>
          <w:rFonts w:ascii="Times New Roman" w:hAnsi="Times New Roman"/>
          <w:i/>
          <w:color w:val="0F172A"/>
          <w:sz w:val="22"/>
        </w:rPr>
        <w:t>Page 4</w:t>
      </w:r>
    </w:p>
    <w:p>
      <w:pPr>
        <w:keepNext/>
        <w:spacing w:before="100" w:after="40"/>
        <w:jc w:val="left"/>
      </w:pPr>
      <w:r>
        <w:rPr>
          <w:rFonts w:ascii="Times New Roman" w:hAnsi="Times New Roman"/>
          <w:b/>
          <w:color w:val="0F172A"/>
          <w:sz w:val="26"/>
        </w:rPr>
        <w:t>1.4 Raw Dataset Engineering &amp; Exploratory Data Analysis</w:t>
      </w:r>
    </w:p>
    <w:p>
      <w:pPr>
        <w:spacing w:before="0" w:after="70" w:line="276" w:lineRule="auto"/>
        <w:jc w:val="both"/>
      </w:pPr>
      <w:r>
        <w:rPr>
          <w:rFonts w:ascii="Times New Roman" w:hAnsi="Times New Roman"/>
          <w:i w:val="0"/>
          <w:color w:val="0F172A"/>
          <w:sz w:val="22"/>
        </w:rPr>
        <w:t>The analytical benchmark relies on an empirical e-commerce transaction dataset encompassing international retail sales over a 12-month period. Each record represents an individual purchase order line item.</w:t>
      </w:r>
    </w:p>
    <w:p>
      <w:pPr>
        <w:spacing w:before="0" w:after="70" w:line="276" w:lineRule="auto"/>
        <w:jc w:val="both"/>
      </w:pPr>
      <w:r>
        <w:rPr>
          <w:rFonts w:ascii="Times New Roman" w:hAnsi="Times New Roman"/>
          <w:i w:val="0"/>
          <w:color w:val="0F172A"/>
          <w:sz w:val="22"/>
        </w:rPr>
        <w:t>1. Ingestion Audit: The raw dataset contains 541,909 records. Schema inspection reveals 135,080 rows (24.9%) lacking a registered CustomerID, corresponding to unauthenticated guest checkout sessions. These rows are quarantined into an anonymous telemetry store.</w:t>
        <w:br/>
        <w:t>2. Reversal Segregation: Invoices prefixed with 'C' indicate cancelled transactions and credit return notes (8,905 records). The pipeline isolates these into a dedicated `fact_reversals_audit` table, preventing artificial suppression of customer gross order frequency.</w:t>
        <w:br/>
        <w:t>3. Outlier Mitigation: Commercial spend distributions exhibit extreme right-skewness (Pareto tail). Customers purchasing wholesale quantities (&gt; 10,000 units) are isolated using Tukey's Interquartile Range (IQR) fences to prevent centroid distortion during clustering.</w:t>
      </w:r>
    </w:p>
    <w:p>
      <w:pPr>
        <w:spacing w:before="0" w:after="70" w:line="276" w:lineRule="auto"/>
        <w:jc w:val="both"/>
      </w:pPr>
      <w:r>
        <w:rPr>
          <w:rFonts w:ascii="Times New Roman" w:hAnsi="Times New Roman"/>
          <w:b/>
          <w:color w:val="0F172A"/>
          <w:sz w:val="22"/>
        </w:rPr>
        <w:t xml:space="preserve">Refinery Clean Yield: </w:t>
      </w:r>
      <w:r>
        <w:rPr>
          <w:rFonts w:ascii="Times New Roman" w:hAnsi="Times New Roman"/>
          <w:i w:val="0"/>
          <w:color w:val="0F172A"/>
          <w:sz w:val="22"/>
        </w:rPr>
        <w:t>Following clean refinery execution, the dataset yields 3,756 validated purchase transactions across 540 active customer accounts, providing a clean, non-sparse foundation for feature engineering.</w:t>
      </w:r>
    </w:p>
    <w:p>
      <w:r>
        <w:br w:type="page"/>
      </w:r>
    </w:p>
    <w:p>
      <w:pPr>
        <w:spacing w:before="0" w:after="20" w:line="276" w:lineRule="auto"/>
        <w:jc w:val="right"/>
      </w:pPr>
      <w:r>
        <w:rPr>
          <w:rFonts w:ascii="Times New Roman" w:hAnsi="Times New Roman"/>
          <w:i/>
          <w:color w:val="0F172A"/>
          <w:sz w:val="22"/>
        </w:rPr>
        <w:t>Page 5</w:t>
      </w:r>
    </w:p>
    <w:p>
      <w:pPr>
        <w:keepNext/>
        <w:spacing w:before="120" w:after="50"/>
        <w:jc w:val="left"/>
      </w:pPr>
      <w:r>
        <w:rPr>
          <w:rFonts w:ascii="Times New Roman" w:hAnsi="Times New Roman"/>
          <w:b/>
          <w:color w:val="1E1B4B"/>
          <w:sz w:val="30"/>
        </w:rPr>
        <w:t>2. SYSTEM DESIGN USING UML &amp; DFD:</w:t>
      </w:r>
    </w:p>
    <w:p>
      <w:pPr>
        <w:keepNext/>
        <w:spacing w:before="100" w:after="40"/>
        <w:jc w:val="left"/>
      </w:pPr>
      <w:r>
        <w:rPr>
          <w:rFonts w:ascii="Times New Roman" w:hAnsi="Times New Roman"/>
          <w:b/>
          <w:color w:val="0F172A"/>
          <w:sz w:val="26"/>
        </w:rPr>
        <w:t>2.1 Data Flow Analysis: Context Level-0 Data Flow Diagram</w:t>
      </w:r>
    </w:p>
    <w:p>
      <w:pPr>
        <w:spacing w:before="0" w:after="70" w:line="276" w:lineRule="auto"/>
        <w:jc w:val="both"/>
      </w:pPr>
      <w:r>
        <w:rPr>
          <w:rFonts w:ascii="Times New Roman" w:hAnsi="Times New Roman"/>
          <w:i w:val="0"/>
          <w:color w:val="0F172A"/>
          <w:sz w:val="22"/>
        </w:rPr>
        <w:t>Data Flow Diagrams model the flow of information across system boundaries, transformations, and persistent data stores. The Level-0 Context DFD defines the global perimeter of the analytical system.</w:t>
      </w:r>
    </w:p>
    <w:p>
      <w:pPr>
        <w:spacing w:before="80" w:after="40"/>
        <w:jc w:val="center"/>
      </w:pPr>
      <w:r>
        <w:drawing>
          <wp:inline xmlns:a="http://schemas.openxmlformats.org/drawingml/2006/main" xmlns:pic="http://schemas.openxmlformats.org/drawingml/2006/picture">
            <wp:extent cx="4389120" cy="2194560"/>
            <wp:docPr id="2" name="Picture 2"/>
            <wp:cNvGraphicFramePr>
              <a:graphicFrameLocks noChangeAspect="1"/>
            </wp:cNvGraphicFramePr>
            <a:graphic>
              <a:graphicData uri="http://schemas.openxmlformats.org/drawingml/2006/picture">
                <pic:pic>
                  <pic:nvPicPr>
                    <pic:cNvPr id="0" name="fig_dfd_level_0.png"/>
                    <pic:cNvPicPr/>
                  </pic:nvPicPr>
                  <pic:blipFill>
                    <a:blip r:embed="rId10"/>
                    <a:stretch>
                      <a:fillRect/>
                    </a:stretch>
                  </pic:blipFill>
                  <pic:spPr>
                    <a:xfrm>
                      <a:off x="0" y="0"/>
                      <a:ext cx="4389120" cy="2194560"/>
                    </a:xfrm>
                    <a:prstGeom prst="rect"/>
                  </pic:spPr>
                </pic:pic>
              </a:graphicData>
            </a:graphic>
          </wp:inline>
        </w:drawing>
      </w:r>
    </w:p>
    <w:p>
      <w:pPr>
        <w:spacing w:before="40" w:after="70"/>
        <w:jc w:val="center"/>
      </w:pPr>
      <w:r>
        <w:rPr>
          <w:rFonts w:ascii="Times New Roman" w:hAnsi="Times New Roman"/>
          <w:b/>
          <w:color w:val="475569"/>
          <w:sz w:val="19"/>
        </w:rPr>
        <w:t>Figure 2.1: Context Level-0 Data Flow Diagram Illustrating Global System Boundary</w:t>
      </w:r>
    </w:p>
    <w:p>
      <w:pPr>
        <w:spacing w:before="0" w:after="70" w:line="276" w:lineRule="auto"/>
        <w:jc w:val="both"/>
      </w:pPr>
      <w:r>
        <w:rPr>
          <w:rFonts w:ascii="Times New Roman" w:hAnsi="Times New Roman"/>
          <w:b/>
          <w:color w:val="0F172A"/>
          <w:sz w:val="22"/>
        </w:rPr>
        <w:t xml:space="preserve">System Boundary Collaboration: </w:t>
      </w:r>
      <w:r>
        <w:rPr>
          <w:rFonts w:ascii="Times New Roman" w:hAnsi="Times New Roman"/>
          <w:i w:val="0"/>
          <w:color w:val="0F172A"/>
          <w:sz w:val="22"/>
        </w:rPr>
        <w:t>External entities comprising E-Commerce Transaction Systems, System Administrators, and Retention Marketing Officers interact with the central analytical engine. Transaction systems stream raw order logs, administrators configure model hyperparameters, and marketers extract actionable retention cohorts.</w:t>
      </w:r>
    </w:p>
    <w:p>
      <w:r>
        <w:br w:type="page"/>
      </w:r>
    </w:p>
    <w:p>
      <w:pPr>
        <w:spacing w:before="0" w:after="20" w:line="276" w:lineRule="auto"/>
        <w:jc w:val="right"/>
      </w:pPr>
      <w:r>
        <w:rPr>
          <w:rFonts w:ascii="Times New Roman" w:hAnsi="Times New Roman"/>
          <w:i/>
          <w:color w:val="0F172A"/>
          <w:sz w:val="22"/>
        </w:rPr>
        <w:t>Page 6</w:t>
      </w:r>
    </w:p>
    <w:p>
      <w:pPr>
        <w:keepNext/>
        <w:spacing w:before="100" w:after="40"/>
        <w:jc w:val="left"/>
      </w:pPr>
      <w:r>
        <w:rPr>
          <w:rFonts w:ascii="Times New Roman" w:hAnsi="Times New Roman"/>
          <w:b/>
          <w:color w:val="0F172A"/>
          <w:sz w:val="26"/>
        </w:rPr>
        <w:t>2.1 Subsystem Level-1 Data Flow Diagram</w:t>
      </w:r>
    </w:p>
    <w:p>
      <w:pPr>
        <w:spacing w:before="0" w:after="70" w:line="276" w:lineRule="auto"/>
        <w:jc w:val="both"/>
      </w:pPr>
      <w:r>
        <w:rPr>
          <w:rFonts w:ascii="Times New Roman" w:hAnsi="Times New Roman"/>
          <w:i w:val="0"/>
          <w:color w:val="0F172A"/>
          <w:sz w:val="22"/>
        </w:rPr>
        <w:t>The Level-1 DFD decomposes the monolithic system into four autonomous pipeline modules: Ingestion &amp; Refinery Cleansing (1.0), Vectorized Feature Extraction (2.0), K-Means Unsupervised Clustering (3.0), and Real-Time Dashboard Rendering (4.0).</w:t>
      </w:r>
    </w:p>
    <w:p>
      <w:pPr>
        <w:spacing w:before="80" w:after="40"/>
        <w:jc w:val="center"/>
      </w:pPr>
      <w:r>
        <w:drawing>
          <wp:inline xmlns:a="http://schemas.openxmlformats.org/drawingml/2006/main" xmlns:pic="http://schemas.openxmlformats.org/drawingml/2006/picture">
            <wp:extent cx="4389120" cy="2194560"/>
            <wp:docPr id="3" name="Picture 3"/>
            <wp:cNvGraphicFramePr>
              <a:graphicFrameLocks noChangeAspect="1"/>
            </wp:cNvGraphicFramePr>
            <a:graphic>
              <a:graphicData uri="http://schemas.openxmlformats.org/drawingml/2006/picture">
                <pic:pic>
                  <pic:nvPicPr>
                    <pic:cNvPr id="0" name="fig_dfd_level_1.png"/>
                    <pic:cNvPicPr/>
                  </pic:nvPicPr>
                  <pic:blipFill>
                    <a:blip r:embed="rId11"/>
                    <a:stretch>
                      <a:fillRect/>
                    </a:stretch>
                  </pic:blipFill>
                  <pic:spPr>
                    <a:xfrm>
                      <a:off x="0" y="0"/>
                      <a:ext cx="4389120" cy="2194560"/>
                    </a:xfrm>
                    <a:prstGeom prst="rect"/>
                  </pic:spPr>
                </pic:pic>
              </a:graphicData>
            </a:graphic>
          </wp:inline>
        </w:drawing>
      </w:r>
    </w:p>
    <w:p>
      <w:pPr>
        <w:spacing w:before="40" w:after="70"/>
        <w:jc w:val="center"/>
      </w:pPr>
      <w:r>
        <w:rPr>
          <w:rFonts w:ascii="Times New Roman" w:hAnsi="Times New Roman"/>
          <w:b/>
          <w:color w:val="475569"/>
          <w:sz w:val="19"/>
        </w:rPr>
        <w:t>Figure 2.2: Level-1 Subsystem Data Flow Diagram (Refinery, Feature Engine &amp; Dashboard)</w:t>
      </w:r>
    </w:p>
    <w:p>
      <w:pPr>
        <w:spacing w:before="0" w:after="70" w:line="276" w:lineRule="auto"/>
        <w:jc w:val="both"/>
      </w:pPr>
      <w:r>
        <w:rPr>
          <w:rFonts w:ascii="Times New Roman" w:hAnsi="Times New Roman"/>
          <w:b/>
          <w:color w:val="0F172A"/>
          <w:sz w:val="22"/>
        </w:rPr>
        <w:t xml:space="preserve">Subsystem Decoupling: </w:t>
      </w:r>
      <w:r>
        <w:rPr>
          <w:rFonts w:ascii="Times New Roman" w:hAnsi="Times New Roman"/>
          <w:i w:val="0"/>
          <w:color w:val="0F172A"/>
          <w:sz w:val="22"/>
        </w:rPr>
        <w:t>Each subsystem operates independently with clear data contracts: Process 1.0 writes clean facts to `fact_transactions.csv`; Process 2.0 generates RFM vectors; Process 3.0 outputs dimensional clusters to `dim_customer_rfm.csv`; and Process 4.0 serves encrypted views.</w:t>
      </w:r>
    </w:p>
    <w:p>
      <w:r>
        <w:br w:type="page"/>
      </w:r>
    </w:p>
    <w:p>
      <w:pPr>
        <w:spacing w:before="0" w:after="20" w:line="276" w:lineRule="auto"/>
        <w:jc w:val="right"/>
      </w:pPr>
      <w:r>
        <w:rPr>
          <w:rFonts w:ascii="Times New Roman" w:hAnsi="Times New Roman"/>
          <w:i/>
          <w:color w:val="0F172A"/>
          <w:sz w:val="22"/>
        </w:rPr>
        <w:t>Page 7</w:t>
      </w:r>
    </w:p>
    <w:p>
      <w:pPr>
        <w:keepNext/>
        <w:spacing w:before="100" w:after="40"/>
        <w:jc w:val="left"/>
      </w:pPr>
      <w:r>
        <w:rPr>
          <w:rFonts w:ascii="Times New Roman" w:hAnsi="Times New Roman"/>
          <w:b/>
          <w:color w:val="0F172A"/>
          <w:sz w:val="26"/>
        </w:rPr>
        <w:t>2.1 Detailed Level-2 Transformation &amp; Scoring DFD</w:t>
      </w:r>
    </w:p>
    <w:p>
      <w:pPr>
        <w:spacing w:before="0" w:after="70" w:line="276" w:lineRule="auto"/>
        <w:jc w:val="both"/>
      </w:pPr>
      <w:r>
        <w:rPr>
          <w:rFonts w:ascii="Times New Roman" w:hAnsi="Times New Roman"/>
          <w:i w:val="0"/>
          <w:color w:val="0F172A"/>
          <w:sz w:val="22"/>
        </w:rPr>
        <w:t>The Level-2 DFD provides granular visibility into internal pipeline operations: parsing invoice date snapshots, isolating cancelled invoices into `fact_reversals_audit`, applying log1p scaling, and assigning quantile personas.</w:t>
      </w:r>
    </w:p>
    <w:p>
      <w:pPr>
        <w:spacing w:before="80" w:after="40"/>
        <w:jc w:val="center"/>
      </w:pPr>
      <w:r>
        <w:drawing>
          <wp:inline xmlns:a="http://schemas.openxmlformats.org/drawingml/2006/main" xmlns:pic="http://schemas.openxmlformats.org/drawingml/2006/picture">
            <wp:extent cx="4389120" cy="1828800"/>
            <wp:docPr id="4" name="Picture 4"/>
            <wp:cNvGraphicFramePr>
              <a:graphicFrameLocks noChangeAspect="1"/>
            </wp:cNvGraphicFramePr>
            <a:graphic>
              <a:graphicData uri="http://schemas.openxmlformats.org/drawingml/2006/picture">
                <pic:pic>
                  <pic:nvPicPr>
                    <pic:cNvPr id="0" name="fig_dfd_level_2.png"/>
                    <pic:cNvPicPr/>
                  </pic:nvPicPr>
                  <pic:blipFill>
                    <a:blip r:embed="rId12"/>
                    <a:stretch>
                      <a:fillRect/>
                    </a:stretch>
                  </pic:blipFill>
                  <pic:spPr>
                    <a:xfrm>
                      <a:off x="0" y="0"/>
                      <a:ext cx="4389120" cy="1828800"/>
                    </a:xfrm>
                    <a:prstGeom prst="rect"/>
                  </pic:spPr>
                </pic:pic>
              </a:graphicData>
            </a:graphic>
          </wp:inline>
        </w:drawing>
      </w:r>
    </w:p>
    <w:p>
      <w:pPr>
        <w:spacing w:before="40" w:after="70"/>
        <w:jc w:val="center"/>
      </w:pPr>
      <w:r>
        <w:rPr>
          <w:rFonts w:ascii="Times New Roman" w:hAnsi="Times New Roman"/>
          <w:b/>
          <w:color w:val="475569"/>
          <w:sz w:val="19"/>
        </w:rPr>
        <w:t>Figure 2.3: Level-2 Detailed Data Flow Diagram Depicting Mathematical Transformation Pipeline</w:t>
      </w:r>
    </w:p>
    <w:p>
      <w:pPr>
        <w:spacing w:before="0" w:after="70" w:line="276" w:lineRule="auto"/>
        <w:jc w:val="both"/>
      </w:pPr>
      <w:r>
        <w:rPr>
          <w:rFonts w:ascii="Times New Roman" w:hAnsi="Times New Roman"/>
          <w:b/>
          <w:color w:val="0F172A"/>
          <w:sz w:val="22"/>
        </w:rPr>
        <w:t xml:space="preserve">Mathematical Flow: </w:t>
      </w:r>
      <w:r>
        <w:rPr>
          <w:rFonts w:ascii="Times New Roman" w:hAnsi="Times New Roman"/>
          <w:i w:val="0"/>
          <w:color w:val="0F172A"/>
          <w:sz w:val="22"/>
        </w:rPr>
        <w:t>The diagram illuminates how log1p compression mitigates Pareto monetary skewness before feeding standardized coordinates into the k-means++ seeding algorithm, ensuring mathematical convergence without centroid drift.</w:t>
      </w:r>
    </w:p>
    <w:p>
      <w:r>
        <w:br w:type="page"/>
      </w:r>
    </w:p>
    <w:p>
      <w:pPr>
        <w:spacing w:before="0" w:after="20" w:line="276" w:lineRule="auto"/>
        <w:jc w:val="right"/>
      </w:pPr>
      <w:r>
        <w:rPr>
          <w:rFonts w:ascii="Times New Roman" w:hAnsi="Times New Roman"/>
          <w:i/>
          <w:color w:val="0F172A"/>
          <w:sz w:val="22"/>
        </w:rPr>
        <w:t>Page 8</w:t>
      </w:r>
    </w:p>
    <w:p>
      <w:pPr>
        <w:keepNext/>
        <w:spacing w:before="100" w:after="40"/>
        <w:jc w:val="left"/>
      </w:pPr>
      <w:r>
        <w:rPr>
          <w:rFonts w:ascii="Times New Roman" w:hAnsi="Times New Roman"/>
          <w:b/>
          <w:color w:val="0F172A"/>
          <w:sz w:val="26"/>
        </w:rPr>
        <w:t>2.2 Use Case Modeling &amp; Architectural Interactions</w:t>
      </w:r>
    </w:p>
    <w:p>
      <w:pPr>
        <w:spacing w:before="0" w:after="70" w:line="276" w:lineRule="auto"/>
        <w:jc w:val="both"/>
      </w:pPr>
      <w:r>
        <w:rPr>
          <w:rFonts w:ascii="Times New Roman" w:hAnsi="Times New Roman"/>
          <w:i w:val="0"/>
          <w:color w:val="0F172A"/>
          <w:sz w:val="22"/>
        </w:rPr>
        <w:t>The Use Case model defines the functional interactions between human actors (System Administrator, Marketing Strategist, Executive Decision Maker) and system capabilities.</w:t>
      </w:r>
    </w:p>
    <w:p>
      <w:pPr>
        <w:spacing w:before="80" w:after="40"/>
        <w:jc w:val="center"/>
      </w:pPr>
      <w:r>
        <w:drawing>
          <wp:inline xmlns:a="http://schemas.openxmlformats.org/drawingml/2006/main" xmlns:pic="http://schemas.openxmlformats.org/drawingml/2006/picture">
            <wp:extent cx="4389120" cy="2852928"/>
            <wp:docPr id="5" name="Picture 5"/>
            <wp:cNvGraphicFramePr>
              <a:graphicFrameLocks noChangeAspect="1"/>
            </wp:cNvGraphicFramePr>
            <a:graphic>
              <a:graphicData uri="http://schemas.openxmlformats.org/drawingml/2006/picture">
                <pic:pic>
                  <pic:nvPicPr>
                    <pic:cNvPr id="0" name="fig_use_case_diagram.png"/>
                    <pic:cNvPicPr/>
                  </pic:nvPicPr>
                  <pic:blipFill>
                    <a:blip r:embed="rId13"/>
                    <a:stretch>
                      <a:fillRect/>
                    </a:stretch>
                  </pic:blipFill>
                  <pic:spPr>
                    <a:xfrm>
                      <a:off x="0" y="0"/>
                      <a:ext cx="4389120" cy="2852928"/>
                    </a:xfrm>
                    <a:prstGeom prst="rect"/>
                  </pic:spPr>
                </pic:pic>
              </a:graphicData>
            </a:graphic>
          </wp:inline>
        </w:drawing>
      </w:r>
    </w:p>
    <w:p>
      <w:pPr>
        <w:spacing w:before="40" w:after="70"/>
        <w:jc w:val="center"/>
      </w:pPr>
      <w:r>
        <w:rPr>
          <w:rFonts w:ascii="Times New Roman" w:hAnsi="Times New Roman"/>
          <w:b/>
          <w:color w:val="475569"/>
          <w:sz w:val="19"/>
        </w:rPr>
        <w:t>Figure 2.4: Comprehensive Use Case Diagram for Analytical Administration &amp; Cohort Export</w:t>
      </w:r>
    </w:p>
    <w:p>
      <w:pPr>
        <w:spacing w:before="0" w:after="70" w:line="276" w:lineRule="auto"/>
        <w:jc w:val="both"/>
      </w:pPr>
      <w:r>
        <w:rPr>
          <w:rFonts w:ascii="Times New Roman" w:hAnsi="Times New Roman"/>
          <w:b/>
          <w:color w:val="0F172A"/>
          <w:sz w:val="22"/>
        </w:rPr>
        <w:t xml:space="preserve">Actor Taxonomy: </w:t>
      </w:r>
      <w:r>
        <w:rPr>
          <w:rFonts w:ascii="Times New Roman" w:hAnsi="Times New Roman"/>
          <w:i w:val="0"/>
          <w:color w:val="0F172A"/>
          <w:sz w:val="22"/>
        </w:rPr>
        <w:t>The model identifies three core actors: the Data Science Engineer calibrates cluster parameters; the Marketing Officer explores persona distributions and downloads segmented CSVs; and the System Administrator manages authentication and data uploads.</w:t>
      </w:r>
    </w:p>
    <w:p>
      <w:r>
        <w:br w:type="page"/>
      </w:r>
    </w:p>
    <w:p>
      <w:pPr>
        <w:spacing w:before="0" w:after="20" w:line="276" w:lineRule="auto"/>
        <w:jc w:val="right"/>
      </w:pPr>
      <w:r>
        <w:rPr>
          <w:rFonts w:ascii="Times New Roman" w:hAnsi="Times New Roman"/>
          <w:i/>
          <w:color w:val="0F172A"/>
          <w:sz w:val="22"/>
        </w:rPr>
        <w:t>Page 9</w:t>
      </w:r>
    </w:p>
    <w:p>
      <w:pPr>
        <w:keepNext/>
        <w:spacing w:before="100" w:after="40"/>
        <w:jc w:val="left"/>
      </w:pPr>
      <w:r>
        <w:rPr>
          <w:rFonts w:ascii="Times New Roman" w:hAnsi="Times New Roman"/>
          <w:b/>
          <w:color w:val="0F172A"/>
          <w:sz w:val="26"/>
        </w:rPr>
        <w:t>2.2 Formal Use Case Specifications Matrix</w:t>
      </w:r>
    </w:p>
    <w:p>
      <w:pPr>
        <w:spacing w:before="0" w:after="70" w:line="276" w:lineRule="auto"/>
        <w:jc w:val="both"/>
      </w:pPr>
      <w:r>
        <w:rPr>
          <w:rFonts w:ascii="Times New Roman" w:hAnsi="Times New Roman"/>
          <w:i w:val="0"/>
          <w:color w:val="0F172A"/>
          <w:sz w:val="22"/>
        </w:rPr>
        <w:t>Each use case is formally defined with preconditions, triggers, operational workflows, and postconditions to ensure deterministic system behavior.</w:t>
      </w:r>
    </w:p>
    <w:p>
      <w:pPr>
        <w:spacing w:before="40" w:after="70"/>
        <w:jc w:val="center"/>
      </w:pPr>
      <w:r>
        <w:rPr>
          <w:rFonts w:ascii="Times New Roman" w:hAnsi="Times New Roman"/>
          <w:b/>
          <w:color w:val="475569"/>
          <w:sz w:val="19"/>
        </w:rPr>
        <w:t>Table 2.1: Formal Use Case Specification Matrix</w:t>
      </w:r>
    </w:p>
    <w:tbl>
      <w:tblPr>
        <w:tblW w:type="auto" w:w="0"/>
        <w:jc w:val="center"/>
        <w:tblLook w:firstColumn="1" w:firstRow="1" w:lastColumn="0" w:lastRow="0" w:noHBand="0" w:noVBand="1" w:val="04A0"/>
      </w:tblPr>
      <w:tblGrid>
        <w:gridCol w:w="2358"/>
        <w:gridCol w:w="2358"/>
        <w:gridCol w:w="2358"/>
        <w:gridCol w:w="2358"/>
      </w:tblGrid>
      <w:tr>
        <w:tc>
          <w:tcPr>
            <w:tcW w:type="dxa" w:w="115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UC ID</w:t>
            </w:r>
          </w:p>
        </w:tc>
        <w:tc>
          <w:tcPr>
            <w:tcW w:type="dxa" w:w="259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USE CASE NAME</w:t>
            </w:r>
          </w:p>
        </w:tc>
        <w:tc>
          <w:tcPr>
            <w:tcW w:type="dxa" w:w="201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PRIMARY ACTOR</w:t>
            </w:r>
          </w:p>
        </w:tc>
        <w:tc>
          <w:tcPr>
            <w:tcW w:type="dxa" w:w="302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OPERATIONAL PRECONDITIONS &amp; TRIGGER</w:t>
            </w:r>
          </w:p>
        </w:tc>
      </w:tr>
      <w:tr>
        <w:tc>
          <w:tcPr>
            <w:tcW w:type="dxa" w:w="1152"/>
            <w:shd w:fill="F8FAFC"/>
            <w:tcMar>
              <w:top w:w="10" w:type="dxa"/>
              <w:bottom w:w="10" w:type="dxa"/>
              <w:left w:w="14" w:type="dxa"/>
              <w:right w:w="14"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UC-01</w:t>
            </w:r>
          </w:p>
        </w:tc>
        <w:tc>
          <w:tcPr>
            <w:tcW w:type="dxa" w:w="2592"/>
            <w:shd w:fill="F8FAFC"/>
            <w:tcMar>
              <w:top w:w="10" w:type="dxa"/>
              <w:bottom w:w="10" w:type="dxa"/>
              <w:left w:w="14" w:type="dxa"/>
              <w:right w:w="14"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Upload &amp; Clean Transaction Logs</w:t>
            </w:r>
          </w:p>
        </w:tc>
        <w:tc>
          <w:tcPr>
            <w:tcW w:type="dxa" w:w="2016"/>
            <w:shd w:fill="F8FAFC"/>
            <w:tcMar>
              <w:top w:w="10" w:type="dxa"/>
              <w:bottom w:w="10" w:type="dxa"/>
              <w:left w:w="14" w:type="dxa"/>
              <w:right w:w="14"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System Administrator</w:t>
            </w:r>
          </w:p>
        </w:tc>
        <w:tc>
          <w:tcPr>
            <w:tcW w:type="dxa" w:w="3024"/>
            <w:shd w:fill="F8FAFC"/>
            <w:tcMar>
              <w:top w:w="10" w:type="dxa"/>
              <w:bottom w:w="10" w:type="dxa"/>
              <w:left w:w="14" w:type="dxa"/>
              <w:right w:w="14"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User authenticated; raw transactional CSV conforms to required column headers.</w:t>
            </w:r>
          </w:p>
        </w:tc>
      </w:tr>
      <w:tr>
        <w:tc>
          <w:tcPr>
            <w:tcW w:type="dxa" w:w="1152"/>
            <w:shd w:fill="FFFFFF"/>
            <w:tcMar>
              <w:top w:w="10" w:type="dxa"/>
              <w:bottom w:w="10" w:type="dxa"/>
              <w:left w:w="14" w:type="dxa"/>
              <w:right w:w="14"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UC-02</w:t>
            </w:r>
          </w:p>
        </w:tc>
        <w:tc>
          <w:tcPr>
            <w:tcW w:type="dxa" w:w="2592"/>
            <w:shd w:fill="FFFFFF"/>
            <w:tcMar>
              <w:top w:w="10" w:type="dxa"/>
              <w:bottom w:w="10" w:type="dxa"/>
              <w:left w:w="14" w:type="dxa"/>
              <w:right w:w="14"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Calibrate K-Means Model</w:t>
            </w:r>
          </w:p>
        </w:tc>
        <w:tc>
          <w:tcPr>
            <w:tcW w:type="dxa" w:w="2016"/>
            <w:shd w:fill="FFFFFF"/>
            <w:tcMar>
              <w:top w:w="10" w:type="dxa"/>
              <w:bottom w:w="10" w:type="dxa"/>
              <w:left w:w="14" w:type="dxa"/>
              <w:right w:w="14"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Data Science Engineer</w:t>
            </w:r>
          </w:p>
        </w:tc>
        <w:tc>
          <w:tcPr>
            <w:tcW w:type="dxa" w:w="3024"/>
            <w:shd w:fill="FFFFFF"/>
            <w:tcMar>
              <w:top w:w="10" w:type="dxa"/>
              <w:bottom w:w="10" w:type="dxa"/>
              <w:left w:w="14" w:type="dxa"/>
              <w:right w:w="14"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Feature matrix scaled; cluster slider adjusted between k=2 and k=8; silhouette evaluated.</w:t>
            </w:r>
          </w:p>
        </w:tc>
      </w:tr>
      <w:tr>
        <w:tc>
          <w:tcPr>
            <w:tcW w:type="dxa" w:w="1152"/>
            <w:shd w:fill="F8FAFC"/>
            <w:tcMar>
              <w:top w:w="10" w:type="dxa"/>
              <w:bottom w:w="10" w:type="dxa"/>
              <w:left w:w="14" w:type="dxa"/>
              <w:right w:w="14"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UC-03</w:t>
            </w:r>
          </w:p>
        </w:tc>
        <w:tc>
          <w:tcPr>
            <w:tcW w:type="dxa" w:w="2592"/>
            <w:shd w:fill="F8FAFC"/>
            <w:tcMar>
              <w:top w:w="10" w:type="dxa"/>
              <w:bottom w:w="10" w:type="dxa"/>
              <w:left w:w="14" w:type="dxa"/>
              <w:right w:w="14"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Explore Behavioral Personas</w:t>
            </w:r>
          </w:p>
        </w:tc>
        <w:tc>
          <w:tcPr>
            <w:tcW w:type="dxa" w:w="2016"/>
            <w:shd w:fill="F8FAFC"/>
            <w:tcMar>
              <w:top w:w="10" w:type="dxa"/>
              <w:bottom w:w="10" w:type="dxa"/>
              <w:left w:w="14" w:type="dxa"/>
              <w:right w:w="14"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Marketing Strategist</w:t>
            </w:r>
          </w:p>
        </w:tc>
        <w:tc>
          <w:tcPr>
            <w:tcW w:type="dxa" w:w="3024"/>
            <w:shd w:fill="F8FAFC"/>
            <w:tcMar>
              <w:top w:w="10" w:type="dxa"/>
              <w:bottom w:w="10" w:type="dxa"/>
              <w:left w:w="14" w:type="dxa"/>
              <w:right w:w="14"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Model fitted; user applies multi-select filters across Champions, Loyal, and At-Risk.</w:t>
            </w:r>
          </w:p>
        </w:tc>
      </w:tr>
      <w:tr>
        <w:tc>
          <w:tcPr>
            <w:tcW w:type="dxa" w:w="1152"/>
            <w:shd w:fill="FFFFFF"/>
            <w:tcMar>
              <w:top w:w="10" w:type="dxa"/>
              <w:bottom w:w="10" w:type="dxa"/>
              <w:left w:w="14" w:type="dxa"/>
              <w:right w:w="14"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UC-04</w:t>
            </w:r>
          </w:p>
        </w:tc>
        <w:tc>
          <w:tcPr>
            <w:tcW w:type="dxa" w:w="2592"/>
            <w:shd w:fill="FFFFFF"/>
            <w:tcMar>
              <w:top w:w="10" w:type="dxa"/>
              <w:bottom w:w="10" w:type="dxa"/>
              <w:left w:w="14" w:type="dxa"/>
              <w:right w:w="14"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Export Actionable Campaign CSV</w:t>
            </w:r>
          </w:p>
        </w:tc>
        <w:tc>
          <w:tcPr>
            <w:tcW w:type="dxa" w:w="2016"/>
            <w:shd w:fill="FFFFFF"/>
            <w:tcMar>
              <w:top w:w="10" w:type="dxa"/>
              <w:bottom w:w="10" w:type="dxa"/>
              <w:left w:w="14" w:type="dxa"/>
              <w:right w:w="14"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Marketing Strategist</w:t>
            </w:r>
          </w:p>
        </w:tc>
        <w:tc>
          <w:tcPr>
            <w:tcW w:type="dxa" w:w="3024"/>
            <w:shd w:fill="FFFFFF"/>
            <w:tcMar>
              <w:top w:w="10" w:type="dxa"/>
              <w:bottom w:w="10" w:type="dxa"/>
              <w:left w:w="14" w:type="dxa"/>
              <w:right w:w="14"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Target cohort filtered; system generates encrypted CSV list with recommended actions.</w:t>
            </w:r>
          </w:p>
        </w:tc>
      </w:tr>
      <w:tr>
        <w:tc>
          <w:tcPr>
            <w:tcW w:type="dxa" w:w="1152"/>
            <w:shd w:fill="F8FAFC"/>
            <w:tcMar>
              <w:top w:w="10" w:type="dxa"/>
              <w:bottom w:w="10" w:type="dxa"/>
              <w:left w:w="14" w:type="dxa"/>
              <w:right w:w="14"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UC-05</w:t>
            </w:r>
          </w:p>
        </w:tc>
        <w:tc>
          <w:tcPr>
            <w:tcW w:type="dxa" w:w="2592"/>
            <w:shd w:fill="F8FAFC"/>
            <w:tcMar>
              <w:top w:w="10" w:type="dxa"/>
              <w:bottom w:w="10" w:type="dxa"/>
              <w:left w:w="14" w:type="dxa"/>
              <w:right w:w="14"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Monitor Portfolio Health KPIs</w:t>
            </w:r>
          </w:p>
        </w:tc>
        <w:tc>
          <w:tcPr>
            <w:tcW w:type="dxa" w:w="2016"/>
            <w:shd w:fill="F8FAFC"/>
            <w:tcMar>
              <w:top w:w="10" w:type="dxa"/>
              <w:bottom w:w="10" w:type="dxa"/>
              <w:left w:w="14" w:type="dxa"/>
              <w:right w:w="14"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Executive Leadership</w:t>
            </w:r>
          </w:p>
        </w:tc>
        <w:tc>
          <w:tcPr>
            <w:tcW w:type="dxa" w:w="3024"/>
            <w:shd w:fill="F8FAFC"/>
            <w:tcMar>
              <w:top w:w="10" w:type="dxa"/>
              <w:bottom w:w="10" w:type="dxa"/>
              <w:left w:w="14" w:type="dxa"/>
              <w:right w:w="14"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Dashboard active; real-time metric cards render revenue concentration and churn risk.</w:t>
            </w:r>
          </w:p>
        </w:tc>
      </w:tr>
    </w:tbl>
    <w:p>
      <w:r>
        <w:br w:type="page"/>
      </w:r>
    </w:p>
    <w:p>
      <w:pPr>
        <w:spacing w:before="0" w:after="20" w:line="276" w:lineRule="auto"/>
        <w:jc w:val="right"/>
      </w:pPr>
      <w:r>
        <w:rPr>
          <w:rFonts w:ascii="Times New Roman" w:hAnsi="Times New Roman"/>
          <w:i/>
          <w:color w:val="0F172A"/>
          <w:sz w:val="22"/>
        </w:rPr>
        <w:t>Page 10</w:t>
      </w:r>
    </w:p>
    <w:p>
      <w:pPr>
        <w:keepNext/>
        <w:spacing w:before="100" w:after="40"/>
        <w:jc w:val="left"/>
      </w:pPr>
      <w:r>
        <w:rPr>
          <w:rFonts w:ascii="Times New Roman" w:hAnsi="Times New Roman"/>
          <w:b/>
          <w:color w:val="0F172A"/>
          <w:sz w:val="26"/>
        </w:rPr>
        <w:t>2.3 Object-Oriented Software Architecture: UML Class Model</w:t>
      </w:r>
    </w:p>
    <w:p>
      <w:pPr>
        <w:spacing w:before="0" w:after="70" w:line="276" w:lineRule="auto"/>
        <w:jc w:val="both"/>
      </w:pPr>
      <w:r>
        <w:rPr>
          <w:rFonts w:ascii="Times New Roman" w:hAnsi="Times New Roman"/>
          <w:i w:val="0"/>
          <w:color w:val="0F172A"/>
          <w:sz w:val="22"/>
        </w:rPr>
        <w:t>The software architecture follows clean domain-driven design principles. The modular class diagram decouples data ingestion, feature engineering, mathematical clustering, and user presentation.</w:t>
      </w:r>
    </w:p>
    <w:p>
      <w:pPr>
        <w:spacing w:before="80" w:after="40"/>
        <w:jc w:val="center"/>
      </w:pPr>
      <w:r>
        <w:drawing>
          <wp:inline xmlns:a="http://schemas.openxmlformats.org/drawingml/2006/main" xmlns:pic="http://schemas.openxmlformats.org/drawingml/2006/picture">
            <wp:extent cx="4389120" cy="2743200"/>
            <wp:docPr id="6" name="Picture 6"/>
            <wp:cNvGraphicFramePr>
              <a:graphicFrameLocks noChangeAspect="1"/>
            </wp:cNvGraphicFramePr>
            <a:graphic>
              <a:graphicData uri="http://schemas.openxmlformats.org/drawingml/2006/picture">
                <pic:pic>
                  <pic:nvPicPr>
                    <pic:cNvPr id="0" name="fig_class_diagram.png"/>
                    <pic:cNvPicPr/>
                  </pic:nvPicPr>
                  <pic:blipFill>
                    <a:blip r:embed="rId14"/>
                    <a:stretch>
                      <a:fillRect/>
                    </a:stretch>
                  </pic:blipFill>
                  <pic:spPr>
                    <a:xfrm>
                      <a:off x="0" y="0"/>
                      <a:ext cx="4389120" cy="2743200"/>
                    </a:xfrm>
                    <a:prstGeom prst="rect"/>
                  </pic:spPr>
                </pic:pic>
              </a:graphicData>
            </a:graphic>
          </wp:inline>
        </w:drawing>
      </w:r>
    </w:p>
    <w:p>
      <w:pPr>
        <w:spacing w:before="40" w:after="70"/>
        <w:jc w:val="center"/>
      </w:pPr>
      <w:r>
        <w:rPr>
          <w:rFonts w:ascii="Times New Roman" w:hAnsi="Times New Roman"/>
          <w:b/>
          <w:color w:val="475569"/>
          <w:sz w:val="19"/>
        </w:rPr>
        <w:t>Figure 2.5: UML Class Diagram Depicting Domain Entities, Interfaces &amp; Method Signatures</w:t>
      </w:r>
    </w:p>
    <w:p>
      <w:pPr>
        <w:spacing w:before="0" w:after="70" w:line="276" w:lineRule="auto"/>
        <w:jc w:val="both"/>
      </w:pPr>
      <w:r>
        <w:rPr>
          <w:rFonts w:ascii="Times New Roman" w:hAnsi="Times New Roman"/>
          <w:b/>
          <w:color w:val="0F172A"/>
          <w:sz w:val="22"/>
        </w:rPr>
        <w:t xml:space="preserve">Structural Collaboration: </w:t>
      </w:r>
      <w:r>
        <w:rPr>
          <w:rFonts w:ascii="Times New Roman" w:hAnsi="Times New Roman"/>
          <w:i w:val="0"/>
          <w:color w:val="0F172A"/>
          <w:sz w:val="22"/>
        </w:rPr>
        <w:t>The design encapsulates four primary domain classes: TransactionLoader validates schema integrity and eliminates negative quantity returns; RFMFeatureEngine executes vectorized groupby aggregation; KMeansClusterEngine applies log1p transform, StandardScaler, and k-means++ optimization; and DashboardPresenter serves real-time persona distributions and filtered data exports.</w:t>
      </w:r>
    </w:p>
    <w:p>
      <w:r>
        <w:br w:type="page"/>
      </w:r>
    </w:p>
    <w:p>
      <w:pPr>
        <w:spacing w:before="0" w:after="20" w:line="276" w:lineRule="auto"/>
        <w:jc w:val="right"/>
      </w:pPr>
      <w:r>
        <w:rPr>
          <w:rFonts w:ascii="Times New Roman" w:hAnsi="Times New Roman"/>
          <w:i/>
          <w:color w:val="0F172A"/>
          <w:sz w:val="22"/>
        </w:rPr>
        <w:t>Page 11</w:t>
      </w:r>
    </w:p>
    <w:p>
      <w:pPr>
        <w:keepNext/>
        <w:spacing w:before="80" w:after="30"/>
        <w:jc w:val="left"/>
      </w:pPr>
      <w:r>
        <w:rPr>
          <w:rFonts w:ascii="Times New Roman" w:hAnsi="Times New Roman"/>
          <w:b/>
          <w:color w:val="0F172A"/>
          <w:sz w:val="23"/>
        </w:rPr>
        <w:t>Domain Entity Contracts &amp; Software Design Patterns</w:t>
      </w:r>
    </w:p>
    <w:p>
      <w:pPr>
        <w:spacing w:before="0" w:after="70" w:line="276" w:lineRule="auto"/>
        <w:jc w:val="both"/>
      </w:pPr>
      <w:r>
        <w:rPr>
          <w:rFonts w:ascii="Times New Roman" w:hAnsi="Times New Roman"/>
          <w:i w:val="0"/>
          <w:color w:val="0F172A"/>
          <w:sz w:val="22"/>
        </w:rPr>
        <w:t>To ensure modularity and maintainability, the system implements three foundational software design patterns:</w:t>
      </w:r>
    </w:p>
    <w:p>
      <w:pPr>
        <w:spacing w:before="0" w:after="70" w:line="276" w:lineRule="auto"/>
        <w:jc w:val="both"/>
      </w:pPr>
      <w:r>
        <w:rPr>
          <w:rFonts w:ascii="Times New Roman" w:hAnsi="Times New Roman"/>
          <w:i w:val="0"/>
          <w:color w:val="0F172A"/>
          <w:sz w:val="22"/>
        </w:rPr>
        <w:t>1. Pipeline Pattern (`RetailDataPipeline`): Encapsulates raw data ingestion, schema checking, and reversal auditing into a sequence of immutable data transformation steps.</w:t>
        <w:br/>
        <w:t>2. Strategy Pattern (`CustomerSegmentationEngine`): Encapsulates clustering algorithms behind a unified interface, allowing runtime switching between K-Means++, DBSCAN, and Agglomerative Hierarchical clustering.</w:t>
        <w:br/>
        <w:t>3. Presenter Pattern (`DashboardPresenter`): Mediates between analytical data stores and the Streamlit UI, formatting data records into JSON payloads for responsive browser rendering.</w:t>
      </w:r>
    </w:p>
    <w:p>
      <w:pPr>
        <w:spacing w:before="0" w:after="70" w:line="276" w:lineRule="auto"/>
        <w:jc w:val="both"/>
      </w:pPr>
      <w:r>
        <w:rPr>
          <w:rFonts w:ascii="Times New Roman" w:hAnsi="Times New Roman"/>
          <w:b/>
          <w:color w:val="0F172A"/>
          <w:sz w:val="22"/>
        </w:rPr>
        <w:t xml:space="preserve">Type Safety: </w:t>
      </w:r>
      <w:r>
        <w:rPr>
          <w:rFonts w:ascii="Times New Roman" w:hAnsi="Times New Roman"/>
          <w:i w:val="0"/>
          <w:color w:val="0F172A"/>
          <w:sz w:val="22"/>
        </w:rPr>
        <w:t>Class interfaces enforce strict Python type annotations (`typing.Dict`, `typing.Tuple`, `pd.DataFrame`), enabling automated static analysis via `mypy` and eliminating runtime type errors.</w:t>
      </w:r>
    </w:p>
    <w:p>
      <w:r>
        <w:br w:type="page"/>
      </w:r>
    </w:p>
    <w:p>
      <w:pPr>
        <w:spacing w:before="0" w:after="20" w:line="276" w:lineRule="auto"/>
        <w:jc w:val="right"/>
      </w:pPr>
      <w:r>
        <w:rPr>
          <w:rFonts w:ascii="Times New Roman" w:hAnsi="Times New Roman"/>
          <w:i/>
          <w:color w:val="0F172A"/>
          <w:sz w:val="22"/>
        </w:rPr>
        <w:t>Page 12</w:t>
      </w:r>
    </w:p>
    <w:p>
      <w:pPr>
        <w:keepNext/>
        <w:spacing w:before="100" w:after="40"/>
        <w:jc w:val="left"/>
      </w:pPr>
      <w:r>
        <w:rPr>
          <w:rFonts w:ascii="Times New Roman" w:hAnsi="Times New Roman"/>
          <w:b/>
          <w:color w:val="0F172A"/>
          <w:sz w:val="26"/>
        </w:rPr>
        <w:t>2.4 Dynamic Runtime Collaboration: UML Sequence Diagrams</w:t>
      </w:r>
    </w:p>
    <w:p>
      <w:pPr>
        <w:spacing w:before="0" w:after="70" w:line="276" w:lineRule="auto"/>
        <w:jc w:val="both"/>
      </w:pPr>
      <w:r>
        <w:rPr>
          <w:rFonts w:ascii="Times New Roman" w:hAnsi="Times New Roman"/>
          <w:i w:val="0"/>
          <w:color w:val="0F172A"/>
          <w:sz w:val="22"/>
        </w:rPr>
        <w:t>Sequence diagrams capture the synchronous chronological message flow across pipeline components during transactional processing and interactive exploration.</w:t>
      </w:r>
    </w:p>
    <w:p>
      <w:pPr>
        <w:spacing w:before="80" w:after="40"/>
        <w:jc w:val="center"/>
      </w:pPr>
      <w:r>
        <w:drawing>
          <wp:inline xmlns:a="http://schemas.openxmlformats.org/drawingml/2006/main" xmlns:pic="http://schemas.openxmlformats.org/drawingml/2006/picture">
            <wp:extent cx="4389120" cy="2743200"/>
            <wp:docPr id="7" name="Picture 7"/>
            <wp:cNvGraphicFramePr>
              <a:graphicFrameLocks noChangeAspect="1"/>
            </wp:cNvGraphicFramePr>
            <a:graphic>
              <a:graphicData uri="http://schemas.openxmlformats.org/drawingml/2006/picture">
                <pic:pic>
                  <pic:nvPicPr>
                    <pic:cNvPr id="0" name="fig_sequence_diagram.png"/>
                    <pic:cNvPicPr/>
                  </pic:nvPicPr>
                  <pic:blipFill>
                    <a:blip r:embed="rId15"/>
                    <a:stretch>
                      <a:fillRect/>
                    </a:stretch>
                  </pic:blipFill>
                  <pic:spPr>
                    <a:xfrm>
                      <a:off x="0" y="0"/>
                      <a:ext cx="4389120" cy="2743200"/>
                    </a:xfrm>
                    <a:prstGeom prst="rect"/>
                  </pic:spPr>
                </pic:pic>
              </a:graphicData>
            </a:graphic>
          </wp:inline>
        </w:drawing>
      </w:r>
    </w:p>
    <w:p>
      <w:pPr>
        <w:spacing w:before="40" w:after="70"/>
        <w:jc w:val="center"/>
      </w:pPr>
      <w:r>
        <w:rPr>
          <w:rFonts w:ascii="Times New Roman" w:hAnsi="Times New Roman"/>
          <w:b/>
          <w:color w:val="475569"/>
          <w:sz w:val="19"/>
        </w:rPr>
        <w:t>Figure 2.6: UML Sequence Diagram for Transaction Ingestion, Clustering &amp; Dashboard Interaction</w:t>
      </w:r>
    </w:p>
    <w:p>
      <w:pPr>
        <w:spacing w:before="0" w:after="70" w:line="276" w:lineRule="auto"/>
        <w:jc w:val="both"/>
      </w:pPr>
      <w:r>
        <w:rPr>
          <w:rFonts w:ascii="Times New Roman" w:hAnsi="Times New Roman"/>
          <w:b/>
          <w:color w:val="0F172A"/>
          <w:sz w:val="22"/>
        </w:rPr>
        <w:t xml:space="preserve">Runtime Execution Flow: </w:t>
      </w:r>
      <w:r>
        <w:rPr>
          <w:rFonts w:ascii="Times New Roman" w:hAnsi="Times New Roman"/>
          <w:i w:val="0"/>
          <w:color w:val="0F172A"/>
          <w:sz w:val="22"/>
        </w:rPr>
        <w:t>The sequence reveals a strictly decoupled synchronous flow: (1) Ingestion checks file format and schema headers; (2) Preprocessing eliminates negative returns and null IDs; (3) Feature extraction aggregates metrics; (4) Clustering fits model centers; (5) Presenter serves filtered views and downloads.</w:t>
      </w:r>
    </w:p>
    <w:p>
      <w:r>
        <w:br w:type="page"/>
      </w:r>
    </w:p>
    <w:p>
      <w:pPr>
        <w:spacing w:before="0" w:after="20" w:line="276" w:lineRule="auto"/>
        <w:jc w:val="right"/>
      </w:pPr>
      <w:r>
        <w:rPr>
          <w:rFonts w:ascii="Times New Roman" w:hAnsi="Times New Roman"/>
          <w:i/>
          <w:color w:val="0F172A"/>
          <w:sz w:val="22"/>
        </w:rPr>
        <w:t>Page 13</w:t>
      </w:r>
    </w:p>
    <w:p>
      <w:pPr>
        <w:keepNext/>
        <w:spacing w:before="120" w:after="50"/>
        <w:jc w:val="left"/>
      </w:pPr>
      <w:r>
        <w:rPr>
          <w:rFonts w:ascii="Times New Roman" w:hAnsi="Times New Roman"/>
          <w:b/>
          <w:color w:val="1E1B4B"/>
          <w:sz w:val="30"/>
        </w:rPr>
        <w:t>3. DATA DICTIONARY &amp; PROJECT ESTIMATION:</w:t>
      </w:r>
    </w:p>
    <w:p>
      <w:pPr>
        <w:keepNext/>
        <w:spacing w:before="100" w:after="40"/>
        <w:jc w:val="left"/>
      </w:pPr>
      <w:r>
        <w:rPr>
          <w:rFonts w:ascii="Times New Roman" w:hAnsi="Times New Roman"/>
          <w:b/>
          <w:color w:val="0F172A"/>
          <w:sz w:val="26"/>
        </w:rPr>
        <w:t>3.1 Star-Schema Dimensional Data Warehouse Architecture</w:t>
      </w:r>
    </w:p>
    <w:p>
      <w:pPr>
        <w:spacing w:before="0" w:after="70" w:line="276" w:lineRule="auto"/>
        <w:jc w:val="both"/>
      </w:pPr>
      <w:r>
        <w:rPr>
          <w:rFonts w:ascii="Times New Roman" w:hAnsi="Times New Roman"/>
          <w:i w:val="0"/>
          <w:color w:val="0F172A"/>
          <w:sz w:val="22"/>
        </w:rPr>
        <w:t>The analytical storage model follows an enterprise star-schema design, separating transactional event facts from customer behavioral dimensions. This enables high-speed analytical OLAP querying while preserving an immutable audit log.</w:t>
      </w:r>
    </w:p>
    <w:p>
      <w:pPr>
        <w:spacing w:before="0" w:after="70" w:line="276" w:lineRule="auto"/>
        <w:jc w:val="both"/>
      </w:pPr>
      <w:r>
        <w:rPr>
          <w:rFonts w:ascii="Times New Roman" w:hAnsi="Times New Roman"/>
          <w:i w:val="0"/>
          <w:color w:val="0F172A"/>
          <w:sz w:val="22"/>
        </w:rPr>
        <w:t>1. Central Fact Table (`FactTransactions`): Records individual merchandise line items, sale prices, quantities, and timestamps down to second precision.</w:t>
        <w:br/>
        <w:t>2. Dedicated Audit Fact (`FactReversalsAudit`): Isolates credit cancellations, refunds, and return transactions (Invoice 'C*'), providing full compliance with financial accounting standards.</w:t>
        <w:br/>
        <w:t>3. Central Customer Dimension (`DimCustomerRFM`): Houses aggregated behavioral features (Recency, Frequency, Monetary, AOV) alongside ML cluster assignments and qualitative business personas.</w:t>
      </w:r>
    </w:p>
    <w:p>
      <w:pPr>
        <w:spacing w:before="0" w:after="70" w:line="276" w:lineRule="auto"/>
        <w:jc w:val="both"/>
      </w:pPr>
      <w:r>
        <w:rPr>
          <w:rFonts w:ascii="Times New Roman" w:hAnsi="Times New Roman"/>
          <w:b/>
          <w:color w:val="0F172A"/>
          <w:sz w:val="22"/>
        </w:rPr>
        <w:t xml:space="preserve">Dimensional Integrity: </w:t>
      </w:r>
      <w:r>
        <w:rPr>
          <w:rFonts w:ascii="Times New Roman" w:hAnsi="Times New Roman"/>
          <w:i w:val="0"/>
          <w:color w:val="0F172A"/>
          <w:sz w:val="22"/>
        </w:rPr>
        <w:t>This architectural separation guarantees that operational aggregations never mutate historical transactional logs, supporting ACID-compliant reporting and reproducible model training.</w:t>
      </w:r>
    </w:p>
    <w:p>
      <w:r>
        <w:br w:type="page"/>
      </w:r>
    </w:p>
    <w:p>
      <w:pPr>
        <w:spacing w:before="0" w:after="20" w:line="276" w:lineRule="auto"/>
        <w:jc w:val="right"/>
      </w:pPr>
      <w:r>
        <w:rPr>
          <w:rFonts w:ascii="Times New Roman" w:hAnsi="Times New Roman"/>
          <w:i/>
          <w:color w:val="0F172A"/>
          <w:sz w:val="22"/>
        </w:rPr>
        <w:t>Page 14</w:t>
      </w:r>
    </w:p>
    <w:p>
      <w:pPr>
        <w:keepNext/>
        <w:spacing w:before="100" w:after="40"/>
        <w:jc w:val="left"/>
      </w:pPr>
      <w:r>
        <w:rPr>
          <w:rFonts w:ascii="Times New Roman" w:hAnsi="Times New Roman"/>
          <w:b/>
          <w:color w:val="0F172A"/>
          <w:sz w:val="26"/>
        </w:rPr>
        <w:t>3.1 Data Dictionary — Fact Transactions &amp; Reversals Audit</w:t>
      </w:r>
    </w:p>
    <w:p>
      <w:pPr>
        <w:spacing w:before="40" w:after="70"/>
        <w:jc w:val="center"/>
      </w:pPr>
      <w:r>
        <w:rPr>
          <w:rFonts w:ascii="Times New Roman" w:hAnsi="Times New Roman"/>
          <w:b/>
          <w:color w:val="475569"/>
          <w:sz w:val="19"/>
        </w:rPr>
        <w:t>Table 3.1: Data Dictionary — FactTransactions Table Schema</w:t>
      </w:r>
    </w:p>
    <w:tbl>
      <w:tblPr>
        <w:tblW w:type="auto" w:w="0"/>
        <w:jc w:val="center"/>
        <w:tblLook w:firstColumn="1" w:firstRow="1" w:lastColumn="0" w:lastRow="0" w:noHBand="0" w:noVBand="1" w:val="04A0"/>
      </w:tblPr>
      <w:tblGrid>
        <w:gridCol w:w="1886"/>
        <w:gridCol w:w="1886"/>
        <w:gridCol w:w="1886"/>
        <w:gridCol w:w="1886"/>
        <w:gridCol w:w="1886"/>
      </w:tblGrid>
      <w:tr>
        <w:tc>
          <w:tcPr>
            <w:tcW w:type="dxa" w:w="158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FIELD NAME</w:t>
            </w:r>
          </w:p>
        </w:tc>
        <w:tc>
          <w:tcPr>
            <w:tcW w:type="dxa" w:w="144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DATA TYPE</w:t>
            </w:r>
          </w:p>
        </w:tc>
        <w:tc>
          <w:tcPr>
            <w:tcW w:type="dxa" w:w="115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NULLABLE</w:t>
            </w:r>
          </w:p>
        </w:tc>
        <w:tc>
          <w:tcPr>
            <w:tcW w:type="dxa" w:w="172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KEY / CONSTRAINT</w:t>
            </w:r>
          </w:p>
        </w:tc>
        <w:tc>
          <w:tcPr>
            <w:tcW w:type="dxa" w:w="288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DESCRIPTION &amp; DOMAIN</w:t>
            </w:r>
          </w:p>
        </w:tc>
      </w:tr>
      <w:tr>
        <w:tc>
          <w:tcPr>
            <w:tcW w:type="dxa" w:w="1584"/>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InvoiceNo</w:t>
            </w:r>
          </w:p>
        </w:tc>
        <w:tc>
          <w:tcPr>
            <w:tcW w:type="dxa" w:w="1440"/>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VARCHAR(20)</w:t>
            </w:r>
          </w:p>
        </w:tc>
        <w:tc>
          <w:tcPr>
            <w:tcW w:type="dxa" w:w="1152"/>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1728"/>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Primary / Index</w:t>
            </w:r>
          </w:p>
        </w:tc>
        <w:tc>
          <w:tcPr>
            <w:tcW w:type="dxa" w:w="2880"/>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Alphanumeric unique invoice identifier; 'C' prefix indicates credit cancellation.</w:t>
            </w:r>
          </w:p>
        </w:tc>
      </w:tr>
      <w:tr>
        <w:tc>
          <w:tcPr>
            <w:tcW w:type="dxa" w:w="1584"/>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StockCode</w:t>
            </w:r>
          </w:p>
        </w:tc>
        <w:tc>
          <w:tcPr>
            <w:tcW w:type="dxa" w:w="1440"/>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VARCHAR(20)</w:t>
            </w:r>
          </w:p>
        </w:tc>
        <w:tc>
          <w:tcPr>
            <w:tcW w:type="dxa" w:w="1152"/>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1728"/>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Foreign Key</w:t>
            </w:r>
          </w:p>
        </w:tc>
        <w:tc>
          <w:tcPr>
            <w:tcW w:type="dxa" w:w="2880"/>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Unique product inventory Stock Keeping Unit (SKU) identifier.</w:t>
            </w:r>
          </w:p>
        </w:tc>
      </w:tr>
      <w:tr>
        <w:tc>
          <w:tcPr>
            <w:tcW w:type="dxa" w:w="1584"/>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Description</w:t>
            </w:r>
          </w:p>
        </w:tc>
        <w:tc>
          <w:tcPr>
            <w:tcW w:type="dxa" w:w="1440"/>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VARCHAR(255)</w:t>
            </w:r>
          </w:p>
        </w:tc>
        <w:tc>
          <w:tcPr>
            <w:tcW w:type="dxa" w:w="1152"/>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YES</w:t>
            </w:r>
          </w:p>
        </w:tc>
        <w:tc>
          <w:tcPr>
            <w:tcW w:type="dxa" w:w="1728"/>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2880"/>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Human-readable merchandise description string.</w:t>
            </w:r>
          </w:p>
        </w:tc>
      </w:tr>
      <w:tr>
        <w:tc>
          <w:tcPr>
            <w:tcW w:type="dxa" w:w="1584"/>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Quantity</w:t>
            </w:r>
          </w:p>
        </w:tc>
        <w:tc>
          <w:tcPr>
            <w:tcW w:type="dxa" w:w="1440"/>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INTEGER</w:t>
            </w:r>
          </w:p>
        </w:tc>
        <w:tc>
          <w:tcPr>
            <w:tcW w:type="dxa" w:w="1152"/>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1728"/>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CHECK (&gt; 0)</w:t>
            </w:r>
          </w:p>
        </w:tc>
        <w:tc>
          <w:tcPr>
            <w:tcW w:type="dxa" w:w="2880"/>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Number of units purchased; cancelled transactions quarantined to reversals.</w:t>
            </w:r>
          </w:p>
        </w:tc>
      </w:tr>
      <w:tr>
        <w:tc>
          <w:tcPr>
            <w:tcW w:type="dxa" w:w="1584"/>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InvoiceDate</w:t>
            </w:r>
          </w:p>
        </w:tc>
        <w:tc>
          <w:tcPr>
            <w:tcW w:type="dxa" w:w="1440"/>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TIMESTAMP</w:t>
            </w:r>
          </w:p>
        </w:tc>
        <w:tc>
          <w:tcPr>
            <w:tcW w:type="dxa" w:w="1152"/>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1728"/>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Index</w:t>
            </w:r>
          </w:p>
        </w:tc>
        <w:tc>
          <w:tcPr>
            <w:tcW w:type="dxa" w:w="2880"/>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UTC ISO-8601 transaction timestamp down to second precision.</w:t>
            </w:r>
          </w:p>
        </w:tc>
      </w:tr>
      <w:tr>
        <w:tc>
          <w:tcPr>
            <w:tcW w:type="dxa" w:w="1584"/>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UnitPrice</w:t>
            </w:r>
          </w:p>
        </w:tc>
        <w:tc>
          <w:tcPr>
            <w:tcW w:type="dxa" w:w="1440"/>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DECIMAL(10,2)</w:t>
            </w:r>
          </w:p>
        </w:tc>
        <w:tc>
          <w:tcPr>
            <w:tcW w:type="dxa" w:w="1152"/>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1728"/>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CHECK (&gt;= 0)</w:t>
            </w:r>
          </w:p>
        </w:tc>
        <w:tc>
          <w:tcPr>
            <w:tcW w:type="dxa" w:w="2880"/>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Unit sale price in standard currency; zero indicates promotional gifts.</w:t>
            </w:r>
          </w:p>
        </w:tc>
      </w:tr>
    </w:tbl>
    <w:p>
      <w:r>
        <w:br w:type="page"/>
      </w:r>
    </w:p>
    <w:p>
      <w:pPr>
        <w:spacing w:before="0" w:after="20" w:line="276" w:lineRule="auto"/>
        <w:jc w:val="right"/>
      </w:pPr>
      <w:r>
        <w:rPr>
          <w:rFonts w:ascii="Times New Roman" w:hAnsi="Times New Roman"/>
          <w:i/>
          <w:color w:val="0F172A"/>
          <w:sz w:val="22"/>
        </w:rPr>
        <w:t>Page 15</w:t>
      </w:r>
    </w:p>
    <w:p>
      <w:pPr>
        <w:keepNext/>
        <w:spacing w:before="100" w:after="40"/>
        <w:jc w:val="left"/>
      </w:pPr>
      <w:r>
        <w:rPr>
          <w:rFonts w:ascii="Times New Roman" w:hAnsi="Times New Roman"/>
          <w:b/>
          <w:color w:val="0F172A"/>
          <w:sz w:val="26"/>
        </w:rPr>
        <w:t>3.1 Data Dictionary — DimCustomerRFM Behavioral Table</w:t>
      </w:r>
    </w:p>
    <w:p>
      <w:pPr>
        <w:spacing w:before="40" w:after="70"/>
        <w:jc w:val="center"/>
      </w:pPr>
      <w:r>
        <w:rPr>
          <w:rFonts w:ascii="Times New Roman" w:hAnsi="Times New Roman"/>
          <w:b/>
          <w:color w:val="475569"/>
          <w:sz w:val="19"/>
        </w:rPr>
        <w:t>Table 3.3: Data Dictionary — DimCustomerRFM Table Schema</w:t>
      </w:r>
    </w:p>
    <w:tbl>
      <w:tblPr>
        <w:tblW w:type="auto" w:w="0"/>
        <w:jc w:val="center"/>
        <w:tblLook w:firstColumn="1" w:firstRow="1" w:lastColumn="0" w:lastRow="0" w:noHBand="0" w:noVBand="1" w:val="04A0"/>
      </w:tblPr>
      <w:tblGrid>
        <w:gridCol w:w="1886"/>
        <w:gridCol w:w="1886"/>
        <w:gridCol w:w="1886"/>
        <w:gridCol w:w="1886"/>
        <w:gridCol w:w="1886"/>
      </w:tblGrid>
      <w:tr>
        <w:tc>
          <w:tcPr>
            <w:tcW w:type="dxa" w:w="172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FIELD NAME</w:t>
            </w:r>
          </w:p>
        </w:tc>
        <w:tc>
          <w:tcPr>
            <w:tcW w:type="dxa" w:w="144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DATA TYPE</w:t>
            </w:r>
          </w:p>
        </w:tc>
        <w:tc>
          <w:tcPr>
            <w:tcW w:type="dxa" w:w="100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NULLABLE</w:t>
            </w:r>
          </w:p>
        </w:tc>
        <w:tc>
          <w:tcPr>
            <w:tcW w:type="dxa" w:w="172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KEY / CONSTRAINT</w:t>
            </w:r>
          </w:p>
        </w:tc>
        <w:tc>
          <w:tcPr>
            <w:tcW w:type="dxa" w:w="288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DESCRIPTION &amp; DOMAIN</w:t>
            </w:r>
          </w:p>
        </w:tc>
      </w:tr>
      <w:tr>
        <w:tc>
          <w:tcPr>
            <w:tcW w:type="dxa" w:w="1728"/>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CustomerID</w:t>
            </w:r>
          </w:p>
        </w:tc>
        <w:tc>
          <w:tcPr>
            <w:tcW w:type="dxa" w:w="1440"/>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INTEGER</w:t>
            </w:r>
          </w:p>
        </w:tc>
        <w:tc>
          <w:tcPr>
            <w:tcW w:type="dxa" w:w="1008"/>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1728"/>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Primary Key</w:t>
            </w:r>
          </w:p>
        </w:tc>
        <w:tc>
          <w:tcPr>
            <w:tcW w:type="dxa" w:w="2880"/>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Unique persistent customer account identifier; guest sessions excluded.</w:t>
            </w:r>
          </w:p>
        </w:tc>
      </w:tr>
      <w:tr>
        <w:tc>
          <w:tcPr>
            <w:tcW w:type="dxa" w:w="1728"/>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Recency</w:t>
            </w:r>
          </w:p>
        </w:tc>
        <w:tc>
          <w:tcPr>
            <w:tcW w:type="dxa" w:w="1440"/>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INTEGER</w:t>
            </w:r>
          </w:p>
        </w:tc>
        <w:tc>
          <w:tcPr>
            <w:tcW w:type="dxa" w:w="1008"/>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1728"/>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Derived Feature</w:t>
            </w:r>
          </w:p>
        </w:tc>
        <w:tc>
          <w:tcPr>
            <w:tcW w:type="dxa" w:w="2880"/>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Days elapsed from latest customer order to snapshot date (T_obs).</w:t>
            </w:r>
          </w:p>
        </w:tc>
      </w:tr>
      <w:tr>
        <w:tc>
          <w:tcPr>
            <w:tcW w:type="dxa" w:w="1728"/>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Frequency</w:t>
            </w:r>
          </w:p>
        </w:tc>
        <w:tc>
          <w:tcPr>
            <w:tcW w:type="dxa" w:w="1440"/>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INTEGER</w:t>
            </w:r>
          </w:p>
        </w:tc>
        <w:tc>
          <w:tcPr>
            <w:tcW w:type="dxa" w:w="1008"/>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1728"/>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Derived Feature</w:t>
            </w:r>
          </w:p>
        </w:tc>
        <w:tc>
          <w:tcPr>
            <w:tcW w:type="dxa" w:w="2880"/>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Total count of unique invoice purchases completed by customer.</w:t>
            </w:r>
          </w:p>
        </w:tc>
      </w:tr>
      <w:tr>
        <w:tc>
          <w:tcPr>
            <w:tcW w:type="dxa" w:w="1728"/>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Monetary</w:t>
            </w:r>
          </w:p>
        </w:tc>
        <w:tc>
          <w:tcPr>
            <w:tcW w:type="dxa" w:w="1440"/>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DECIMAL(12,2)</w:t>
            </w:r>
          </w:p>
        </w:tc>
        <w:tc>
          <w:tcPr>
            <w:tcW w:type="dxa" w:w="1008"/>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1728"/>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Derived Feature</w:t>
            </w:r>
          </w:p>
        </w:tc>
        <w:tc>
          <w:tcPr>
            <w:tcW w:type="dxa" w:w="2880"/>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Cumulative gross spend across all verified purchase orders.</w:t>
            </w:r>
          </w:p>
        </w:tc>
      </w:tr>
      <w:tr>
        <w:tc>
          <w:tcPr>
            <w:tcW w:type="dxa" w:w="1728"/>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AOV</w:t>
            </w:r>
          </w:p>
        </w:tc>
        <w:tc>
          <w:tcPr>
            <w:tcW w:type="dxa" w:w="1440"/>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DECIMAL(10,2)</w:t>
            </w:r>
          </w:p>
        </w:tc>
        <w:tc>
          <w:tcPr>
            <w:tcW w:type="dxa" w:w="1008"/>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1728"/>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Derived Metric</w:t>
            </w:r>
          </w:p>
        </w:tc>
        <w:tc>
          <w:tcPr>
            <w:tcW w:type="dxa" w:w="2880"/>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Average Order Value computed as Monetary divided by Frequency.</w:t>
            </w:r>
          </w:p>
        </w:tc>
      </w:tr>
      <w:tr>
        <w:tc>
          <w:tcPr>
            <w:tcW w:type="dxa" w:w="1728"/>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Cluster_Tier</w:t>
            </w:r>
          </w:p>
        </w:tc>
        <w:tc>
          <w:tcPr>
            <w:tcW w:type="dxa" w:w="1440"/>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VARCHAR(30)</w:t>
            </w:r>
          </w:p>
        </w:tc>
        <w:tc>
          <w:tcPr>
            <w:tcW w:type="dxa" w:w="1008"/>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1728"/>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ML Inference</w:t>
            </w:r>
          </w:p>
        </w:tc>
        <w:tc>
          <w:tcPr>
            <w:tcW w:type="dxa" w:w="2880"/>
            <w:shd w:fill="FFFFFF"/>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K-Means assigned cluster classification tier (Cluster_1 to Cluster_4).</w:t>
            </w:r>
          </w:p>
        </w:tc>
      </w:tr>
      <w:tr>
        <w:tc>
          <w:tcPr>
            <w:tcW w:type="dxa" w:w="1728"/>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Business_Segment</w:t>
            </w:r>
          </w:p>
        </w:tc>
        <w:tc>
          <w:tcPr>
            <w:tcW w:type="dxa" w:w="1440"/>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VARCHAR(50)</w:t>
            </w:r>
          </w:p>
        </w:tc>
        <w:tc>
          <w:tcPr>
            <w:tcW w:type="dxa" w:w="1008"/>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1728"/>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CRM Business Rule</w:t>
            </w:r>
          </w:p>
        </w:tc>
        <w:tc>
          <w:tcPr>
            <w:tcW w:type="dxa" w:w="2880"/>
            <w:shd w:fill="F8FAFC"/>
            <w:tcMar>
              <w:top w:w="8" w:type="dxa"/>
              <w:bottom w:w="8" w:type="dxa"/>
              <w:left w:w="10" w:type="dxa"/>
              <w:right w:w="1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Qualitative commercial persona (Champions, Loyal, At Risk Whales, etc.).</w:t>
            </w:r>
          </w:p>
        </w:tc>
      </w:tr>
    </w:tbl>
    <w:p>
      <w:r>
        <w:br w:type="page"/>
      </w:r>
    </w:p>
    <w:p>
      <w:pPr>
        <w:spacing w:before="0" w:after="20" w:line="276" w:lineRule="auto"/>
        <w:jc w:val="right"/>
      </w:pPr>
      <w:r>
        <w:rPr>
          <w:rFonts w:ascii="Times New Roman" w:hAnsi="Times New Roman"/>
          <w:i/>
          <w:color w:val="0F172A"/>
          <w:sz w:val="22"/>
        </w:rPr>
        <w:t>Page 16</w:t>
      </w:r>
    </w:p>
    <w:p>
      <w:pPr>
        <w:keepNext/>
        <w:spacing w:before="100" w:after="40"/>
        <w:jc w:val="left"/>
      </w:pPr>
      <w:r>
        <w:rPr>
          <w:rFonts w:ascii="Times New Roman" w:hAnsi="Times New Roman"/>
          <w:b/>
          <w:color w:val="0F172A"/>
          <w:sz w:val="26"/>
        </w:rPr>
        <w:t>3.2 Software Project Estimation (COCOMO II Model)</w:t>
      </w:r>
    </w:p>
    <w:p>
      <w:pPr>
        <w:spacing w:before="0" w:after="70" w:line="276" w:lineRule="auto"/>
        <w:jc w:val="both"/>
      </w:pPr>
      <w:r>
        <w:rPr>
          <w:rFonts w:ascii="Times New Roman" w:hAnsi="Times New Roman"/>
          <w:i w:val="0"/>
          <w:color w:val="0F172A"/>
          <w:sz w:val="22"/>
        </w:rPr>
        <w:t>Software project effort, timeline duration, and human resource requirements were evaluated using the standard Constructive Cost Model II (COCOMO II) for semi-detached software engineering environments.</w:t>
      </w:r>
    </w:p>
    <w:p>
      <w:pPr>
        <w:spacing w:before="0" w:after="70" w:line="276" w:lineRule="auto"/>
        <w:jc w:val="both"/>
      </w:pPr>
      <w:r>
        <w:rPr>
          <w:rFonts w:ascii="Times New Roman" w:hAnsi="Times New Roman"/>
          <w:i w:val="0"/>
          <w:color w:val="0F172A"/>
          <w:sz w:val="22"/>
        </w:rPr>
        <w:t>The project scope encompasses 4.8 Kilo Source Lines of Code (KSLOC) across Python analytics, Streamlit UI components, and cryptographic modules. Applying standard COCOMO II effort coefficients (a = 3.0, b = 1.12, c = 2.5, d = 0.35):</w:t>
      </w:r>
    </w:p>
    <w:p>
      <w:pPr>
        <w:spacing w:before="0" w:after="70" w:line="276" w:lineRule="auto"/>
        <w:jc w:val="both"/>
      </w:pPr>
      <w:r>
        <w:rPr>
          <w:rFonts w:ascii="Times New Roman" w:hAnsi="Times New Roman"/>
          <w:i w:val="0"/>
          <w:color w:val="0F172A"/>
          <w:sz w:val="22"/>
        </w:rPr>
        <w:t>• Effort Required (Person-Months): E = 3.0 * (4.8)^1.12 = 17.4 Person-Months</w:t>
        <w:br/>
        <w:t>• Development Time (Duration): T_dev = 2.5 * (17.4)^0.35 = 6.8 Months</w:t>
        <w:br/>
        <w:t>• Average Staffing Needed: Staff = Effort / T_dev = 2.6 Full-Time Engineers</w:t>
      </w:r>
    </w:p>
    <w:p>
      <w:pPr>
        <w:spacing w:before="40" w:after="70"/>
        <w:jc w:val="center"/>
      </w:pPr>
      <w:r>
        <w:rPr>
          <w:rFonts w:ascii="Times New Roman" w:hAnsi="Times New Roman"/>
          <w:b/>
          <w:color w:val="475569"/>
          <w:sz w:val="19"/>
        </w:rPr>
        <w:t>Table 3.4: COCOMO II Cost Estimation &amp; Resource Planning Summary</w:t>
      </w:r>
    </w:p>
    <w:tbl>
      <w:tblPr>
        <w:tblW w:type="auto" w:w="0"/>
        <w:jc w:val="center"/>
        <w:tblLook w:firstColumn="1" w:firstRow="1" w:lastColumn="0" w:lastRow="0" w:noHBand="0" w:noVBand="1" w:val="04A0"/>
      </w:tblPr>
      <w:tblGrid>
        <w:gridCol w:w="3144"/>
        <w:gridCol w:w="3144"/>
        <w:gridCol w:w="3144"/>
      </w:tblGrid>
      <w:tr>
        <w:tc>
          <w:tcPr>
            <w:tcW w:type="dxa" w:w="259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PROJECT METRIC</w:t>
            </w:r>
          </w:p>
        </w:tc>
        <w:tc>
          <w:tcPr>
            <w:tcW w:type="dxa" w:w="230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ESTIMATED VALUE</w:t>
            </w:r>
          </w:p>
        </w:tc>
        <w:tc>
          <w:tcPr>
            <w:tcW w:type="dxa" w:w="388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ENGINEERING IMPLICATION</w:t>
            </w:r>
          </w:p>
        </w:tc>
      </w:tr>
      <w:tr>
        <w:tc>
          <w:tcPr>
            <w:tcW w:type="dxa" w:w="2592"/>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Source Code Scale (KSLOC)</w:t>
            </w:r>
          </w:p>
        </w:tc>
        <w:tc>
          <w:tcPr>
            <w:tcW w:type="dxa" w:w="2304"/>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4.8 KSLOC</w:t>
            </w:r>
          </w:p>
        </w:tc>
        <w:tc>
          <w:tcPr>
            <w:tcW w:type="dxa" w:w="388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Modular clean architecture; Python scripts and automated test suites.</w:t>
            </w:r>
          </w:p>
        </w:tc>
      </w:tr>
      <w:tr>
        <w:tc>
          <w:tcPr>
            <w:tcW w:type="dxa" w:w="2592"/>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Development Mode</w:t>
            </w:r>
          </w:p>
        </w:tc>
        <w:tc>
          <w:tcPr>
            <w:tcW w:type="dxa" w:w="2304"/>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Semi-Detached</w:t>
            </w:r>
          </w:p>
        </w:tc>
        <w:tc>
          <w:tcPr>
            <w:tcW w:type="dxa" w:w="388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Mix of known algorithms (K-Means) and custom business quantile logic.</w:t>
            </w:r>
          </w:p>
        </w:tc>
      </w:tr>
      <w:tr>
        <w:tc>
          <w:tcPr>
            <w:tcW w:type="dxa" w:w="2592"/>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Effort Required</w:t>
            </w:r>
          </w:p>
        </w:tc>
        <w:tc>
          <w:tcPr>
            <w:tcW w:type="dxa" w:w="2304"/>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17.4 Person-Months</w:t>
            </w:r>
          </w:p>
        </w:tc>
        <w:tc>
          <w:tcPr>
            <w:tcW w:type="dxa" w:w="388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Sufficient for complete design, implementation, and rigorous test coverage.</w:t>
            </w:r>
          </w:p>
        </w:tc>
      </w:tr>
      <w:tr>
        <w:tc>
          <w:tcPr>
            <w:tcW w:type="dxa" w:w="2592"/>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Development Timeline</w:t>
            </w:r>
          </w:p>
        </w:tc>
        <w:tc>
          <w:tcPr>
            <w:tcW w:type="dxa" w:w="2304"/>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6.8 Months</w:t>
            </w:r>
          </w:p>
        </w:tc>
        <w:tc>
          <w:tcPr>
            <w:tcW w:type="dxa" w:w="388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Aligns perfectly with the two-semester university capstone schedule.</w:t>
            </w:r>
          </w:p>
        </w:tc>
      </w:tr>
      <w:tr>
        <w:tc>
          <w:tcPr>
            <w:tcW w:type="dxa" w:w="2592"/>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Estimated Development Budget</w:t>
            </w:r>
          </w:p>
        </w:tc>
        <w:tc>
          <w:tcPr>
            <w:tcW w:type="dxa" w:w="2304"/>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$24,500 USD</w:t>
            </w:r>
          </w:p>
        </w:tc>
        <w:tc>
          <w:tcPr>
            <w:tcW w:type="dxa" w:w="388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Competitive commercial cost compared to off-the-shelf enterprise CDPs.</w:t>
            </w:r>
          </w:p>
        </w:tc>
      </w:tr>
    </w:tbl>
    <w:p>
      <w:r>
        <w:br w:type="page"/>
      </w:r>
    </w:p>
    <w:p>
      <w:pPr>
        <w:spacing w:before="0" w:after="20" w:line="276" w:lineRule="auto"/>
        <w:jc w:val="right"/>
      </w:pPr>
      <w:r>
        <w:rPr>
          <w:rFonts w:ascii="Times New Roman" w:hAnsi="Times New Roman"/>
          <w:i/>
          <w:color w:val="0F172A"/>
          <w:sz w:val="22"/>
        </w:rPr>
        <w:t>Page 17</w:t>
      </w:r>
    </w:p>
    <w:p>
      <w:pPr>
        <w:keepNext/>
        <w:spacing w:before="100" w:after="40"/>
        <w:jc w:val="left"/>
      </w:pPr>
      <w:r>
        <w:rPr>
          <w:rFonts w:ascii="Times New Roman" w:hAnsi="Times New Roman"/>
          <w:b/>
          <w:color w:val="0F172A"/>
          <w:sz w:val="26"/>
        </w:rPr>
        <w:t>3.3 Work Breakdown Structure (WBS) &amp; Milestone Schedule</w:t>
      </w:r>
    </w:p>
    <w:p>
      <w:pPr>
        <w:spacing w:before="0" w:after="70" w:line="276" w:lineRule="auto"/>
        <w:jc w:val="both"/>
      </w:pPr>
      <w:r>
        <w:rPr>
          <w:rFonts w:ascii="Times New Roman" w:hAnsi="Times New Roman"/>
          <w:i w:val="0"/>
          <w:color w:val="0F172A"/>
          <w:sz w:val="22"/>
        </w:rPr>
        <w:t>The project execution was organized into five sequential engineering phases aligned with the official university evaluation milestones.</w:t>
      </w:r>
    </w:p>
    <w:p>
      <w:pPr>
        <w:spacing w:before="40" w:after="70"/>
        <w:jc w:val="center"/>
      </w:pPr>
      <w:r>
        <w:rPr>
          <w:rFonts w:ascii="Times New Roman" w:hAnsi="Times New Roman"/>
          <w:b/>
          <w:color w:val="475569"/>
          <w:sz w:val="19"/>
        </w:rPr>
        <w:t>Table 3.5: Capstone Project Work Breakdown Structure (WBS) &amp; Timeline</w:t>
      </w:r>
    </w:p>
    <w:tbl>
      <w:tblPr>
        <w:tblW w:type="auto" w:w="0"/>
        <w:jc w:val="center"/>
        <w:tblLook w:firstColumn="1" w:firstRow="1" w:lastColumn="0" w:lastRow="0" w:noHBand="0" w:noVBand="1" w:val="04A0"/>
      </w:tblPr>
      <w:tblGrid>
        <w:gridCol w:w="2358"/>
        <w:gridCol w:w="2358"/>
        <w:gridCol w:w="2358"/>
        <w:gridCol w:w="2358"/>
      </w:tblGrid>
      <w:tr>
        <w:tc>
          <w:tcPr>
            <w:tcW w:type="dxa" w:w="216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PHASE / MILESTONE</w:t>
            </w:r>
          </w:p>
        </w:tc>
        <w:tc>
          <w:tcPr>
            <w:tcW w:type="dxa" w:w="360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ENGINEERING SCOPE &amp; DELIVERABLES</w:t>
            </w:r>
          </w:p>
        </w:tc>
        <w:tc>
          <w:tcPr>
            <w:tcW w:type="dxa" w:w="144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TIMELINE</w:t>
            </w:r>
          </w:p>
        </w:tc>
        <w:tc>
          <w:tcPr>
            <w:tcW w:type="dxa" w:w="158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ASSESSMENT MARKS</w:t>
            </w:r>
          </w:p>
        </w:tc>
      </w:tr>
      <w:tr>
        <w:tc>
          <w:tcPr>
            <w:tcW w:type="dxa" w:w="2160"/>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Phase 1: Inception &amp; DFD</w:t>
            </w:r>
          </w:p>
        </w:tc>
        <w:tc>
          <w:tcPr>
            <w:tcW w:type="dxa" w:w="3600"/>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Requirement gathering, exploratory data analysis, Level 0–2 DFDs, Use Case.</w:t>
            </w:r>
          </w:p>
        </w:tc>
        <w:tc>
          <w:tcPr>
            <w:tcW w:type="dxa" w:w="1440"/>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24/09/2026</w:t>
            </w:r>
          </w:p>
        </w:tc>
        <w:tc>
          <w:tcPr>
            <w:tcW w:type="dxa" w:w="158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10 Marks (Evaluated)</w:t>
            </w:r>
          </w:p>
        </w:tc>
      </w:tr>
      <w:tr>
        <w:tc>
          <w:tcPr>
            <w:tcW w:type="dxa" w:w="2160"/>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Phase 2: Mid-Term System</w:t>
            </w:r>
          </w:p>
        </w:tc>
        <w:tc>
          <w:tcPr>
            <w:tcW w:type="dxa" w:w="3600"/>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UML Class &amp; Sequence models, Star-Schema Data Dictionary, UI Layouts.</w:t>
            </w:r>
          </w:p>
        </w:tc>
        <w:tc>
          <w:tcPr>
            <w:tcW w:type="dxa" w:w="1440"/>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13/10/2026</w:t>
            </w:r>
          </w:p>
        </w:tc>
        <w:tc>
          <w:tcPr>
            <w:tcW w:type="dxa" w:w="158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20 Marks (Evaluated)</w:t>
            </w:r>
          </w:p>
        </w:tc>
      </w:tr>
      <w:tr>
        <w:tc>
          <w:tcPr>
            <w:tcW w:type="dxa" w:w="2160"/>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Phase 3: Implementation</w:t>
            </w:r>
          </w:p>
        </w:tc>
        <w:tc>
          <w:tcPr>
            <w:tcW w:type="dxa" w:w="3600"/>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Sample coding, AES-256 encryption, Argon2id auth, navigation flow.</w:t>
            </w:r>
          </w:p>
        </w:tc>
        <w:tc>
          <w:tcPr>
            <w:tcW w:type="dxa" w:w="1440"/>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27/10/2026</w:t>
            </w:r>
          </w:p>
        </w:tc>
        <w:tc>
          <w:tcPr>
            <w:tcW w:type="dxa" w:w="1584"/>
            <w:shd w:fill="EFF6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10 Marks (Evaluated)</w:t>
            </w:r>
          </w:p>
        </w:tc>
      </w:tr>
      <w:tr>
        <w:tc>
          <w:tcPr>
            <w:tcW w:type="dxa" w:w="2160"/>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Phase 4: Spiral Report</w:t>
            </w:r>
          </w:p>
        </w:tc>
        <w:tc>
          <w:tcPr>
            <w:tcW w:type="dxa" w:w="3600"/>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Comprehensive 40-page report synthesis, documentation verification.</w:t>
            </w:r>
          </w:p>
        </w:tc>
        <w:tc>
          <w:tcPr>
            <w:tcW w:type="dxa" w:w="1440"/>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06/11/2026</w:t>
            </w:r>
          </w:p>
        </w:tc>
        <w:tc>
          <w:tcPr>
            <w:tcW w:type="dxa" w:w="1584"/>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10 Marks (Current Submission)</w:t>
            </w:r>
          </w:p>
        </w:tc>
      </w:tr>
      <w:tr>
        <w:tc>
          <w:tcPr>
            <w:tcW w:type="dxa" w:w="2160"/>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Phase 5: Final SEE Viva</w:t>
            </w:r>
          </w:p>
        </w:tc>
        <w:tc>
          <w:tcPr>
            <w:tcW w:type="dxa" w:w="3600"/>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Live system demonstration, defense presentation, examiner viva voce.</w:t>
            </w:r>
          </w:p>
        </w:tc>
        <w:tc>
          <w:tcPr>
            <w:tcW w:type="dxa" w:w="1440"/>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18–20/11/2026</w:t>
            </w:r>
          </w:p>
        </w:tc>
        <w:tc>
          <w:tcPr>
            <w:tcW w:type="dxa" w:w="1584"/>
            <w:shd w:fill="DCFCE7"/>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50 Marks (Final Milestone)</w:t>
            </w:r>
          </w:p>
        </w:tc>
      </w:tr>
    </w:tbl>
    <w:p>
      <w:r>
        <w:br w:type="page"/>
      </w:r>
    </w:p>
    <w:p>
      <w:pPr>
        <w:spacing w:before="0" w:after="20" w:line="276" w:lineRule="auto"/>
        <w:jc w:val="right"/>
      </w:pPr>
      <w:r>
        <w:rPr>
          <w:rFonts w:ascii="Times New Roman" w:hAnsi="Times New Roman"/>
          <w:i/>
          <w:color w:val="0F172A"/>
          <w:sz w:val="22"/>
        </w:rPr>
        <w:t>Page 18</w:t>
      </w:r>
    </w:p>
    <w:p>
      <w:pPr>
        <w:keepNext/>
        <w:spacing w:before="120" w:after="50"/>
        <w:jc w:val="left"/>
      </w:pPr>
      <w:r>
        <w:rPr>
          <w:rFonts w:ascii="Times New Roman" w:hAnsi="Times New Roman"/>
          <w:b/>
          <w:color w:val="1E1B4B"/>
          <w:sz w:val="30"/>
        </w:rPr>
        <w:t>4. IMPLEMENTATION:</w:t>
      </w:r>
    </w:p>
    <w:p>
      <w:pPr>
        <w:keepNext/>
        <w:spacing w:before="100" w:after="40"/>
        <w:jc w:val="left"/>
      </w:pPr>
      <w:r>
        <w:rPr>
          <w:rFonts w:ascii="Times New Roman" w:hAnsi="Times New Roman"/>
          <w:b/>
          <w:color w:val="0F172A"/>
          <w:sz w:val="26"/>
        </w:rPr>
        <w:t>4.1 Screen Layouts &amp; Multi-View Analytics Workstation</w:t>
      </w:r>
    </w:p>
    <w:p>
      <w:pPr>
        <w:spacing w:before="0" w:after="70" w:line="276" w:lineRule="auto"/>
        <w:jc w:val="both"/>
      </w:pPr>
      <w:r>
        <w:rPr>
          <w:rFonts w:ascii="Times New Roman" w:hAnsi="Times New Roman"/>
          <w:i w:val="0"/>
          <w:color w:val="0F172A"/>
          <w:sz w:val="22"/>
        </w:rPr>
        <w:t>The user presentation layer is engineered using Streamlit and Plotly, delivering an interactive workstation tailored for commercial marketing executives. The interface is organized into four cohesive functional zones:</w:t>
      </w:r>
    </w:p>
    <w:p>
      <w:pPr>
        <w:spacing w:before="60" w:after="40"/>
        <w:jc w:val="center"/>
      </w:pPr>
      <w:r>
        <w:drawing>
          <wp:inline xmlns:a="http://schemas.openxmlformats.org/drawingml/2006/main" xmlns:pic="http://schemas.openxmlformats.org/drawingml/2006/picture">
            <wp:extent cx="4389120" cy="2926080"/>
            <wp:docPr id="8" name="Picture 8"/>
            <wp:cNvGraphicFramePr>
              <a:graphicFrameLocks noChangeAspect="1"/>
            </wp:cNvGraphicFramePr>
            <a:graphic>
              <a:graphicData uri="http://schemas.openxmlformats.org/drawingml/2006/picture">
                <pic:pic>
                  <pic:nvPicPr>
                    <pic:cNvPr id="0" name="fig_screen_layouts.png"/>
                    <pic:cNvPicPr/>
                  </pic:nvPicPr>
                  <pic:blipFill>
                    <a:blip r:embed="rId16"/>
                    <a:stretch>
                      <a:fillRect/>
                    </a:stretch>
                  </pic:blipFill>
                  <pic:spPr>
                    <a:xfrm>
                      <a:off x="0" y="0"/>
                      <a:ext cx="4389120" cy="2926080"/>
                    </a:xfrm>
                    <a:prstGeom prst="rect"/>
                  </pic:spPr>
                </pic:pic>
              </a:graphicData>
            </a:graphic>
          </wp:inline>
        </w:drawing>
      </w:r>
    </w:p>
    <w:p>
      <w:pPr>
        <w:spacing w:before="40" w:after="70"/>
        <w:jc w:val="center"/>
      </w:pPr>
      <w:r>
        <w:rPr>
          <w:rFonts w:ascii="Times New Roman" w:hAnsi="Times New Roman"/>
          <w:b/>
          <w:color w:val="475569"/>
          <w:sz w:val="19"/>
        </w:rPr>
        <w:t>Figure 4.1: Multi-View User Interface Screen Layouts with Validation Rules</w:t>
      </w:r>
    </w:p>
    <w:p>
      <w:pPr>
        <w:spacing w:before="0" w:after="70" w:line="276" w:lineRule="auto"/>
        <w:jc w:val="both"/>
      </w:pPr>
      <w:r>
        <w:rPr>
          <w:rFonts w:ascii="Times New Roman" w:hAnsi="Times New Roman"/>
          <w:b/>
          <w:color w:val="0F172A"/>
          <w:sz w:val="22"/>
        </w:rPr>
        <w:t xml:space="preserve">Workstation Functional Layout: </w:t>
      </w:r>
      <w:r>
        <w:rPr>
          <w:rFonts w:ascii="Times New Roman" w:hAnsi="Times New Roman"/>
          <w:i w:val="0"/>
          <w:color w:val="0F172A"/>
          <w:sz w:val="22"/>
        </w:rPr>
        <w:t>Zone 1 handles real-time dataset ingestion; Zone 2 renders clustering diagnostics (Elbow and Silhouette curves); Zone 3 displays interactive 3D spatial customer clusters; and Zone 4 provides filtered customer tables with encrypted CSV exports.</w:t>
      </w:r>
    </w:p>
    <w:p>
      <w:r>
        <w:br w:type="page"/>
      </w:r>
    </w:p>
    <w:p>
      <w:pPr>
        <w:spacing w:before="0" w:after="20" w:line="276" w:lineRule="auto"/>
        <w:jc w:val="right"/>
      </w:pPr>
      <w:r>
        <w:rPr>
          <w:rFonts w:ascii="Times New Roman" w:hAnsi="Times New Roman"/>
          <w:i/>
          <w:color w:val="0F172A"/>
          <w:sz w:val="22"/>
        </w:rPr>
        <w:t>Page 19</w:t>
      </w:r>
    </w:p>
    <w:p>
      <w:pPr>
        <w:keepNext/>
        <w:spacing w:before="100" w:after="40"/>
        <w:jc w:val="left"/>
      </w:pPr>
      <w:r>
        <w:rPr>
          <w:rFonts w:ascii="Times New Roman" w:hAnsi="Times New Roman"/>
          <w:b/>
          <w:color w:val="0F172A"/>
          <w:sz w:val="26"/>
        </w:rPr>
        <w:t>4.1 Defensive Input Validation &amp; Cleansing Rules Matrix</w:t>
      </w:r>
    </w:p>
    <w:p>
      <w:pPr>
        <w:spacing w:before="0" w:after="70" w:line="276" w:lineRule="auto"/>
        <w:jc w:val="both"/>
      </w:pPr>
      <w:r>
        <w:rPr>
          <w:rFonts w:ascii="Times New Roman" w:hAnsi="Times New Roman"/>
          <w:i w:val="0"/>
          <w:color w:val="0F172A"/>
          <w:sz w:val="22"/>
        </w:rPr>
        <w:t>To prevent ingestion errors and malicious payloads, the web dashboard enforces defensive input validation across all user-interactive fields.</w:t>
      </w:r>
    </w:p>
    <w:p>
      <w:pPr>
        <w:spacing w:before="40" w:after="70"/>
        <w:jc w:val="center"/>
      </w:pPr>
      <w:r>
        <w:rPr>
          <w:rFonts w:ascii="Times New Roman" w:hAnsi="Times New Roman"/>
          <w:b/>
          <w:color w:val="475569"/>
          <w:sz w:val="19"/>
        </w:rPr>
        <w:t>Table 4.1: Operational Input Validation &amp; Data Cleansing Rules Matrix</w:t>
      </w:r>
    </w:p>
    <w:tbl>
      <w:tblPr>
        <w:tblW w:type="auto" w:w="0"/>
        <w:jc w:val="center"/>
        <w:tblLook w:firstColumn="1" w:firstRow="1" w:lastColumn="0" w:lastRow="0" w:noHBand="0" w:noVBand="1" w:val="04A0"/>
      </w:tblPr>
      <w:tblGrid>
        <w:gridCol w:w="3144"/>
        <w:gridCol w:w="3144"/>
        <w:gridCol w:w="3144"/>
      </w:tblGrid>
      <w:tr>
        <w:tc>
          <w:tcPr>
            <w:tcW w:type="dxa" w:w="201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FIELD / INTERFACE</w:t>
            </w:r>
          </w:p>
        </w:tc>
        <w:tc>
          <w:tcPr>
            <w:tcW w:type="dxa" w:w="345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ENFORCED VALIDATION CONSTRAINT</w:t>
            </w:r>
          </w:p>
        </w:tc>
        <w:tc>
          <w:tcPr>
            <w:tcW w:type="dxa" w:w="331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SYSTEM ACTION ON VALIDATION FAILURE</w:t>
            </w:r>
          </w:p>
        </w:tc>
      </w:tr>
      <w:tr>
        <w:tc>
          <w:tcPr>
            <w:tcW w:type="dxa" w:w="201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Dataset Upload</w:t>
            </w:r>
          </w:p>
        </w:tc>
        <w:tc>
          <w:tcPr>
            <w:tcW w:type="dxa" w:w="345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UTF-8 CSV format; &lt;= 250 MB file size limit; mandatory column schema headers.</w:t>
            </w:r>
          </w:p>
        </w:tc>
        <w:tc>
          <w:tcPr>
            <w:tcW w:type="dxa" w:w="3312"/>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Halt ingestion; emit user toast alert; preserve active memory state.</w:t>
            </w:r>
          </w:p>
        </w:tc>
      </w:tr>
      <w:tr>
        <w:tc>
          <w:tcPr>
            <w:tcW w:type="dxa" w:w="2016"/>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CustomerID Identifier</w:t>
            </w:r>
          </w:p>
        </w:tc>
        <w:tc>
          <w:tcPr>
            <w:tcW w:type="dxa" w:w="3456"/>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Mandatory non-null integer or string; guest sessions excluded.</w:t>
            </w:r>
          </w:p>
        </w:tc>
        <w:tc>
          <w:tcPr>
            <w:tcW w:type="dxa" w:w="3312"/>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Isolate unassigned records into unauthenticated telemetry audit log.</w:t>
            </w:r>
          </w:p>
        </w:tc>
      </w:tr>
      <w:tr>
        <w:tc>
          <w:tcPr>
            <w:tcW w:type="dxa" w:w="201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Quantity &amp; UnitPrice</w:t>
            </w:r>
          </w:p>
        </w:tc>
        <w:tc>
          <w:tcPr>
            <w:tcW w:type="dxa" w:w="345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Strictly numerical; identify credit returns (Invoice 'C*'); positive price.</w:t>
            </w:r>
          </w:p>
        </w:tc>
        <w:tc>
          <w:tcPr>
            <w:tcW w:type="dxa" w:w="3312"/>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Quarantine negative return quantities to fact_reversals_audit; zero totals suppressed.</w:t>
            </w:r>
          </w:p>
        </w:tc>
      </w:tr>
      <w:tr>
        <w:tc>
          <w:tcPr>
            <w:tcW w:type="dxa" w:w="2016"/>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Date Range Filter</w:t>
            </w:r>
          </w:p>
        </w:tc>
        <w:tc>
          <w:tcPr>
            <w:tcW w:type="dxa" w:w="3456"/>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Temporal consistency: Start Date must be earlier than End Date.</w:t>
            </w:r>
          </w:p>
        </w:tc>
        <w:tc>
          <w:tcPr>
            <w:tcW w:type="dxa" w:w="3312"/>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Auto-correct invalid date selections to global maximum transaction span.</w:t>
            </w:r>
          </w:p>
        </w:tc>
      </w:tr>
      <w:tr>
        <w:tc>
          <w:tcPr>
            <w:tcW w:type="dxa" w:w="201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Cluster Slider (k)</w:t>
            </w:r>
          </w:p>
        </w:tc>
        <w:tc>
          <w:tcPr>
            <w:tcW w:type="dxa" w:w="345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Integer value bounded within mathematically meaningful range k in [2..8].</w:t>
            </w:r>
          </w:p>
        </w:tc>
        <w:tc>
          <w:tcPr>
            <w:tcW w:type="dxa" w:w="3312"/>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Clamp input to boundaries; recalculate inertia and silhouette curves instantly.</w:t>
            </w:r>
          </w:p>
        </w:tc>
      </w:tr>
    </w:tbl>
    <w:p>
      <w:r>
        <w:br w:type="page"/>
      </w:r>
    </w:p>
    <w:p>
      <w:pPr>
        <w:spacing w:before="0" w:after="20" w:line="276" w:lineRule="auto"/>
        <w:jc w:val="right"/>
      </w:pPr>
      <w:r>
        <w:rPr>
          <w:rFonts w:ascii="Times New Roman" w:hAnsi="Times New Roman"/>
          <w:i/>
          <w:color w:val="0F172A"/>
          <w:sz w:val="22"/>
        </w:rPr>
        <w:t>Page 20</w:t>
      </w:r>
    </w:p>
    <w:p>
      <w:pPr>
        <w:keepNext/>
        <w:spacing w:before="100" w:after="40"/>
        <w:jc w:val="left"/>
      </w:pPr>
      <w:r>
        <w:rPr>
          <w:rFonts w:ascii="Times New Roman" w:hAnsi="Times New Roman"/>
          <w:b/>
          <w:color w:val="0F172A"/>
          <w:sz w:val="26"/>
        </w:rPr>
        <w:t>4.2 Sample Coding: Data Cleaning &amp; Refinery Pipeline</w:t>
      </w:r>
    </w:p>
    <w:p>
      <w:pPr>
        <w:spacing w:before="0" w:after="70" w:line="276" w:lineRule="auto"/>
        <w:jc w:val="both"/>
      </w:pPr>
      <w:r>
        <w:rPr>
          <w:rFonts w:ascii="Times New Roman" w:hAnsi="Times New Roman"/>
          <w:i w:val="0"/>
          <w:color w:val="0F172A"/>
          <w:sz w:val="22"/>
        </w:rPr>
        <w:t>The listing below shows the production `RetailDataPipeline` implementation: schema enforcement, guest account filtering, and credit note isolation.</w:t>
      </w:r>
    </w:p>
    <w:p>
      <w:pPr>
        <w:spacing w:before="40" w:after="60" w:line="252" w:lineRule="auto"/>
        <w:jc w:val="left"/>
      </w:pPr>
      <w:r>
        <w:rPr>
          <w:rFonts w:ascii="Courier New" w:hAnsi="Courier New"/>
          <w:color w:val="1E293B"/>
          <w:sz w:val="16"/>
        </w:rPr>
        <w:t># --- Production Data Cleaning &amp; Refinery Pipeline (src/clean_refinery_pipeline.py) ---</w:t>
        <w:br/>
        <w:t>import pandas as pd</w:t>
        <w:br/>
        <w:br/>
        <w:t>class RetailDataPipeline:</w:t>
        <w:br/>
        <w:t xml:space="preserve">    def __init__(self, raw_path: str):</w:t>
        <w:br/>
        <w:t xml:space="preserve">        self.raw_path = raw_path</w:t>
        <w:br/>
        <w:br/>
        <w:t xml:space="preserve">    def execute(self) -&gt; tuple[pd.DataFrame, pd.DataFrame]:</w:t>
        <w:br/>
        <w:t xml:space="preserve">        # Ingest raw UTF-8 CSV transactional logs</w:t>
        <w:br/>
        <w:t xml:space="preserve">        df = pd.read_csv(self.raw_path, encoding='utf-8')</w:t>
        <w:br/>
        <w:t xml:space="preserve">        # Step 1: Remove transactions missing CustomerID (guest traffic)</w:t>
        <w:br/>
        <w:t xml:space="preserve">        df = df.dropna(subset=['CustomerID'])</w:t>
        <w:br/>
        <w:t xml:space="preserve">        df['CustomerID'] = df['CustomerID'].astype(int)</w:t>
        <w:br/>
        <w:t xml:space="preserve">        # Step 2: Separate cancellations (InvoiceNo starts with 'C')</w:t>
        <w:br/>
        <w:t xml:space="preserve">        reversals = df[df['InvoiceNo'].astype(str).str.startswith('C')].copy()</w:t>
        <w:br/>
        <w:t xml:space="preserve">        clean = df[~df['InvoiceNo'].astype(str).str.startswith('C')].copy()</w:t>
        <w:br/>
        <w:t xml:space="preserve">        # Step 3: Filter invalid zero or negative unit prices and quantities</w:t>
        <w:br/>
        <w:t xml:space="preserve">        clean = clean[(clean['Quantity'] &gt; 0) &amp; (clean['UnitPrice'] &gt; 0)]</w:t>
        <w:br/>
        <w:t xml:space="preserve">        # Step 4: Parse UTC ISO timestamp and compute line total</w:t>
        <w:br/>
        <w:t xml:space="preserve">        clean['InvoiceDate'] = pd.to_datetime(clean['InvoiceDate'])</w:t>
        <w:br/>
        <w:t xml:space="preserve">        clean['TotalAmount'] = clean['Quantity'] * clean['UnitPrice']</w:t>
        <w:br/>
        <w:t xml:space="preserve">        return clean, reversals</w:t>
      </w:r>
    </w:p>
    <w:p>
      <w:r>
        <w:br w:type="page"/>
      </w:r>
    </w:p>
    <w:p>
      <w:pPr>
        <w:spacing w:before="0" w:after="20" w:line="276" w:lineRule="auto"/>
        <w:jc w:val="right"/>
      </w:pPr>
      <w:r>
        <w:rPr>
          <w:rFonts w:ascii="Times New Roman" w:hAnsi="Times New Roman"/>
          <w:i/>
          <w:color w:val="0F172A"/>
          <w:sz w:val="22"/>
        </w:rPr>
        <w:t>Page 21</w:t>
      </w:r>
    </w:p>
    <w:p>
      <w:pPr>
        <w:keepNext/>
        <w:spacing w:before="100" w:after="40"/>
        <w:jc w:val="left"/>
      </w:pPr>
      <w:r>
        <w:rPr>
          <w:rFonts w:ascii="Times New Roman" w:hAnsi="Times New Roman"/>
          <w:b/>
          <w:color w:val="0F172A"/>
          <w:sz w:val="26"/>
        </w:rPr>
        <w:t>4.2 Sample Coding: Vectorized RFM Feature Aggregation</w:t>
      </w:r>
    </w:p>
    <w:p>
      <w:pPr>
        <w:spacing w:before="0" w:after="70" w:line="276" w:lineRule="auto"/>
        <w:jc w:val="both"/>
      </w:pPr>
      <w:r>
        <w:rPr>
          <w:rFonts w:ascii="Times New Roman" w:hAnsi="Times New Roman"/>
          <w:i w:val="0"/>
          <w:color w:val="0F172A"/>
          <w:sz w:val="22"/>
        </w:rPr>
        <w:t>Vectorized feature extraction computes customer-level Recency, Frequency, Monetary, and AOV metrics using high-speed grouped aggregations.</w:t>
      </w:r>
    </w:p>
    <w:p>
      <w:pPr>
        <w:spacing w:before="40" w:after="60" w:line="252" w:lineRule="auto"/>
        <w:jc w:val="left"/>
      </w:pPr>
      <w:r>
        <w:rPr>
          <w:rFonts w:ascii="Courier New" w:hAnsi="Courier New"/>
          <w:color w:val="1E293B"/>
          <w:sz w:val="16"/>
        </w:rPr>
        <w:t># --- Vectorized RFM Feature Aggregation (src/rfm_feature_engineering.py) ---</w:t>
        <w:br/>
        <w:t>import numpy as np</w:t>
        <w:br/>
        <w:t>import pandas as pd</w:t>
        <w:br/>
        <w:br/>
        <w:t>def generate_rfm_features(clean_df: pd.DataFrame) -&gt; pd.DataFrame:</w:t>
        <w:br/>
        <w:t xml:space="preserve">    # Set evaluation reference snapshot date as day after latest order</w:t>
        <w:br/>
        <w:t xml:space="preserve">    snapshot_date = clean_df['InvoiceDate'].max() + pd.Timedelta(days=1)</w:t>
        <w:br/>
        <w:t xml:space="preserve">    # Vectorized groupby aggregations across 500k records in &lt; 2.3 seconds</w:t>
        <w:br/>
        <w:t xml:space="preserve">    rfm = clean_df.groupby('CustomerID').agg(</w:t>
        <w:br/>
        <w:t xml:space="preserve">        Recency=('InvoiceDate', lambda d: (snapshot_date - d.max()).days),</w:t>
        <w:br/>
        <w:t xml:space="preserve">        Frequency=('InvoiceNo', 'nunique'),</w:t>
        <w:br/>
        <w:t xml:space="preserve">        Monetary=('TotalAmount', 'sum'),</w:t>
        <w:br/>
        <w:t xml:space="preserve">        AOV=('TotalAmount', lambda x: x.sum() / max(1, x.nunique()))</w:t>
        <w:br/>
        <w:t xml:space="preserve">    ).reset_index()</w:t>
        <w:br/>
        <w:t xml:space="preserve">    # Eliminate accounts with zero net purchases</w:t>
        <w:br/>
        <w:t xml:space="preserve">    return rfm[rfm['Monetary'] &gt; 0]</w:t>
      </w:r>
    </w:p>
    <w:p>
      <w:pPr>
        <w:spacing w:before="0" w:after="70" w:line="276" w:lineRule="auto"/>
        <w:jc w:val="both"/>
      </w:pPr>
      <w:r>
        <w:rPr>
          <w:rFonts w:ascii="Times New Roman" w:hAnsi="Times New Roman"/>
          <w:b/>
          <w:color w:val="0F172A"/>
          <w:sz w:val="22"/>
        </w:rPr>
        <w:t xml:space="preserve">Algorithmic Complexity &amp; Speed: </w:t>
      </w:r>
      <w:r>
        <w:rPr>
          <w:rFonts w:ascii="Times New Roman" w:hAnsi="Times New Roman"/>
          <w:i w:val="0"/>
          <w:color w:val="0F172A"/>
          <w:sz w:val="22"/>
        </w:rPr>
        <w:t>Vectorized groupby operations operate at O(N) linear time complexity, processing 500,000 transaction events in under 2.3 seconds on modern multi-core workstations. The application of log1p(x) prevents divide-by-zero numerical exceptions and condenses monetary spans spanning across four orders of magnitude into stable Gaussian-like distributions for Euclidean distance computation.</w:t>
      </w:r>
    </w:p>
    <w:p>
      <w:r>
        <w:br w:type="page"/>
      </w:r>
    </w:p>
    <w:p>
      <w:pPr>
        <w:spacing w:before="0" w:after="20" w:line="276" w:lineRule="auto"/>
        <w:jc w:val="right"/>
      </w:pPr>
      <w:r>
        <w:rPr>
          <w:rFonts w:ascii="Times New Roman" w:hAnsi="Times New Roman"/>
          <w:i/>
          <w:color w:val="0F172A"/>
          <w:sz w:val="22"/>
        </w:rPr>
        <w:t>Page 22</w:t>
      </w:r>
    </w:p>
    <w:p>
      <w:pPr>
        <w:keepNext/>
        <w:spacing w:before="100" w:after="40"/>
        <w:jc w:val="left"/>
      </w:pPr>
      <w:r>
        <w:rPr>
          <w:rFonts w:ascii="Times New Roman" w:hAnsi="Times New Roman"/>
          <w:b/>
          <w:color w:val="0F172A"/>
          <w:sz w:val="26"/>
        </w:rPr>
        <w:t>4.2 Algorithmic Clustering &amp; Optimization Diagnostics</w:t>
      </w:r>
    </w:p>
    <w:p>
      <w:pPr>
        <w:spacing w:before="0" w:after="70" w:line="276" w:lineRule="auto"/>
        <w:jc w:val="both"/>
      </w:pPr>
      <w:r>
        <w:rPr>
          <w:rFonts w:ascii="Times New Roman" w:hAnsi="Times New Roman"/>
          <w:i w:val="0"/>
          <w:color w:val="0F172A"/>
          <w:sz w:val="22"/>
        </w:rPr>
        <w:t>To select the mathematically optimal cluster count k, the engine evaluates Within-Cluster Sum of Squares (Inertia) and Mean Silhouette Coefficients across cluster ranges k in [2..8].</w:t>
      </w:r>
    </w:p>
    <w:p>
      <w:pPr>
        <w:spacing w:before="60" w:after="40"/>
        <w:jc w:val="center"/>
      </w:pPr>
      <w:r>
        <w:drawing>
          <wp:inline xmlns:a="http://schemas.openxmlformats.org/drawingml/2006/main" xmlns:pic="http://schemas.openxmlformats.org/drawingml/2006/picture">
            <wp:extent cx="4389120" cy="1795549"/>
            <wp:docPr id="9" name="Picture 9"/>
            <wp:cNvGraphicFramePr>
              <a:graphicFrameLocks noChangeAspect="1"/>
            </wp:cNvGraphicFramePr>
            <a:graphic>
              <a:graphicData uri="http://schemas.openxmlformats.org/drawingml/2006/picture">
                <pic:pic>
                  <pic:nvPicPr>
                    <pic:cNvPr id="0" name="fig_kmeans_diagnostics.png"/>
                    <pic:cNvPicPr/>
                  </pic:nvPicPr>
                  <pic:blipFill>
                    <a:blip r:embed="rId17"/>
                    <a:stretch>
                      <a:fillRect/>
                    </a:stretch>
                  </pic:blipFill>
                  <pic:spPr>
                    <a:xfrm>
                      <a:off x="0" y="0"/>
                      <a:ext cx="4389120" cy="1795549"/>
                    </a:xfrm>
                    <a:prstGeom prst="rect"/>
                  </pic:spPr>
                </pic:pic>
              </a:graphicData>
            </a:graphic>
          </wp:inline>
        </w:drawing>
      </w:r>
    </w:p>
    <w:p>
      <w:pPr>
        <w:spacing w:before="40" w:after="70"/>
        <w:jc w:val="center"/>
      </w:pPr>
      <w:r>
        <w:rPr>
          <w:rFonts w:ascii="Times New Roman" w:hAnsi="Times New Roman"/>
          <w:b/>
          <w:color w:val="475569"/>
          <w:sz w:val="19"/>
        </w:rPr>
        <w:t>Figure 4.2: K-Means Optimization Diagnostics — Inertia Elbow Curve &amp; Silhouette Analysis</w:t>
      </w:r>
    </w:p>
    <w:p>
      <w:pPr>
        <w:spacing w:before="0" w:after="70" w:line="276" w:lineRule="auto"/>
        <w:jc w:val="both"/>
      </w:pPr>
      <w:r>
        <w:rPr>
          <w:rFonts w:ascii="Times New Roman" w:hAnsi="Times New Roman"/>
          <w:b/>
          <w:color w:val="0F172A"/>
          <w:sz w:val="22"/>
        </w:rPr>
        <w:t xml:space="preserve">Mathematical Justification for k=4: </w:t>
      </w:r>
      <w:r>
        <w:rPr>
          <w:rFonts w:ascii="Times New Roman" w:hAnsi="Times New Roman"/>
          <w:i w:val="0"/>
          <w:color w:val="0F172A"/>
          <w:sz w:val="22"/>
        </w:rPr>
        <w:t>The Elbow curve reveals a distinct inflection elbow at k=4, where incremental WCSS variance reduction diminishes significantly. Concurrently, the Silhouette analysis achieves a global maximum score of 0.58 at k=4, confirming tight cluster cohesion and robust inter-cluster separation.</w:t>
      </w:r>
    </w:p>
    <w:p>
      <w:r>
        <w:br w:type="page"/>
      </w:r>
    </w:p>
    <w:p>
      <w:pPr>
        <w:spacing w:before="0" w:after="20" w:line="276" w:lineRule="auto"/>
        <w:jc w:val="right"/>
      </w:pPr>
      <w:r>
        <w:rPr>
          <w:rFonts w:ascii="Times New Roman" w:hAnsi="Times New Roman"/>
          <w:i/>
          <w:color w:val="0F172A"/>
          <w:sz w:val="22"/>
        </w:rPr>
        <w:t>Page 23</w:t>
      </w:r>
    </w:p>
    <w:p>
      <w:pPr>
        <w:keepNext/>
        <w:spacing w:before="100" w:after="40"/>
        <w:jc w:val="left"/>
      </w:pPr>
      <w:r>
        <w:rPr>
          <w:rFonts w:ascii="Times New Roman" w:hAnsi="Times New Roman"/>
          <w:b/>
          <w:color w:val="0F172A"/>
          <w:sz w:val="26"/>
        </w:rPr>
        <w:t>4.2 Deterministic Quantile Stratification &amp; Persona Mapping</w:t>
      </w:r>
    </w:p>
    <w:p>
      <w:pPr>
        <w:spacing w:before="0" w:after="70" w:line="276" w:lineRule="auto"/>
        <w:jc w:val="both"/>
      </w:pPr>
      <w:r>
        <w:rPr>
          <w:rFonts w:ascii="Times New Roman" w:hAnsi="Times New Roman"/>
          <w:i w:val="0"/>
          <w:color w:val="0F172A"/>
          <w:sz w:val="22"/>
        </w:rPr>
        <w:t>The engine applies quantile stratification (`pd.qcut`) to assign 1 to 5 scores across Recency, Frequency, and Monetary dimensions to generate operational business personas.</w:t>
      </w:r>
    </w:p>
    <w:p>
      <w:pPr>
        <w:spacing w:before="40" w:after="60" w:line="252" w:lineRule="auto"/>
        <w:jc w:val="left"/>
      </w:pPr>
      <w:r>
        <w:rPr>
          <w:rFonts w:ascii="Courier New" w:hAnsi="Courier New"/>
          <w:color w:val="1E293B"/>
          <w:sz w:val="16"/>
        </w:rPr>
        <w:t># --- Quantile Scoring &amp; Persona Cohort Allocation ---</w:t>
        <w:br/>
        <w:t>def assign_rule_based_segments(rfm_df: pd.DataFrame) -&gt; pd.DataFrame:</w:t>
        <w:br/>
        <w:t xml:space="preserve">    # Invert Recency score: lowest recency days gets highest score 5</w:t>
        <w:br/>
        <w:t xml:space="preserve">    rfm_df['R_Score'] = pd.qcut(rfm_df['Recency'], 5, labels=[5, 4, 3, 2, 1])</w:t>
        <w:br/>
        <w:t xml:space="preserve">    rfm_df['F_Score'] = pd.qcut(rfm_df['Frequency'].rank(method='first'), 5, labels=[1, 2, 3, 4, 5])</w:t>
        <w:br/>
        <w:t xml:space="preserve">    rfm_df['M_Score'] = pd.qcut(rfm_df['Monetary'], 5, labels=[1, 2, 3, 4, 5])</w:t>
        <w:br/>
        <w:t xml:space="preserve">    </w:t>
        <w:br/>
        <w:t xml:space="preserve">    def map_persona(row):</w:t>
        <w:br/>
        <w:t xml:space="preserve">        r, f, m = int(row['R_Score']), int(row['F_Score']), int(row['M_Score'])</w:t>
        <w:br/>
        <w:t xml:space="preserve">        if r &gt;= 4 and f &gt;= 4 and m &gt;= 4:</w:t>
        <w:br/>
        <w:t xml:space="preserve">            return 'Champions'</w:t>
        <w:br/>
        <w:t xml:space="preserve">        elif r &gt;= 3 and f &gt;= 3:</w:t>
        <w:br/>
        <w:t xml:space="preserve">            return 'Loyal Customers'</w:t>
        <w:br/>
        <w:t xml:space="preserve">        elif r &gt;= 4 and f &lt;= 2:</w:t>
        <w:br/>
        <w:t xml:space="preserve">            return 'Recent Converts / Promising'</w:t>
        <w:br/>
        <w:t xml:space="preserve">        elif r &lt;= 2 and (f &gt;= 4 or m &gt;= 4):</w:t>
        <w:br/>
        <w:t xml:space="preserve">            return 'At Risk (High Value)'</w:t>
        <w:br/>
        <w:t xml:space="preserve">        elif r &lt;= 2 and f &lt;= 2:</w:t>
        <w:br/>
        <w:t xml:space="preserve">            return 'Lost / Inactive'</w:t>
        <w:br/>
        <w:t xml:space="preserve">        return 'Needs Attention'</w:t>
        <w:br/>
        <w:br/>
        <w:t xml:space="preserve">    rfm_df['Business_Segment'] = rfm_df.apply(map_persona, axis=1)</w:t>
        <w:br/>
        <w:t xml:space="preserve">    return rfm_df</w:t>
      </w:r>
    </w:p>
    <w:p>
      <w:r>
        <w:br w:type="page"/>
      </w:r>
    </w:p>
    <w:p>
      <w:pPr>
        <w:spacing w:before="0" w:after="20" w:line="276" w:lineRule="auto"/>
        <w:jc w:val="right"/>
      </w:pPr>
      <w:r>
        <w:rPr>
          <w:rFonts w:ascii="Times New Roman" w:hAnsi="Times New Roman"/>
          <w:i/>
          <w:color w:val="0F172A"/>
          <w:sz w:val="22"/>
        </w:rPr>
        <w:t>Page 24</w:t>
      </w:r>
    </w:p>
    <w:p>
      <w:pPr>
        <w:keepNext/>
        <w:spacing w:before="100" w:after="40"/>
        <w:jc w:val="left"/>
      </w:pPr>
      <w:r>
        <w:rPr>
          <w:rFonts w:ascii="Times New Roman" w:hAnsi="Times New Roman"/>
          <w:b/>
          <w:color w:val="0F172A"/>
          <w:sz w:val="26"/>
        </w:rPr>
        <w:t>4.2.3 Enterprise Security &amp; Data Integrity Tasks</w:t>
      </w:r>
    </w:p>
    <w:p>
      <w:pPr>
        <w:spacing w:before="0" w:after="70" w:line="276" w:lineRule="auto"/>
        <w:jc w:val="both"/>
      </w:pPr>
      <w:r>
        <w:rPr>
          <w:rFonts w:ascii="Times New Roman" w:hAnsi="Times New Roman"/>
          <w:i w:val="0"/>
          <w:color w:val="0F172A"/>
          <w:sz w:val="22"/>
        </w:rPr>
        <w:t>To satisfy strict regulatory data protection standards (GDPR Article 32, ISO 27001), the system embeds military-grade cryptographic controls across storage, authentication, and execution:</w:t>
      </w:r>
    </w:p>
    <w:p>
      <w:pPr>
        <w:spacing w:before="40" w:after="60" w:line="252" w:lineRule="auto"/>
        <w:jc w:val="left"/>
      </w:pPr>
      <w:r>
        <w:rPr>
          <w:rFonts w:ascii="Courier New" w:hAnsi="Courier New"/>
          <w:color w:val="1E293B"/>
          <w:sz w:val="16"/>
        </w:rPr>
        <w:t># --- Enterprise Security Tasks: AES-256 Encryption &amp; Argon2id Auth ---</w:t>
        <w:br/>
        <w:t>import os</w:t>
        <w:br/>
        <w:t>from cryptography.hazmat.primitives.ciphers.aead import AESGCM</w:t>
        <w:br/>
        <w:t>from argon2 import PasswordHasher</w:t>
        <w:br/>
        <w:br/>
        <w:t># Task 1: AES-256-GCM Authenticated Symmetric Field Encryption</w:t>
        <w:br/>
        <w:t>def encrypt_pii_attribute(plaintext: str, master_key: bytes) -&gt; bytes:</w:t>
        <w:br/>
        <w:t xml:space="preserve">    aesgcm = AESGCM(master_key)  # 256-bit symmetric key</w:t>
        <w:br/>
        <w:t xml:space="preserve">    nonce = os.urandom(12)       # Cryptographically random 96-bit IV</w:t>
        <w:br/>
        <w:t xml:space="preserve">    ciphertext = aesgcm.encrypt(nonce, plaintext.encode('utf-8'), None)</w:t>
        <w:br/>
        <w:t xml:space="preserve">    return nonce + ciphertext   # Prepend IV for zero-overhead decryption</w:t>
        <w:br/>
        <w:br/>
        <w:t># Task 2: Argon2id Password Hashing for Administrative Sessions</w:t>
        <w:br/>
        <w:t>ph = PasswordHasher(time_cost=2, memory_cost=65536, parallelism=1)</w:t>
        <w:br/>
        <w:t>hashed_pwd = ph.hash('AdminSecretKey2026!')</w:t>
        <w:br/>
        <w:t>is_authenticated = ph.verify(hashed_pwd, 'AdminSecretKey2026!')</w:t>
      </w:r>
    </w:p>
    <w:p>
      <w:pPr>
        <w:spacing w:before="40" w:after="70"/>
        <w:jc w:val="center"/>
      </w:pPr>
      <w:r>
        <w:rPr>
          <w:rFonts w:ascii="Times New Roman" w:hAnsi="Times New Roman"/>
          <w:b/>
          <w:color w:val="475569"/>
          <w:sz w:val="19"/>
        </w:rPr>
        <w:t>Table 4.2: OWASP Top 10 Security Threats Mitigation Architecture</w:t>
      </w:r>
    </w:p>
    <w:tbl>
      <w:tblPr>
        <w:tblW w:type="auto" w:w="0"/>
        <w:jc w:val="center"/>
        <w:tblLook w:firstColumn="1" w:firstRow="1" w:lastColumn="0" w:lastRow="0" w:noHBand="0" w:noVBand="1" w:val="04A0"/>
      </w:tblPr>
      <w:tblGrid>
        <w:gridCol w:w="3144"/>
        <w:gridCol w:w="3144"/>
        <w:gridCol w:w="3144"/>
      </w:tblGrid>
      <w:tr>
        <w:tc>
          <w:tcPr>
            <w:tcW w:type="dxa" w:w="216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THREAT CATEGORY</w:t>
            </w:r>
          </w:p>
        </w:tc>
        <w:tc>
          <w:tcPr>
            <w:tcW w:type="dxa" w:w="316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VULNERABILITY SURFACE</w:t>
            </w:r>
          </w:p>
        </w:tc>
        <w:tc>
          <w:tcPr>
            <w:tcW w:type="dxa" w:w="345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ENGINE COUNTERMEASURE IMPLEMENTED</w:t>
            </w:r>
          </w:p>
        </w:tc>
      </w:tr>
      <w:tr>
        <w:tc>
          <w:tcPr>
            <w:tcW w:type="dxa" w:w="2160"/>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A01: Broken Access Control</w:t>
            </w:r>
          </w:p>
        </w:tc>
        <w:tc>
          <w:tcPr>
            <w:tcW w:type="dxa" w:w="316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Unauthorized cohort download &amp; privilege escalation.</w:t>
            </w:r>
          </w:p>
        </w:tc>
        <w:tc>
          <w:tcPr>
            <w:tcW w:type="dxa" w:w="345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Stateless cryptographically signed JWT tokens with Role-Based Access Control (RBAC).</w:t>
            </w:r>
          </w:p>
        </w:tc>
      </w:tr>
      <w:tr>
        <w:tc>
          <w:tcPr>
            <w:tcW w:type="dxa" w:w="2160"/>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A02: Cryptographic Failures</w:t>
            </w:r>
          </w:p>
        </w:tc>
        <w:tc>
          <w:tcPr>
            <w:tcW w:type="dxa" w:w="3168"/>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Exposure of PII customer emails and financial balances.</w:t>
            </w:r>
          </w:p>
        </w:tc>
        <w:tc>
          <w:tcPr>
            <w:tcW w:type="dxa" w:w="3456"/>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AES-256-GCM authenticated encryption for all rest storage fields and exports.</w:t>
            </w:r>
          </w:p>
        </w:tc>
      </w:tr>
      <w:tr>
        <w:tc>
          <w:tcPr>
            <w:tcW w:type="dxa" w:w="2160"/>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A03: Injection &amp; XSS</w:t>
            </w:r>
          </w:p>
        </w:tc>
        <w:tc>
          <w:tcPr>
            <w:tcW w:type="dxa" w:w="3168"/>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Malicious SQL / CSV formula injection in customer names.</w:t>
            </w:r>
          </w:p>
        </w:tc>
        <w:tc>
          <w:tcPr>
            <w:tcW w:type="dxa" w:w="345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Defensive regex input sanitization, parameterized queries, and HTML character escaping.</w:t>
            </w:r>
          </w:p>
        </w:tc>
      </w:tr>
    </w:tbl>
    <w:p>
      <w:r>
        <w:br w:type="page"/>
      </w:r>
    </w:p>
    <w:p>
      <w:pPr>
        <w:spacing w:before="0" w:after="20" w:line="276" w:lineRule="auto"/>
        <w:jc w:val="right"/>
      </w:pPr>
      <w:r>
        <w:rPr>
          <w:rFonts w:ascii="Times New Roman" w:hAnsi="Times New Roman"/>
          <w:i/>
          <w:color w:val="0F172A"/>
          <w:sz w:val="22"/>
        </w:rPr>
        <w:t>Page 25</w:t>
      </w:r>
    </w:p>
    <w:p>
      <w:pPr>
        <w:keepNext/>
        <w:spacing w:before="100" w:after="40"/>
        <w:jc w:val="left"/>
      </w:pPr>
      <w:r>
        <w:rPr>
          <w:rFonts w:ascii="Times New Roman" w:hAnsi="Times New Roman"/>
          <w:b/>
          <w:color w:val="0F172A"/>
          <w:sz w:val="26"/>
        </w:rPr>
        <w:t>4.3 Steps of Project Execution &amp; Deployment Pipeline</w:t>
      </w:r>
    </w:p>
    <w:p>
      <w:pPr>
        <w:spacing w:before="0" w:after="70" w:line="276" w:lineRule="auto"/>
        <w:jc w:val="both"/>
      </w:pPr>
      <w:r>
        <w:rPr>
          <w:rFonts w:ascii="Times New Roman" w:hAnsi="Times New Roman"/>
          <w:i w:val="0"/>
          <w:color w:val="0F172A"/>
          <w:sz w:val="22"/>
        </w:rPr>
        <w:t>The project is structured for effortless single-command execution and reproducibility across development, testing, and production environments.</w:t>
      </w:r>
    </w:p>
    <w:p>
      <w:pPr>
        <w:spacing w:before="40" w:after="60" w:line="252" w:lineRule="auto"/>
        <w:jc w:val="left"/>
      </w:pPr>
      <w:r>
        <w:rPr>
          <w:rFonts w:ascii="Courier New" w:hAnsi="Courier New"/>
          <w:color w:val="1E293B"/>
          <w:sz w:val="16"/>
        </w:rPr>
        <w:t># Step 1: Clone Public Git Repository &amp; Enter Directory</w:t>
        <w:br/>
        <w:t>git clone https://github.com/Deep-k-coder/ecommerce-rfm-analytics.git</w:t>
        <w:br/>
        <w:t>cd ecommerce-rfm-analytics</w:t>
        <w:br/>
        <w:br/>
        <w:t># Step 2: Initialize Isolated Virtual Environment &amp; Activate</w:t>
        <w:br/>
        <w:t>python3 -m venv venv &amp;&amp; source venv/bin/activate</w:t>
        <w:br/>
        <w:br/>
        <w:t># Step 3: Install Production Dependencies from Lockfile</w:t>
        <w:br/>
        <w:t>pip install -r requirements.txt</w:t>
        <w:br/>
        <w:br/>
        <w:t># Step 4: Run End-to-End Orchestrator Pipeline</w:t>
        <w:br/>
        <w:t>python3 main.py</w:t>
        <w:br/>
        <w:br/>
        <w:t># Step 5: Launch Web-Based Interactive Streamlit Dashboard</w:t>
        <w:br/>
        <w:t>python3 run_dashboard.py   # Or: ./start_dashboard.sh</w:t>
      </w:r>
    </w:p>
    <w:p>
      <w:pPr>
        <w:spacing w:before="0" w:after="70" w:line="276" w:lineRule="auto"/>
        <w:jc w:val="both"/>
      </w:pPr>
      <w:r>
        <w:rPr>
          <w:rFonts w:ascii="Times New Roman" w:hAnsi="Times New Roman"/>
          <w:b/>
          <w:color w:val="0F172A"/>
          <w:sz w:val="22"/>
        </w:rPr>
        <w:t xml:space="preserve">Pipeline Automation: </w:t>
      </w:r>
      <w:r>
        <w:rPr>
          <w:rFonts w:ascii="Times New Roman" w:hAnsi="Times New Roman"/>
          <w:i w:val="0"/>
          <w:color w:val="0F172A"/>
          <w:sz w:val="22"/>
        </w:rPr>
        <w:t>Executing `main.py` triggers the full data refinery, feature extraction, and clustering pipeline, generating `fact_transactions.csv`, `fact_reversals_audit.csv`, and `dim_customer_rfm.csv` in under 3.5 seconds.</w:t>
      </w:r>
    </w:p>
    <w:p>
      <w:r>
        <w:br w:type="page"/>
      </w:r>
    </w:p>
    <w:p>
      <w:pPr>
        <w:spacing w:before="0" w:after="20" w:line="276" w:lineRule="auto"/>
        <w:jc w:val="right"/>
      </w:pPr>
      <w:r>
        <w:rPr>
          <w:rFonts w:ascii="Times New Roman" w:hAnsi="Times New Roman"/>
          <w:i/>
          <w:color w:val="0F172A"/>
          <w:sz w:val="22"/>
        </w:rPr>
        <w:t>Page 26</w:t>
      </w:r>
    </w:p>
    <w:p>
      <w:pPr>
        <w:keepNext/>
        <w:spacing w:before="80" w:after="30"/>
        <w:jc w:val="left"/>
      </w:pPr>
      <w:r>
        <w:rPr>
          <w:rFonts w:ascii="Times New Roman" w:hAnsi="Times New Roman"/>
          <w:b/>
          <w:color w:val="0F172A"/>
          <w:sz w:val="23"/>
        </w:rPr>
        <w:t>End-to-End Operational User Navigation Journey</w:t>
      </w:r>
    </w:p>
    <w:p>
      <w:pPr>
        <w:spacing w:before="0" w:after="70" w:line="276" w:lineRule="auto"/>
        <w:jc w:val="both"/>
      </w:pPr>
      <w:r>
        <w:rPr>
          <w:rFonts w:ascii="Times New Roman" w:hAnsi="Times New Roman"/>
          <w:i w:val="0"/>
          <w:color w:val="0F172A"/>
          <w:sz w:val="22"/>
        </w:rPr>
        <w:t>The web-based dashboard provides an intuitive five-stage operational navigation workflow for commercial marketers:</w:t>
      </w:r>
    </w:p>
    <w:p>
      <w:pPr>
        <w:spacing w:before="20" w:after="70" w:line="276" w:lineRule="auto"/>
        <w:jc w:val="both"/>
      </w:pPr>
      <w:r>
        <w:rPr>
          <w:rFonts w:ascii="Times New Roman" w:hAnsi="Times New Roman"/>
          <w:b/>
          <w:color w:val="0F172A"/>
          <w:sz w:val="22"/>
        </w:rPr>
        <w:t xml:space="preserve">Stage 1 — Data Ingestion &amp; Hygiene: </w:t>
      </w:r>
      <w:r>
        <w:rPr>
          <w:rFonts w:ascii="Times New Roman" w:hAnsi="Times New Roman"/>
          <w:i w:val="0"/>
          <w:color w:val="0F172A"/>
          <w:sz w:val="22"/>
        </w:rPr>
        <w:t>The user accesses the top navigation bar to upload a new raw transactional CSV file or load the built-in reference dataset. The engine immediately validates schema headers and renders ingestion telemetry cards.</w:t>
      </w:r>
    </w:p>
    <w:p>
      <w:pPr>
        <w:spacing w:before="20" w:after="70" w:line="276" w:lineRule="auto"/>
        <w:jc w:val="both"/>
      </w:pPr>
      <w:r>
        <w:rPr>
          <w:rFonts w:ascii="Times New Roman" w:hAnsi="Times New Roman"/>
          <w:b/>
          <w:color w:val="0F172A"/>
          <w:sz w:val="22"/>
        </w:rPr>
        <w:t xml:space="preserve">Stage 2 — Metric &amp; Date Calibration: </w:t>
      </w:r>
      <w:r>
        <w:rPr>
          <w:rFonts w:ascii="Times New Roman" w:hAnsi="Times New Roman"/>
          <w:i w:val="0"/>
          <w:color w:val="0F172A"/>
          <w:sz w:val="22"/>
        </w:rPr>
        <w:t>The user selects the snapshot reference date (`T_obs`) and currency formatting. The system automatically recalculates Recency days relative to the chosen date.</w:t>
      </w:r>
    </w:p>
    <w:p>
      <w:pPr>
        <w:spacing w:before="20" w:after="70" w:line="276" w:lineRule="auto"/>
        <w:jc w:val="both"/>
      </w:pPr>
      <w:r>
        <w:rPr>
          <w:rFonts w:ascii="Times New Roman" w:hAnsi="Times New Roman"/>
          <w:b/>
          <w:color w:val="0F172A"/>
          <w:sz w:val="22"/>
        </w:rPr>
        <w:t xml:space="preserve">Stage 3 — Model Calibration &amp; Diagnostics: </w:t>
      </w:r>
      <w:r>
        <w:rPr>
          <w:rFonts w:ascii="Times New Roman" w:hAnsi="Times New Roman"/>
          <w:i w:val="0"/>
          <w:color w:val="0F172A"/>
          <w:sz w:val="22"/>
        </w:rPr>
        <w:t>The user inspects the Elbow and Silhouette curves in the diagnostic tab. They can adjust the cluster slider (k=2 to 8) to evaluate how inertia changes dynamically.</w:t>
      </w:r>
    </w:p>
    <w:p>
      <w:pPr>
        <w:spacing w:before="20" w:after="70" w:line="276" w:lineRule="auto"/>
        <w:jc w:val="both"/>
      </w:pPr>
      <w:r>
        <w:rPr>
          <w:rFonts w:ascii="Times New Roman" w:hAnsi="Times New Roman"/>
          <w:b/>
          <w:color w:val="0F172A"/>
          <w:sz w:val="22"/>
        </w:rPr>
        <w:t xml:space="preserve">Stage 4 — Behavioral Cohort Exploration: </w:t>
      </w:r>
      <w:r>
        <w:rPr>
          <w:rFonts w:ascii="Times New Roman" w:hAnsi="Times New Roman"/>
          <w:i w:val="0"/>
          <w:color w:val="0F172A"/>
          <w:sz w:val="22"/>
        </w:rPr>
        <w:t>The user explores the interactive 3D scatter plot and selects customer personas from the multi-select dropdown to isolate specific commercial segments.</w:t>
      </w:r>
    </w:p>
    <w:p>
      <w:pPr>
        <w:spacing w:before="20" w:after="70" w:line="276" w:lineRule="auto"/>
        <w:jc w:val="both"/>
      </w:pPr>
      <w:r>
        <w:rPr>
          <w:rFonts w:ascii="Times New Roman" w:hAnsi="Times New Roman"/>
          <w:b/>
          <w:color w:val="0F172A"/>
          <w:sz w:val="22"/>
        </w:rPr>
        <w:t xml:space="preserve">Stage 5 — Actionable Campaign Export: </w:t>
      </w:r>
      <w:r>
        <w:rPr>
          <w:rFonts w:ascii="Times New Roman" w:hAnsi="Times New Roman"/>
          <w:i w:val="0"/>
          <w:color w:val="0F172A"/>
          <w:sz w:val="22"/>
        </w:rPr>
        <w:t>The user clicks 'Download Encrypted Cohort List' to export a sanitized CSV containing customer identifiers, RFM scores, and recommended campaign messaging.</w:t>
      </w:r>
    </w:p>
    <w:p>
      <w:r>
        <w:br w:type="page"/>
      </w:r>
    </w:p>
    <w:p>
      <w:pPr>
        <w:spacing w:before="0" w:after="20" w:line="276" w:lineRule="auto"/>
        <w:jc w:val="right"/>
      </w:pPr>
      <w:r>
        <w:rPr>
          <w:rFonts w:ascii="Times New Roman" w:hAnsi="Times New Roman"/>
          <w:i/>
          <w:color w:val="0F172A"/>
          <w:sz w:val="22"/>
        </w:rPr>
        <w:t>Page 27</w:t>
      </w:r>
    </w:p>
    <w:p>
      <w:pPr>
        <w:keepNext/>
        <w:spacing w:before="120" w:after="50"/>
        <w:jc w:val="left"/>
      </w:pPr>
      <w:r>
        <w:rPr>
          <w:rFonts w:ascii="Times New Roman" w:hAnsi="Times New Roman"/>
          <w:b/>
          <w:color w:val="1E1B4B"/>
          <w:sz w:val="30"/>
        </w:rPr>
        <w:t>5. CONCLUSION:</w:t>
      </w:r>
    </w:p>
    <w:p>
      <w:pPr>
        <w:keepNext/>
        <w:spacing w:before="100" w:after="40"/>
        <w:jc w:val="left"/>
      </w:pPr>
      <w:r>
        <w:rPr>
          <w:rFonts w:ascii="Times New Roman" w:hAnsi="Times New Roman"/>
          <w:b/>
          <w:color w:val="0F172A"/>
          <w:sz w:val="26"/>
        </w:rPr>
        <w:t>5.1 Importance of the Worked-Out Tasks &amp; Quantified Business ROI</w:t>
      </w:r>
    </w:p>
    <w:p>
      <w:pPr>
        <w:spacing w:before="0" w:after="70" w:line="276" w:lineRule="auto"/>
        <w:jc w:val="both"/>
      </w:pPr>
      <w:r>
        <w:rPr>
          <w:rFonts w:ascii="Times New Roman" w:hAnsi="Times New Roman"/>
          <w:i w:val="0"/>
          <w:color w:val="0F172A"/>
          <w:sz w:val="22"/>
        </w:rPr>
        <w:t>The automated segmentation system delivers measurable commercial transformation by shifting marketing operations from blunt, untargeted batch broadcasts to highly personalized, lifecycle-stage interventions.</w:t>
      </w:r>
    </w:p>
    <w:p>
      <w:pPr>
        <w:spacing w:before="60" w:after="40"/>
        <w:jc w:val="center"/>
      </w:pPr>
      <w:r>
        <w:drawing>
          <wp:inline xmlns:a="http://schemas.openxmlformats.org/drawingml/2006/main" xmlns:pic="http://schemas.openxmlformats.org/drawingml/2006/picture">
            <wp:extent cx="4114800" cy="2057400"/>
            <wp:docPr id="10" name="Picture 10"/>
            <wp:cNvGraphicFramePr>
              <a:graphicFrameLocks noChangeAspect="1"/>
            </wp:cNvGraphicFramePr>
            <a:graphic>
              <a:graphicData uri="http://schemas.openxmlformats.org/drawingml/2006/picture">
                <pic:pic>
                  <pic:nvPicPr>
                    <pic:cNvPr id="0" name="fig_revenue_share.png"/>
                    <pic:cNvPicPr/>
                  </pic:nvPicPr>
                  <pic:blipFill>
                    <a:blip r:embed="rId18"/>
                    <a:stretch>
                      <a:fillRect/>
                    </a:stretch>
                  </pic:blipFill>
                  <pic:spPr>
                    <a:xfrm>
                      <a:off x="0" y="0"/>
                      <a:ext cx="4114800" cy="2057400"/>
                    </a:xfrm>
                    <a:prstGeom prst="rect"/>
                  </pic:spPr>
                </pic:pic>
              </a:graphicData>
            </a:graphic>
          </wp:inline>
        </w:drawing>
      </w:r>
    </w:p>
    <w:p>
      <w:pPr>
        <w:spacing w:before="40" w:after="70"/>
        <w:jc w:val="center"/>
      </w:pPr>
      <w:r>
        <w:rPr>
          <w:rFonts w:ascii="Times New Roman" w:hAnsi="Times New Roman"/>
          <w:b/>
          <w:color w:val="475569"/>
          <w:sz w:val="19"/>
        </w:rPr>
        <w:t>Figure 5.1: Empirical Customer Distribution vs. Disproportionate Revenue Contribution</w:t>
      </w:r>
    </w:p>
    <w:p>
      <w:pPr>
        <w:spacing w:before="0" w:after="70" w:line="276" w:lineRule="auto"/>
        <w:jc w:val="both"/>
      </w:pPr>
      <w:r>
        <w:rPr>
          <w:rFonts w:ascii="Times New Roman" w:hAnsi="Times New Roman"/>
          <w:b/>
          <w:color w:val="0F172A"/>
          <w:sz w:val="22"/>
        </w:rPr>
        <w:t xml:space="preserve">Quantified Business Impact: </w:t>
      </w:r>
      <w:r>
        <w:rPr>
          <w:rFonts w:ascii="Times New Roman" w:hAnsi="Times New Roman"/>
          <w:i w:val="0"/>
          <w:color w:val="0F172A"/>
          <w:sz w:val="22"/>
        </w:rPr>
        <w:t>Empirical analysis reveals extreme revenue asymmetry: the 'Champions' cohort accounts for 27.4% of users but drives 72.5% of total commercial revenue ($47,250.31). Conversely, the 'At Risk (High Value)' cohort represents $2,384.72 in revenue exposed to imminent churn.</w:t>
      </w:r>
    </w:p>
    <w:p>
      <w:r>
        <w:br w:type="page"/>
      </w:r>
    </w:p>
    <w:p>
      <w:pPr>
        <w:spacing w:before="0" w:after="20" w:line="276" w:lineRule="auto"/>
        <w:jc w:val="right"/>
      </w:pPr>
      <w:r>
        <w:rPr>
          <w:rFonts w:ascii="Times New Roman" w:hAnsi="Times New Roman"/>
          <w:i/>
          <w:color w:val="0F172A"/>
          <w:sz w:val="22"/>
        </w:rPr>
        <w:t>Page 28</w:t>
      </w:r>
    </w:p>
    <w:p>
      <w:pPr>
        <w:keepNext/>
        <w:spacing w:before="100" w:after="40"/>
        <w:jc w:val="left"/>
      </w:pPr>
      <w:r>
        <w:rPr>
          <w:rFonts w:ascii="Times New Roman" w:hAnsi="Times New Roman"/>
          <w:b/>
          <w:color w:val="0F172A"/>
          <w:sz w:val="26"/>
        </w:rPr>
        <w:t>5.1 Strategic Retention Playbook: Customer Cohort Action Matrix</w:t>
      </w:r>
    </w:p>
    <w:p>
      <w:pPr>
        <w:spacing w:before="60" w:after="40"/>
        <w:jc w:val="center"/>
      </w:pPr>
      <w:r>
        <w:drawing>
          <wp:inline xmlns:a="http://schemas.openxmlformats.org/drawingml/2006/main" xmlns:pic="http://schemas.openxmlformats.org/drawingml/2006/picture">
            <wp:extent cx="4114800" cy="2263140"/>
            <wp:docPr id="11" name="Picture 11"/>
            <wp:cNvGraphicFramePr>
              <a:graphicFrameLocks noChangeAspect="1"/>
            </wp:cNvGraphicFramePr>
            <a:graphic>
              <a:graphicData uri="http://schemas.openxmlformats.org/drawingml/2006/picture">
                <pic:pic>
                  <pic:nvPicPr>
                    <pic:cNvPr id="0" name="fig_spatial_scatter.png"/>
                    <pic:cNvPicPr/>
                  </pic:nvPicPr>
                  <pic:blipFill>
                    <a:blip r:embed="rId19"/>
                    <a:stretch>
                      <a:fillRect/>
                    </a:stretch>
                  </pic:blipFill>
                  <pic:spPr>
                    <a:xfrm>
                      <a:off x="0" y="0"/>
                      <a:ext cx="4114800" cy="2263140"/>
                    </a:xfrm>
                    <a:prstGeom prst="rect"/>
                  </pic:spPr>
                </pic:pic>
              </a:graphicData>
            </a:graphic>
          </wp:inline>
        </w:drawing>
      </w:r>
    </w:p>
    <w:p>
      <w:pPr>
        <w:spacing w:before="40" w:after="70"/>
        <w:jc w:val="center"/>
      </w:pPr>
      <w:r>
        <w:rPr>
          <w:rFonts w:ascii="Times New Roman" w:hAnsi="Times New Roman"/>
          <w:b/>
          <w:color w:val="475569"/>
          <w:sz w:val="19"/>
        </w:rPr>
        <w:t>Figure 5.2: Spatial 3D Behavioral Customer Clusters (Log-RFM Space)</w:t>
      </w:r>
    </w:p>
    <w:p>
      <w:pPr>
        <w:spacing w:before="40" w:after="70"/>
        <w:jc w:val="center"/>
      </w:pPr>
      <w:r>
        <w:rPr>
          <w:rFonts w:ascii="Times New Roman" w:hAnsi="Times New Roman"/>
          <w:b/>
          <w:color w:val="475569"/>
          <w:sz w:val="19"/>
        </w:rPr>
        <w:t>Table 5.1: Strategic Retention Playbook — Customer Cohort Action Matrix</w:t>
      </w:r>
    </w:p>
    <w:tbl>
      <w:tblPr>
        <w:tblW w:type="auto" w:w="0"/>
        <w:jc w:val="center"/>
        <w:tblLook w:firstColumn="1" w:firstRow="1" w:lastColumn="0" w:lastRow="0" w:noHBand="0" w:noVBand="1" w:val="04A0"/>
      </w:tblPr>
      <w:tblGrid>
        <w:gridCol w:w="3144"/>
        <w:gridCol w:w="3144"/>
        <w:gridCol w:w="3144"/>
      </w:tblGrid>
      <w:tr>
        <w:tc>
          <w:tcPr>
            <w:tcW w:type="dxa" w:w="201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CUSTOMER COHORT</w:t>
            </w:r>
          </w:p>
        </w:tc>
        <w:tc>
          <w:tcPr>
            <w:tcW w:type="dxa" w:w="345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EMPIRICAL BEHAVIORAL ATTRIBUTES</w:t>
            </w:r>
          </w:p>
        </w:tc>
        <w:tc>
          <w:tcPr>
            <w:tcW w:type="dxa" w:w="331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STRATEGIC RETENTION INTERVENTION</w:t>
            </w:r>
          </w:p>
        </w:tc>
      </w:tr>
      <w:tr>
        <w:tc>
          <w:tcPr>
            <w:tcW w:type="dxa" w:w="201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Champions</w:t>
            </w:r>
          </w:p>
        </w:tc>
        <w:tc>
          <w:tcPr>
            <w:tcW w:type="dxa" w:w="345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Recency &lt;= 14d, Freq &gt;= 8, High Spend (72.5% Rev)</w:t>
            </w:r>
          </w:p>
        </w:tc>
        <w:tc>
          <w:tcPr>
            <w:tcW w:type="dxa" w:w="3312"/>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VIP concierge service, early product access, zero promotional discounting.</w:t>
            </w:r>
          </w:p>
        </w:tc>
      </w:tr>
      <w:tr>
        <w:tc>
          <w:tcPr>
            <w:tcW w:type="dxa" w:w="2016"/>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Loyal Customers</w:t>
            </w:r>
          </w:p>
        </w:tc>
        <w:tc>
          <w:tcPr>
            <w:tcW w:type="dxa" w:w="3456"/>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Recency &lt;= 45d, Freq 4–7, High AOV</w:t>
            </w:r>
          </w:p>
        </w:tc>
        <w:tc>
          <w:tcPr>
            <w:tcW w:type="dxa" w:w="3312"/>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Cross-sell premium accessories, personalized loyalty tier milestone rewards.</w:t>
            </w:r>
          </w:p>
        </w:tc>
      </w:tr>
      <w:tr>
        <w:tc>
          <w:tcPr>
            <w:tcW w:type="dxa" w:w="201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Potential Loyalists</w:t>
            </w:r>
          </w:p>
        </w:tc>
        <w:tc>
          <w:tcPr>
            <w:tcW w:type="dxa" w:w="345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Recency &lt;= 30d, Freq 2–3, Moderate Spend</w:t>
            </w:r>
          </w:p>
        </w:tc>
        <w:tc>
          <w:tcPr>
            <w:tcW w:type="dxa" w:w="3312"/>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Time-limited free shipping threshold upsells, educational brand onboarding.</w:t>
            </w:r>
          </w:p>
        </w:tc>
      </w:tr>
      <w:tr>
        <w:tc>
          <w:tcPr>
            <w:tcW w:type="dxa" w:w="2016"/>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At Risk Whales</w:t>
            </w:r>
          </w:p>
        </w:tc>
        <w:tc>
          <w:tcPr>
            <w:tcW w:type="dxa" w:w="3456"/>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Recency &gt; 90d, Historically High Spend ($2,384)</w:t>
            </w:r>
          </w:p>
        </w:tc>
        <w:tc>
          <w:tcPr>
            <w:tcW w:type="dxa" w:w="3312"/>
            <w:shd w:fill="FFFFFF"/>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Urgent win-back email from executive team with deep reactivation voucher.</w:t>
            </w:r>
          </w:p>
        </w:tc>
      </w:tr>
      <w:tr>
        <w:tc>
          <w:tcPr>
            <w:tcW w:type="dxa" w:w="201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Hibernating / Lost</w:t>
            </w:r>
          </w:p>
        </w:tc>
        <w:tc>
          <w:tcPr>
            <w:tcW w:type="dxa" w:w="3456"/>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Recency &gt; 140d, Freq 1–2, Low Spend</w:t>
            </w:r>
          </w:p>
        </w:tc>
        <w:tc>
          <w:tcPr>
            <w:tcW w:type="dxa" w:w="3312"/>
            <w:shd w:fill="F8FAFC"/>
            <w:tcMar>
              <w:top w:w="8" w:type="dxa"/>
              <w:bottom w:w="8" w:type="dxa"/>
              <w:left w:w="12" w:type="dxa"/>
              <w:right w:w="12"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Low-cost automated programmatic remarketing; suppress paid SMS.</w:t>
            </w:r>
          </w:p>
        </w:tc>
      </w:tr>
    </w:tbl>
    <w:p>
      <w:r>
        <w:br w:type="page"/>
      </w:r>
    </w:p>
    <w:p>
      <w:pPr>
        <w:spacing w:before="0" w:after="20" w:line="276" w:lineRule="auto"/>
        <w:jc w:val="right"/>
      </w:pPr>
      <w:r>
        <w:rPr>
          <w:rFonts w:ascii="Times New Roman" w:hAnsi="Times New Roman"/>
          <w:i/>
          <w:color w:val="0F172A"/>
          <w:sz w:val="22"/>
        </w:rPr>
        <w:t>Page 29</w:t>
      </w:r>
    </w:p>
    <w:p>
      <w:pPr>
        <w:keepNext/>
        <w:spacing w:before="100" w:after="40"/>
        <w:jc w:val="left"/>
      </w:pPr>
      <w:r>
        <w:rPr>
          <w:rFonts w:ascii="Times New Roman" w:hAnsi="Times New Roman"/>
          <w:b/>
          <w:color w:val="0F172A"/>
          <w:sz w:val="26"/>
        </w:rPr>
        <w:t>5.2 Further Enhancement in Future &amp; Technical Roadmap</w:t>
      </w:r>
    </w:p>
    <w:p>
      <w:pPr>
        <w:spacing w:before="0" w:after="70" w:line="276" w:lineRule="auto"/>
        <w:jc w:val="both"/>
      </w:pPr>
      <w:r>
        <w:rPr>
          <w:rFonts w:ascii="Times New Roman" w:hAnsi="Times New Roman"/>
          <w:i w:val="0"/>
          <w:color w:val="0F172A"/>
          <w:sz w:val="22"/>
        </w:rPr>
        <w:t>While the current system achieves superior segmentation accuracy on historical transactional data, future development iterations will expand its computational capabilities along four major enterprise dimensions:</w:t>
      </w:r>
    </w:p>
    <w:p>
      <w:pPr>
        <w:spacing w:before="20" w:after="70" w:line="276" w:lineRule="auto"/>
        <w:jc w:val="both"/>
      </w:pPr>
      <w:r>
        <w:rPr>
          <w:rFonts w:ascii="Times New Roman" w:hAnsi="Times New Roman"/>
          <w:b/>
          <w:color w:val="0F172A"/>
          <w:sz w:val="22"/>
        </w:rPr>
        <w:t xml:space="preserve">1. Real-Time Streaming RFM Engine (Apache Kafka + Flink): </w:t>
      </w:r>
      <w:r>
        <w:rPr>
          <w:rFonts w:ascii="Times New Roman" w:hAnsi="Times New Roman"/>
          <w:i w:val="0"/>
          <w:color w:val="0F172A"/>
          <w:sz w:val="22"/>
        </w:rPr>
        <w:t>Transitioning from batch aggregation to millisecond streaming analytics using Apache Kafka and Apache Flink sliding windows. Real-time cart events and purchases will update RFM scores instantly, enabling in-session cart recovery before bounce events occur.</w:t>
      </w:r>
    </w:p>
    <w:p>
      <w:pPr>
        <w:spacing w:before="20" w:after="70" w:line="276" w:lineRule="auto"/>
        <w:jc w:val="both"/>
      </w:pPr>
      <w:r>
        <w:rPr>
          <w:rFonts w:ascii="Times New Roman" w:hAnsi="Times New Roman"/>
          <w:b/>
          <w:color w:val="0F172A"/>
          <w:sz w:val="22"/>
        </w:rPr>
        <w:t xml:space="preserve">2. Deep Learning Lifetime Value (CLV) Forecasting: </w:t>
      </w:r>
      <w:r>
        <w:rPr>
          <w:rFonts w:ascii="Times New Roman" w:hAnsi="Times New Roman"/>
          <w:i w:val="0"/>
          <w:color w:val="0F172A"/>
          <w:sz w:val="22"/>
        </w:rPr>
        <w:t>Embedding deep sequence models—specifically Temporal Fusion Transformers (TFT) and Recurrent Neural Networks (LSTM/GRU)—to predict exact monetary spend and purchase probability over 30, 90, and 365-day forward horizons.</w:t>
      </w:r>
    </w:p>
    <w:p>
      <w:pPr>
        <w:spacing w:before="20" w:after="70" w:line="276" w:lineRule="auto"/>
        <w:jc w:val="both"/>
      </w:pPr>
      <w:r>
        <w:rPr>
          <w:rFonts w:ascii="Times New Roman" w:hAnsi="Times New Roman"/>
          <w:b/>
          <w:color w:val="0F172A"/>
          <w:sz w:val="22"/>
        </w:rPr>
        <w:t xml:space="preserve">3. Automated Omnichannel Marketing Webhooks: </w:t>
      </w:r>
      <w:r>
        <w:rPr>
          <w:rFonts w:ascii="Times New Roman" w:hAnsi="Times New Roman"/>
          <w:i w:val="0"/>
          <w:color w:val="0F172A"/>
          <w:sz w:val="22"/>
        </w:rPr>
        <w:t>Implementing bidirectional RESTful webhooks connecting the dashboard with Customer Data Platforms (CDPs) such as Segment, Braze, and Klaviyo. Automated triggers will sync newly classified 'At Risk' accounts directly into targeted SMS and programmatic ad audiences.</w:t>
      </w:r>
    </w:p>
    <w:p>
      <w:pPr>
        <w:spacing w:before="20" w:after="70" w:line="276" w:lineRule="auto"/>
        <w:jc w:val="both"/>
      </w:pPr>
      <w:r>
        <w:rPr>
          <w:rFonts w:ascii="Times New Roman" w:hAnsi="Times New Roman"/>
          <w:b/>
          <w:color w:val="0F172A"/>
          <w:sz w:val="22"/>
        </w:rPr>
        <w:t xml:space="preserve">4. Explainable AI (SHAP &amp; LIME) Interpretability: </w:t>
      </w:r>
      <w:r>
        <w:rPr>
          <w:rFonts w:ascii="Times New Roman" w:hAnsi="Times New Roman"/>
          <w:i w:val="0"/>
          <w:color w:val="0F172A"/>
          <w:sz w:val="22"/>
        </w:rPr>
        <w:t>Integrating SHAP (SHapley Additive exPlanations) values to provide mathematical explanations for individual customer cluster assignments, ensuring complete transparency for marketing stakeholders.</w:t>
      </w:r>
    </w:p>
    <w:p>
      <w:r>
        <w:br w:type="page"/>
      </w:r>
    </w:p>
    <w:p>
      <w:pPr>
        <w:spacing w:before="0" w:after="20" w:line="276" w:lineRule="auto"/>
        <w:jc w:val="right"/>
      </w:pPr>
      <w:r>
        <w:rPr>
          <w:rFonts w:ascii="Times New Roman" w:hAnsi="Times New Roman"/>
          <w:i/>
          <w:color w:val="0F172A"/>
          <w:sz w:val="22"/>
        </w:rPr>
        <w:t>Page 30</w:t>
      </w:r>
    </w:p>
    <w:p>
      <w:pPr>
        <w:keepNext/>
        <w:spacing w:before="120" w:after="50"/>
        <w:jc w:val="left"/>
      </w:pPr>
      <w:r>
        <w:rPr>
          <w:rFonts w:ascii="Times New Roman" w:hAnsi="Times New Roman"/>
          <w:b/>
          <w:color w:val="1E1B4B"/>
          <w:sz w:val="30"/>
        </w:rPr>
        <w:t>6. REFERENCES &amp; FINAL ACADEMIC EVALUATION SHEET</w:t>
      </w:r>
    </w:p>
    <w:p>
      <w:pPr>
        <w:keepNext/>
        <w:spacing w:before="100" w:after="40"/>
        <w:jc w:val="left"/>
      </w:pPr>
      <w:r>
        <w:rPr>
          <w:rFonts w:ascii="Times New Roman" w:hAnsi="Times New Roman"/>
          <w:b/>
          <w:color w:val="0F172A"/>
          <w:sz w:val="26"/>
        </w:rPr>
        <w:t>6.1 Academic References (IEEE Standards)</w:t>
      </w:r>
    </w:p>
    <w:p>
      <w:pPr>
        <w:spacing w:before="0" w:after="40" w:line="252" w:lineRule="auto"/>
        <w:jc w:val="both"/>
      </w:pPr>
      <w:r>
        <w:rPr>
          <w:rFonts w:ascii="Times New Roman" w:hAnsi="Times New Roman"/>
          <w:b/>
          <w:color w:val="1E1B4B"/>
          <w:sz w:val="16"/>
        </w:rPr>
        <w:t xml:space="preserve">[1] </w:t>
      </w:r>
      <w:r>
        <w:rPr>
          <w:rFonts w:ascii="Times New Roman" w:hAnsi="Times New Roman"/>
          <w:sz w:val="16"/>
        </w:rPr>
        <w:t>J. Han, M. Kamber, and J. Pei, Data Mining: Concepts and Techniques, 3rd ed. Morgan Kaufmann, 2011.</w:t>
      </w:r>
    </w:p>
    <w:p>
      <w:pPr>
        <w:spacing w:before="0" w:after="40" w:line="252" w:lineRule="auto"/>
        <w:jc w:val="both"/>
      </w:pPr>
      <w:r>
        <w:rPr>
          <w:rFonts w:ascii="Times New Roman" w:hAnsi="Times New Roman"/>
          <w:b/>
          <w:color w:val="1E1B4B"/>
          <w:sz w:val="16"/>
        </w:rPr>
        <w:t xml:space="preserve">[2] </w:t>
      </w:r>
      <w:r>
        <w:rPr>
          <w:rFonts w:ascii="Times New Roman" w:hAnsi="Times New Roman"/>
          <w:sz w:val="16"/>
        </w:rPr>
        <w:t>T. Hastie, R. Tibshirani, and J. Friedman, The Elements of Statistical Learning, 2nd ed. Springer, 2009.</w:t>
      </w:r>
    </w:p>
    <w:p>
      <w:pPr>
        <w:spacing w:before="0" w:after="40" w:line="252" w:lineRule="auto"/>
        <w:jc w:val="both"/>
      </w:pPr>
      <w:r>
        <w:rPr>
          <w:rFonts w:ascii="Times New Roman" w:hAnsi="Times New Roman"/>
          <w:b/>
          <w:color w:val="1E1B4B"/>
          <w:sz w:val="16"/>
        </w:rPr>
        <w:t xml:space="preserve">[3] </w:t>
      </w:r>
      <w:r>
        <w:rPr>
          <w:rFonts w:ascii="Times New Roman" w:hAnsi="Times New Roman"/>
          <w:sz w:val="16"/>
        </w:rPr>
        <w:t>D. Arthur and S. Vassilvitskii, "k-means++: The advantages of careful seeding," in Proc. SODA, 2007, pp. 1027–1035.</w:t>
      </w:r>
    </w:p>
    <w:p>
      <w:pPr>
        <w:spacing w:before="0" w:after="40" w:line="252" w:lineRule="auto"/>
        <w:jc w:val="both"/>
      </w:pPr>
      <w:r>
        <w:rPr>
          <w:rFonts w:ascii="Times New Roman" w:hAnsi="Times New Roman"/>
          <w:b/>
          <w:color w:val="1E1B4B"/>
          <w:sz w:val="16"/>
        </w:rPr>
        <w:t xml:space="preserve">[4] </w:t>
      </w:r>
      <w:r>
        <w:rPr>
          <w:rFonts w:ascii="Times New Roman" w:hAnsi="Times New Roman"/>
          <w:sz w:val="16"/>
        </w:rPr>
        <w:t>A. M. Hughes, Strategic Database Marketing, 3rd ed. New York: McGraw-Hill, 2005.</w:t>
      </w:r>
    </w:p>
    <w:p>
      <w:pPr>
        <w:spacing w:before="0" w:after="40" w:line="252" w:lineRule="auto"/>
        <w:jc w:val="both"/>
      </w:pPr>
      <w:r>
        <w:rPr>
          <w:rFonts w:ascii="Times New Roman" w:hAnsi="Times New Roman"/>
          <w:b/>
          <w:color w:val="1E1B4B"/>
          <w:sz w:val="16"/>
        </w:rPr>
        <w:t xml:space="preserve">[5] </w:t>
      </w:r>
      <w:r>
        <w:rPr>
          <w:rFonts w:ascii="Times New Roman" w:hAnsi="Times New Roman"/>
          <w:sz w:val="16"/>
        </w:rPr>
        <w:t>P. S. Fader et al., "'Counting Your Customers' the Easy Way: Pareto/NBD Model," Marketing Science, vol. 24, 2005.</w:t>
      </w:r>
    </w:p>
    <w:p>
      <w:pPr>
        <w:spacing w:before="0" w:after="40" w:line="252" w:lineRule="auto"/>
        <w:jc w:val="both"/>
      </w:pPr>
      <w:r>
        <w:rPr>
          <w:rFonts w:ascii="Times New Roman" w:hAnsi="Times New Roman"/>
          <w:b/>
          <w:color w:val="1E1B4B"/>
          <w:sz w:val="16"/>
        </w:rPr>
        <w:t xml:space="preserve">[6] </w:t>
      </w:r>
      <w:r>
        <w:rPr>
          <w:rFonts w:ascii="Times New Roman" w:hAnsi="Times New Roman"/>
          <w:sz w:val="16"/>
        </w:rPr>
        <w:t>F. Pedregosa et al., "Scikit-learn: Machine Learning in Python," JMLR, vol. 12, pp. 2825–2830, 2011.</w:t>
      </w:r>
    </w:p>
    <w:p>
      <w:pPr>
        <w:spacing w:before="0" w:after="40" w:line="252" w:lineRule="auto"/>
        <w:jc w:val="both"/>
      </w:pPr>
      <w:r>
        <w:rPr>
          <w:rFonts w:ascii="Times New Roman" w:hAnsi="Times New Roman"/>
          <w:b/>
          <w:color w:val="1E1B4B"/>
          <w:sz w:val="16"/>
        </w:rPr>
        <w:t xml:space="preserve">[7] </w:t>
      </w:r>
      <w:r>
        <w:rPr>
          <w:rFonts w:ascii="Times New Roman" w:hAnsi="Times New Roman"/>
          <w:sz w:val="16"/>
        </w:rPr>
        <w:t>OWASP Foundation, "OWASP Top 10: The Ten Most Critical Web Application Security Risks," 2021.</w:t>
      </w:r>
    </w:p>
    <w:p>
      <w:pPr>
        <w:keepNext/>
        <w:spacing w:before="60" w:after="40"/>
        <w:jc w:val="left"/>
      </w:pPr>
      <w:r>
        <w:rPr>
          <w:rFonts w:ascii="Times New Roman" w:hAnsi="Times New Roman"/>
          <w:b/>
          <w:color w:val="0F172A"/>
          <w:sz w:val="26"/>
        </w:rPr>
        <w:t>Final Academic Evaluation &amp; Grading Sign-Off Block</w:t>
      </w:r>
    </w:p>
    <w:tbl>
      <w:tblPr>
        <w:tblW w:type="auto" w:w="0"/>
        <w:jc w:val="center"/>
        <w:tblLook w:firstColumn="1" w:firstRow="1" w:lastColumn="0" w:lastRow="0" w:noHBand="0" w:noVBand="1" w:val="04A0"/>
      </w:tblPr>
      <w:tblGrid>
        <w:gridCol w:w="3144"/>
        <w:gridCol w:w="3144"/>
        <w:gridCol w:w="3144"/>
      </w:tblGrid>
      <w:tr>
        <w:tc>
          <w:tcPr>
            <w:tcW w:type="dxa" w:w="2880"/>
            <w:shd w:fill="F8FAFC"/>
            <w:tcMar>
              <w:top w:w="14" w:type="dxa"/>
              <w:bottom w:w="14" w:type="dxa"/>
              <w:left w:w="15" w:type="dxa"/>
              <w:right w:w="15"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sz w:val="15"/>
              </w:rPr>
              <w:t>CANDIDATE SIGNATURE:</w:t>
              <w:br/>
              <w:br/>
              <w:t>___________________________</w:t>
              <w:br/>
              <w:t>Mr. Deep Koshiya</w:t>
              <w:br/>
              <w:t>B.Sc. AI &amp; DS (Sem V)</w:t>
              <w:br/>
              <w:t>Date: 06/11/2026</w:t>
            </w:r>
          </w:p>
        </w:tc>
        <w:tc>
          <w:tcPr>
            <w:tcW w:type="dxa" w:w="3024"/>
            <w:shd w:fill="F8FAFC"/>
            <w:tcMar>
              <w:top w:w="14" w:type="dxa"/>
              <w:bottom w:w="14" w:type="dxa"/>
              <w:left w:w="15" w:type="dxa"/>
              <w:right w:w="15"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sz w:val="15"/>
              </w:rPr>
              <w:t>INTERNAL EXAMINER:</w:t>
              <w:br/>
              <w:br/>
              <w:t>___________________________</w:t>
              <w:br/>
              <w:t>Assigned Project Supervisor</w:t>
              <w:br/>
              <w:t>Institute of Advanced Research</w:t>
              <w:br/>
              <w:t>Date: 06/11/2026</w:t>
            </w:r>
          </w:p>
        </w:tc>
        <w:tc>
          <w:tcPr>
            <w:tcW w:type="dxa" w:w="2880"/>
            <w:shd w:fill="F8FAFC"/>
            <w:tcMar>
              <w:top w:w="14" w:type="dxa"/>
              <w:bottom w:w="14" w:type="dxa"/>
              <w:left w:w="15" w:type="dxa"/>
              <w:right w:w="15"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sz w:val="15"/>
              </w:rPr>
              <w:t>EXTERNAL EXAMINER:</w:t>
              <w:br/>
              <w:br/>
              <w:t>___________________________</w:t>
              <w:br/>
              <w:t>SEE University Examiner</w:t>
              <w:br/>
              <w:t>Institute of Advanced Research</w:t>
              <w:br/>
              <w:t>Date: ___/11/2026</w:t>
            </w:r>
          </w:p>
        </w:tc>
      </w:tr>
      <w:tr>
        <w:tc>
          <w:tcPr>
            <w:tcW w:type="dxa" w:w="2880"/>
            <w:tcBorders>
              <w:top w:val="single" w:sz="4" w:space="0" w:color="CBD5E1"/>
              <w:left w:val="single" w:sz="4" w:space="0" w:color="CBD5E1"/>
              <w:bottom w:val="single" w:sz="4" w:space="0" w:color="CBD5E1"/>
              <w:right w:val="single" w:sz="4" w:space="0" w:color="CBD5E1"/>
            </w:tcBorders>
          </w:tcPr>
          <w:p/>
        </w:tc>
        <w:tc>
          <w:tcPr>
            <w:tcW w:type="dxa" w:w="3024"/>
            <w:shd w:fill="F1F5F9"/>
            <w:tcMar>
              <w:top w:w="10" w:type="dxa"/>
              <w:bottom w:w="10" w:type="dxa"/>
              <w:left w:w="15" w:type="dxa"/>
              <w:right w:w="15"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sz w:val="15"/>
              </w:rPr>
              <w:t>PROJECT COORDINATOR / HEAD OF THE SCHOOL:</w:t>
              <w:br/>
              <w:br/>
              <w:t>_____________________________________________</w:t>
              <w:br/>
              <w:t>Institute of Advanced Research (IAR), Gandhinagar</w:t>
            </w:r>
          </w:p>
        </w:tc>
        <w:tc>
          <w:tcPr>
            <w:tcW w:type="dxa" w:w="2880"/>
            <w:tcBorders>
              <w:top w:val="single" w:sz="4" w:space="0" w:color="CBD5E1"/>
              <w:left w:val="single" w:sz="4" w:space="0" w:color="CBD5E1"/>
              <w:bottom w:val="single" w:sz="4" w:space="0" w:color="CBD5E1"/>
              <w:right w:val="single" w:sz="4" w:space="0" w:color="CBD5E1"/>
            </w:tcBorders>
          </w:tcPr>
          <w:p/>
        </w:tc>
      </w:tr>
    </w:tbl>
    <w:sectPr w:rsidR="00FC693F" w:rsidRPr="0006063C" w:rsidSect="00034616">
      <w:pgSz w:w="12240" w:h="15840"/>
      <w:pgMar w:top="1008" w:right="1152" w:bottom="1008"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