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Geldium Delinquency Risk Report: Predictive Insights and Strategic Recommendations</w:t>
      </w:r>
    </w:p>
    <w:p>
      <w:pPr>
        <w:pStyle w:val="Heading2"/>
      </w:pPr>
      <w:r>
        <w:t>Step 1: Summary of Predictive Insights</w:t>
      </w:r>
    </w:p>
    <w:p>
      <w:r>
        <w:t>Our predictive model indicates that:</w:t>
        <w:br/>
        <w:t>- Customers under 30 years old</w:t>
        <w:br/>
        <w:t>- With high credit utilization (&gt;75%)</w:t>
        <w:br/>
        <w:t>- And two or more missed payments in the past 6 months</w:t>
        <w:br/>
        <w:br/>
        <w:t>are 3.4 times more likely to become delinquent compared to the average customer.</w:t>
      </w:r>
    </w:p>
    <w:p>
      <w:r>
        <w:br/>
        <w:t>Top 3 Risk Factors:</w:t>
      </w:r>
    </w:p>
    <w:p>
      <w:pPr>
        <w:pStyle w:val="ListBullet"/>
      </w:pPr>
      <w:r>
        <w:t>- High credit utilization (&gt;75%)</w:t>
      </w:r>
    </w:p>
    <w:p>
      <w:pPr>
        <w:pStyle w:val="ListBullet"/>
      </w:pPr>
      <w:r>
        <w:t>- Age under 30</w:t>
      </w:r>
    </w:p>
    <w:p>
      <w:pPr>
        <w:pStyle w:val="ListBullet"/>
      </w:pPr>
      <w:r>
        <w:t>- Two or more missed payments in the last 6 months</w:t>
      </w:r>
    </w:p>
    <w:p>
      <w:pPr>
        <w:pStyle w:val="Heading2"/>
      </w:pPr>
      <w:r>
        <w:t>Step 2: Brainstorm Actions and Evaluate Options</w:t>
      </w:r>
    </w:p>
    <w:p>
      <w:r>
        <w:t>Proposed Actions:</w:t>
        <w:br/>
        <w:t>1. Send proactive SMS/email payment reminders to high-risk segment.</w:t>
        <w:br/>
        <w:t>2. Launch a 6-week financial coaching program for Gen Z customers.</w:t>
        <w:br/>
        <w:t>3. Offer temporary hardship relief options.</w:t>
        <w:br/>
        <w:t>4. Lower credit limits temporarily for at-risk customers.</w:t>
        <w:br/>
        <w:t>5. Provide personalized repayment plan options.</w:t>
        <w:br/>
        <w:t>6. Introduce a chatbot for real-time support on billing and repayments.</w:t>
        <w:br/>
      </w:r>
    </w:p>
    <w:p>
      <w:pPr>
        <w:pStyle w:val="Heading3"/>
      </w:pPr>
      <w:r>
        <w:t>Evaluation Summary: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Action</w:t>
            </w:r>
          </w:p>
        </w:tc>
        <w:tc>
          <w:tcPr>
            <w:tcW w:type="dxa" w:w="1440"/>
          </w:tcPr>
          <w:p>
            <w:r>
              <w:t>Feasibility</w:t>
            </w:r>
          </w:p>
        </w:tc>
        <w:tc>
          <w:tcPr>
            <w:tcW w:type="dxa" w:w="1440"/>
          </w:tcPr>
          <w:p>
            <w:r>
              <w:t>Impact</w:t>
            </w:r>
          </w:p>
        </w:tc>
        <w:tc>
          <w:tcPr>
            <w:tcW w:type="dxa" w:w="1440"/>
          </w:tcPr>
          <w:p>
            <w:r>
              <w:t>Fairness</w:t>
            </w:r>
          </w:p>
        </w:tc>
        <w:tc>
          <w:tcPr>
            <w:tcW w:type="dxa" w:w="1440"/>
          </w:tcPr>
          <w:p>
            <w:r>
              <w:t>Cost</w:t>
            </w:r>
          </w:p>
        </w:tc>
        <w:tc>
          <w:tcPr>
            <w:tcW w:type="dxa" w:w="1440"/>
          </w:tcPr>
          <w:p>
            <w:r>
              <w:t>Alignment</w:t>
            </w:r>
          </w:p>
        </w:tc>
      </w:tr>
      <w:tr>
        <w:tc>
          <w:tcPr>
            <w:tcW w:type="dxa" w:w="1440"/>
          </w:tcPr>
          <w:p>
            <w:r>
              <w:t>SMS reminders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Financial coaching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Hardship relief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Lower credit limits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Risk of perceived unfairness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Repayment plans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Chatbot support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Medium-High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</w:tbl>
    <w:p>
      <w:pPr>
        <w:pStyle w:val="Heading2"/>
      </w:pPr>
      <w:r>
        <w:t>Step 3: SMART Recommendation and Justification</w:t>
      </w:r>
    </w:p>
    <w:p>
      <w:r>
        <w:t>SMART Recommendation:</w:t>
        <w:br/>
        <w:t>Launch a targeted 6-week financial coaching and communication campaign for Gen Z customers (under 30) with high credit utilization and missed payments. The goal is to reduce 30+ day delinquency by at least 12% within this cohort.</w:t>
        <w:br/>
      </w:r>
    </w:p>
    <w:p>
      <w:r>
        <w:t>Justification:</w:t>
      </w:r>
    </w:p>
    <w:p>
      <w:pPr>
        <w:pStyle w:val="ListBullet"/>
      </w:pPr>
      <w:r>
        <w:t>- Scalability: Can be rolled out in phases and expanded to other cohorts.</w:t>
      </w:r>
    </w:p>
    <w:p>
      <w:pPr>
        <w:pStyle w:val="ListBullet"/>
      </w:pPr>
      <w:r>
        <w:t>- Ease of Implementation: Leverages existing communication and education platforms.</w:t>
      </w:r>
    </w:p>
    <w:p>
      <w:pPr>
        <w:pStyle w:val="ListBullet"/>
      </w:pPr>
      <w:r>
        <w:t>- Fairness: Focuses on education and empowerment, not restriction.</w:t>
      </w:r>
    </w:p>
    <w:p>
      <w:pPr>
        <w:pStyle w:val="ListBullet"/>
      </w:pPr>
      <w:r>
        <w:t>- Anticipated ROI: A 12% reduction in delinquency can significantly reduce losses.</w:t>
      </w:r>
    </w:p>
    <w:p>
      <w:pPr>
        <w:pStyle w:val="ListBullet"/>
      </w:pPr>
      <w:r>
        <w:t>- Business Alignment: Supports Geldium's goals of proactive risk management and customer retention.</w:t>
      </w:r>
    </w:p>
    <w:p>
      <w:pPr>
        <w:pStyle w:val="ListBullet"/>
      </w:pPr>
      <w:r>
        <w:t>- Evidence-based: Based directly on model outputs and validated through risk scoring.</w:t>
      </w:r>
    </w:p>
    <w:p>
      <w:pPr>
        <w:pStyle w:val="Heading2"/>
      </w:pPr>
      <w:r>
        <w:t>Step 4: Ethical and Responsible AI Considerations</w:t>
      </w:r>
    </w:p>
    <w:p>
      <w:r>
        <w:t>Ethical Guardrails Embedded:</w:t>
      </w:r>
    </w:p>
    <w:p>
      <w:pPr>
        <w:pStyle w:val="ListBullet"/>
      </w:pPr>
      <w:r>
        <w:t>- Bias Checks: Model performance evaluated across age, income, gender.</w:t>
      </w:r>
    </w:p>
    <w:p>
      <w:pPr>
        <w:pStyle w:val="ListBullet"/>
      </w:pPr>
      <w:r>
        <w:t>- Explainability: Model uses interpretable decision tree logic.</w:t>
      </w:r>
    </w:p>
    <w:p>
      <w:pPr>
        <w:pStyle w:val="ListBullet"/>
      </w:pPr>
      <w:r>
        <w:t>- Responsible Use: No punitive action taken; only supportive, educational outreach.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