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E396D">
      <w:pPr>
        <w:pStyle w:val="2"/>
        <w:bidi w:val="0"/>
        <w:rPr>
          <w:rFonts w:hint="default"/>
        </w:rPr>
      </w:pPr>
      <w:r>
        <w:rPr>
          <w:rFonts w:hint="default"/>
        </w:rPr>
        <w:t>System Design Document (SDD)</w:t>
      </w:r>
      <w:r>
        <w:rPr>
          <w:rFonts w:hint="default"/>
        </w:rPr>
        <w:br w:type="textWrapping"/>
      </w:r>
      <w:r>
        <w:rPr>
          <w:rFonts w:hint="default"/>
        </w:rPr>
        <w:t>Turn-Based Multiplayer Game</w:t>
      </w:r>
    </w:p>
    <w:p w14:paraId="7CE7CEFE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Introduction</w:t>
      </w:r>
    </w:p>
    <w:p w14:paraId="0F79305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describes the system architecture, components, data models, APIs, event schemas, and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deployment model for the Turn-Based Multiplayer Game project. The system is designed as a distributed,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event-driven microservices architecture suitable for scalable turn-based gameplay environments.</w:t>
      </w:r>
    </w:p>
    <w:p w14:paraId="414FEF0B">
      <w:pPr>
        <w:pStyle w:val="4"/>
        <w:bidi w:val="0"/>
        <w:rPr>
          <w:rFonts w:hint="default"/>
        </w:rPr>
      </w:pPr>
      <w:r>
        <w:rPr>
          <w:rFonts w:hint="default"/>
        </w:rPr>
        <w:t>1.1 Purpose of the System</w:t>
      </w:r>
    </w:p>
    <w:p w14:paraId="666FC38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purpose of the system is to enable scalable, fault-tolerant turn-based gameplay by distributing components across independent services and using event-driven communication via a Pub/Sub system.</w:t>
      </w:r>
    </w:p>
    <w:p w14:paraId="6D901E8A">
      <w:pPr>
        <w:pStyle w:val="4"/>
        <w:bidi w:val="0"/>
        <w:rPr>
          <w:rFonts w:hint="default"/>
        </w:rPr>
      </w:pPr>
      <w:r>
        <w:rPr>
          <w:rFonts w:hint="default"/>
        </w:rPr>
        <w:t>1.2 System Scope</w:t>
      </w:r>
    </w:p>
    <w:p w14:paraId="7D2E1DA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includes player authentication, matchmaking, real-time event updates, game logic processing,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persistent storage, and WebSocket notifications.</w:t>
      </w:r>
    </w:p>
    <w:p w14:paraId="388B2E3F">
      <w:pPr>
        <w:pStyle w:val="3"/>
        <w:bidi w:val="0"/>
        <w:rPr>
          <w:rFonts w:hint="default"/>
        </w:rPr>
      </w:pPr>
      <w:r>
        <w:rPr>
          <w:rFonts w:hint="default"/>
        </w:rPr>
        <w:t>2. High-Level Architecture</w:t>
      </w:r>
    </w:p>
    <w:p w14:paraId="518E62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consists of: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428"/>
        <w:gridCol w:w="4428"/>
      </w:tblGrid>
      <w:tr w14:paraId="4906E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599F2308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Player Service</w:t>
            </w:r>
          </w:p>
        </w:tc>
        <w:tc>
          <w:tcPr>
            <w:tcW w:w="4428" w:type="dxa"/>
          </w:tcPr>
          <w:p w14:paraId="215DA060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Matchmaking Service</w:t>
            </w:r>
          </w:p>
        </w:tc>
      </w:tr>
      <w:tr w14:paraId="361A0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54E0CFBA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Game Logic Service</w:t>
            </w:r>
          </w:p>
        </w:tc>
        <w:tc>
          <w:tcPr>
            <w:tcW w:w="4428" w:type="dxa"/>
          </w:tcPr>
          <w:p w14:paraId="16D350B6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Event/Notification Service</w:t>
            </w:r>
          </w:p>
        </w:tc>
      </w:tr>
      <w:tr w14:paraId="12627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2DE6FE19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Pub/Sub system (RabbitMQ or Kafka)</w:t>
            </w:r>
          </w:p>
        </w:tc>
        <w:tc>
          <w:tcPr>
            <w:tcW w:w="4428" w:type="dxa"/>
          </w:tcPr>
          <w:p w14:paraId="2D53C50F">
            <w:pPr>
              <w:numPr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0180CB7C">
      <w:pPr>
        <w:pStyle w:val="3"/>
        <w:bidi w:val="0"/>
        <w:rPr>
          <w:rFonts w:hint="default"/>
        </w:rPr>
      </w:pPr>
      <w:r>
        <w:rPr>
          <w:rFonts w:hint="default"/>
        </w:rPr>
        <w:t>3. Component Design</w:t>
      </w:r>
    </w:p>
    <w:p w14:paraId="45A445F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service operates independently and communicates through REST APIs and event-driven messaging.</w:t>
      </w:r>
    </w:p>
    <w:p w14:paraId="1FCD460A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982210" cy="3045460"/>
            <wp:effectExtent l="0" t="0" r="1270" b="2540"/>
            <wp:docPr id="4" name="Picture 4" descr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mponent 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525A">
      <w:pPr>
        <w:pStyle w:val="4"/>
        <w:bidi w:val="0"/>
        <w:rPr>
          <w:rFonts w:hint="default"/>
        </w:rPr>
      </w:pPr>
      <w:r>
        <w:rPr>
          <w:rFonts w:hint="default"/>
        </w:rPr>
        <w:t>3.1 Player Service</w:t>
      </w:r>
    </w:p>
    <w:p w14:paraId="76EA7475">
      <w:pPr>
        <w:jc w:val="both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Responsibilities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428"/>
        <w:gridCol w:w="4428"/>
      </w:tblGrid>
      <w:tr w14:paraId="28240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63482587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Player registration and authentication</w:t>
            </w:r>
          </w:p>
        </w:tc>
        <w:tc>
          <w:tcPr>
            <w:tcW w:w="4428" w:type="dxa"/>
          </w:tcPr>
          <w:p w14:paraId="27657AAE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Player registration and authentication</w:t>
            </w:r>
          </w:p>
        </w:tc>
      </w:tr>
      <w:tr w14:paraId="71A3B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36F566B2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JWT token issuance</w:t>
            </w:r>
          </w:p>
        </w:tc>
        <w:tc>
          <w:tcPr>
            <w:tcW w:w="4428" w:type="dxa"/>
          </w:tcPr>
          <w:p w14:paraId="5B597EC7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JWT token issuance</w:t>
            </w:r>
          </w:p>
        </w:tc>
      </w:tr>
    </w:tbl>
    <w:p w14:paraId="4FC08A80">
      <w:pPr>
        <w:pStyle w:val="4"/>
        <w:bidi w:val="0"/>
        <w:rPr>
          <w:rFonts w:hint="default"/>
        </w:rPr>
      </w:pPr>
      <w:r>
        <w:rPr>
          <w:rFonts w:hint="default"/>
        </w:rPr>
        <w:t>3.2 Matchmaking Service</w:t>
      </w:r>
    </w:p>
    <w:p w14:paraId="48C1448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Responsibilities: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28"/>
        <w:gridCol w:w="4428"/>
      </w:tblGrid>
      <w:tr w14:paraId="7EC86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4B51D83B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Maintain a queue of players waiting for a match</w:t>
            </w:r>
          </w:p>
        </w:tc>
        <w:tc>
          <w:tcPr>
            <w:tcW w:w="4428" w:type="dxa"/>
          </w:tcPr>
          <w:p w14:paraId="082D7549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Publish match_created events</w:t>
            </w:r>
          </w:p>
        </w:tc>
      </w:tr>
      <w:tr w14:paraId="67A1C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22F24B6D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Pair players into matches</w:t>
            </w:r>
          </w:p>
        </w:tc>
        <w:tc>
          <w:tcPr>
            <w:tcW w:w="4428" w:type="dxa"/>
          </w:tcPr>
          <w:p w14:paraId="60739E0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6E24B16A">
      <w:pPr>
        <w:pStyle w:val="4"/>
        <w:bidi w:val="0"/>
        <w:rPr>
          <w:rFonts w:hint="default"/>
        </w:rPr>
      </w:pPr>
      <w:r>
        <w:rPr>
          <w:rFonts w:hint="default"/>
        </w:rPr>
        <w:t>3.3 Game Logic Service</w:t>
      </w:r>
    </w:p>
    <w:p w14:paraId="25EBEAB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Responsibilities: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28"/>
        <w:gridCol w:w="4428"/>
      </w:tblGrid>
      <w:tr w14:paraId="4A17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28" w:type="dxa"/>
          </w:tcPr>
          <w:p w14:paraId="3E2A80A5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Initialize game sessions based on match_created events</w:t>
            </w:r>
          </w:p>
        </w:tc>
        <w:tc>
          <w:tcPr>
            <w:tcW w:w="4428" w:type="dxa"/>
          </w:tcPr>
          <w:p w14:paraId="24F73761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Publish turn_completed and game_over events</w:t>
            </w:r>
          </w:p>
        </w:tc>
      </w:tr>
      <w:tr w14:paraId="58C0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28" w:type="dxa"/>
          </w:tcPr>
          <w:p w14:paraId="30829406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Validate moves</w:t>
            </w:r>
          </w:p>
        </w:tc>
        <w:tc>
          <w:tcPr>
            <w:tcW w:w="4428" w:type="dxa"/>
          </w:tcPr>
          <w:p w14:paraId="4DF2B0E2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Store game state in MongoDB</w:t>
            </w:r>
          </w:p>
        </w:tc>
      </w:tr>
      <w:tr w14:paraId="5EE4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5" w:hRule="atLeast"/>
        </w:trPr>
        <w:tc>
          <w:tcPr>
            <w:tcW w:w="4428" w:type="dxa"/>
          </w:tcPr>
          <w:p w14:paraId="2208AF11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Manage turn flow</w:t>
            </w:r>
          </w:p>
        </w:tc>
        <w:tc>
          <w:tcPr>
            <w:tcW w:w="4428" w:type="dxa"/>
          </w:tcPr>
          <w:p w14:paraId="3696F4A6">
            <w:pPr>
              <w:pStyle w:val="4"/>
              <w:bidi w:val="0"/>
              <w:rPr>
                <w:rFonts w:hint="default"/>
                <w:vertAlign w:val="baseline"/>
              </w:rPr>
            </w:pPr>
          </w:p>
        </w:tc>
      </w:tr>
    </w:tbl>
    <w:p w14:paraId="4970A62C">
      <w:pPr>
        <w:pStyle w:val="4"/>
        <w:bidi w:val="0"/>
        <w:rPr>
          <w:rFonts w:hint="default"/>
        </w:rPr>
      </w:pPr>
      <w:r>
        <w:rPr>
          <w:rFonts w:hint="default"/>
        </w:rPr>
        <w:t>3.4 Event Service</w:t>
      </w:r>
    </w:p>
    <w:p w14:paraId="080F6BA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Responsibilities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23A6D291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Subscribe to events from the Pub/Sub layer</w:t>
      </w:r>
    </w:p>
    <w:p w14:paraId="16C1575C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Send real-time WebSocket updates to clients</w:t>
      </w:r>
    </w:p>
    <w:p w14:paraId="65D88E67">
      <w:pPr>
        <w:pStyle w:val="3"/>
        <w:bidi w:val="0"/>
        <w:rPr>
          <w:rFonts w:hint="default"/>
        </w:rPr>
      </w:pPr>
      <w:r>
        <w:rPr>
          <w:rFonts w:hint="default"/>
        </w:rPr>
        <w:t>4. Deployment Architecture</w:t>
      </w:r>
    </w:p>
    <w:p w14:paraId="36DF41E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services run in Docker containers. Databases and the Pub/Sub broker are also containerized. The frontend may be served via CDN/Nginx.</w:t>
      </w:r>
    </w:p>
    <w:p w14:paraId="16D8706F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645150" cy="2884170"/>
            <wp:effectExtent l="0" t="0" r="8890" b="11430"/>
            <wp:docPr id="5" name="Picture 5" descr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eployment diagr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B4B1">
      <w:pPr>
        <w:pStyle w:val="3"/>
        <w:bidi w:val="0"/>
        <w:rPr>
          <w:rFonts w:hint="default"/>
        </w:rPr>
      </w:pPr>
      <w:r>
        <w:rPr>
          <w:rFonts w:hint="default"/>
        </w:rPr>
        <w:t>5. Data Storage Design</w:t>
      </w:r>
    </w:p>
    <w:p w14:paraId="437C49A8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PostgreSQL stores player accounts and stats.</w:t>
      </w:r>
    </w:p>
    <w:p w14:paraId="2DBF5108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MongoDB stores board states, active matches, and turn metadata.</w:t>
      </w:r>
    </w:p>
    <w:p w14:paraId="2B477F06">
      <w:pPr>
        <w:pStyle w:val="3"/>
        <w:bidi w:val="0"/>
        <w:rPr>
          <w:rFonts w:hint="default"/>
        </w:rPr>
      </w:pPr>
      <w:r>
        <w:rPr>
          <w:rFonts w:hint="default"/>
        </w:rPr>
        <w:t>6. API Design</w:t>
      </w:r>
    </w:p>
    <w:p w14:paraId="64BC6D24">
      <w:pPr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>Each microservice exposes an HTTP REST API. OpenAPI specifications include endpoints for login, registration, matchmaking, game state queries, and submitting moves.</w:t>
      </w:r>
    </w:p>
    <w:p w14:paraId="73290398">
      <w:pPr>
        <w:pStyle w:val="3"/>
        <w:bidi w:val="0"/>
        <w:rPr>
          <w:rFonts w:hint="default"/>
        </w:rPr>
      </w:pPr>
      <w:r>
        <w:rPr>
          <w:rFonts w:hint="default"/>
        </w:rPr>
        <w:t>7. Pub/Sub Event Design</w:t>
      </w:r>
    </w:p>
    <w:p w14:paraId="35F47E0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Events include: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28"/>
        <w:gridCol w:w="4428"/>
      </w:tblGrid>
      <w:tr w14:paraId="33466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5029C9CF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match_created</w:t>
            </w:r>
          </w:p>
        </w:tc>
        <w:tc>
          <w:tcPr>
            <w:tcW w:w="4428" w:type="dxa"/>
          </w:tcPr>
          <w:p w14:paraId="08621CE6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match_created</w:t>
            </w:r>
          </w:p>
        </w:tc>
      </w:tr>
      <w:tr w14:paraId="4B193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03813B7C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turn_submitted</w:t>
            </w:r>
          </w:p>
        </w:tc>
        <w:tc>
          <w:tcPr>
            <w:tcW w:w="4428" w:type="dxa"/>
          </w:tcPr>
          <w:p w14:paraId="70FAAB90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turn_submitted</w:t>
            </w:r>
          </w:p>
        </w:tc>
      </w:tr>
    </w:tbl>
    <w:p w14:paraId="4639A27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8A0B3B1">
      <w:pPr>
        <w:jc w:val="both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>Each event is validated using JSON Schema for consistency and reliability across microservices.</w:t>
      </w:r>
    </w:p>
    <w:p w14:paraId="64D4406A">
      <w:pPr>
        <w:pStyle w:val="3"/>
        <w:bidi w:val="0"/>
        <w:rPr>
          <w:rFonts w:hint="default"/>
        </w:rPr>
      </w:pPr>
      <w:r>
        <w:rPr>
          <w:rFonts w:hint="default"/>
        </w:rPr>
        <w:t>8. Sequence Diagrams</w:t>
      </w:r>
    </w:p>
    <w:p w14:paraId="3ED0F6D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Sequence flows cover:</w:t>
      </w:r>
    </w:p>
    <w:p w14:paraId="57E55C4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Matchmaking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484495" cy="2852420"/>
            <wp:effectExtent l="0" t="0" r="1905" b="12700"/>
            <wp:docPr id="1" name="Picture 1" descr="Matchmaking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tchmaking Sequence Diagr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Turn submission</w:t>
      </w:r>
    </w:p>
    <w:p w14:paraId="142642FD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482590" cy="2913380"/>
            <wp:effectExtent l="0" t="0" r="3810" b="12700"/>
            <wp:docPr id="2" name="Picture 2" descr="Turn Submission &amp; Validation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urn Submission &amp; Validation Sequence Diagr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20786B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Game-over flow</w:t>
      </w:r>
    </w:p>
    <w:p w14:paraId="04ADD2F7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483225" cy="2818765"/>
            <wp:effectExtent l="0" t="0" r="3175" b="635"/>
            <wp:docPr id="3" name="Picture 3" descr="gameover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ameover Sequence diagr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6D7B">
      <w:pPr>
        <w:pStyle w:val="3"/>
        <w:bidi w:val="0"/>
        <w:rPr>
          <w:rFonts w:hint="default"/>
        </w:rPr>
      </w:pPr>
      <w:r>
        <w:rPr>
          <w:rFonts w:hint="default"/>
        </w:rPr>
        <w:t>9. Non-Functional Requirements</w:t>
      </w:r>
    </w:p>
    <w:p w14:paraId="137202D7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Security</w:t>
      </w:r>
      <w:r>
        <w:rPr>
          <w:rFonts w:hint="default" w:ascii="Times New Roman" w:hAnsi="Times New Roman" w:cs="Times New Roman"/>
          <w:sz w:val="24"/>
          <w:szCs w:val="24"/>
        </w:rPr>
        <w:t>: JWT authentication across services</w:t>
      </w:r>
    </w:p>
    <w:p w14:paraId="520BC183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Performance</w:t>
      </w:r>
      <w:r>
        <w:rPr>
          <w:rFonts w:hint="default" w:ascii="Times New Roman" w:hAnsi="Times New Roman" w:cs="Times New Roman"/>
          <w:sz w:val="24"/>
          <w:szCs w:val="24"/>
        </w:rPr>
        <w:t>: Low-latency event handling</w:t>
      </w:r>
    </w:p>
    <w:p w14:paraId="0148D377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Scalability</w:t>
      </w:r>
      <w:r>
        <w:rPr>
          <w:rFonts w:hint="default" w:ascii="Times New Roman" w:hAnsi="Times New Roman" w:cs="Times New Roman"/>
          <w:sz w:val="24"/>
          <w:szCs w:val="24"/>
        </w:rPr>
        <w:t>: Horizontal scaling of stateless services</w:t>
      </w:r>
    </w:p>
    <w:p w14:paraId="1E35AC13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Reliability</w:t>
      </w:r>
      <w:r>
        <w:rPr>
          <w:rFonts w:hint="default" w:ascii="Times New Roman" w:hAnsi="Times New Roman" w:cs="Times New Roman"/>
          <w:sz w:val="24"/>
          <w:szCs w:val="24"/>
        </w:rPr>
        <w:t>: Durable queues, message acknowledgments</w:t>
      </w:r>
    </w:p>
    <w:p w14:paraId="39EDE77D">
      <w:pPr>
        <w:pStyle w:val="3"/>
        <w:bidi w:val="0"/>
        <w:rPr>
          <w:rFonts w:hint="default"/>
        </w:rPr>
      </w:pPr>
      <w:r>
        <w:rPr>
          <w:rFonts w:hint="default"/>
        </w:rPr>
        <w:t>10. Risks and Mitigation</w:t>
      </w:r>
    </w:p>
    <w:p w14:paraId="467EEE13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Game logic errors → Unit and integration tests</w:t>
      </w:r>
    </w:p>
    <w:p w14:paraId="59CB70CA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Pub/Sub delays → Durable queues, retry logic</w:t>
      </w:r>
    </w:p>
    <w:p w14:paraId="27535655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WebSocket congestion → Load balancing, horizontal scaling</w:t>
      </w:r>
    </w:p>
    <w:p w14:paraId="02362FC7">
      <w:pPr>
        <w:pStyle w:val="3"/>
        <w:bidi w:val="0"/>
        <w:rPr>
          <w:rFonts w:hint="default"/>
        </w:rPr>
      </w:pPr>
      <w:r>
        <w:rPr>
          <w:rFonts w:hint="default"/>
        </w:rPr>
        <w:t>12. Conclusion</w:t>
      </w:r>
    </w:p>
    <w:p w14:paraId="54A0D01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architecture provides a scalable, modular, event-driven backend suitable for turn-based multiplayer games, ensuring performance, maintainability, and extensibility.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4F20E6"/>
    <w:multiLevelType w:val="singleLevel"/>
    <w:tmpl w:val="D64F20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FFE5B2E"/>
    <w:multiLevelType w:val="singleLevel"/>
    <w:tmpl w:val="7FFE5B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9754A"/>
    <w:rsid w:val="4EA00CC3"/>
    <w:rsid w:val="4F1E2ADB"/>
    <w:rsid w:val="60BF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jc w:val="center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36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jc w:val="both"/>
      <w:outlineLvl w:val="1"/>
    </w:pPr>
    <w:rPr>
      <w:rFonts w:ascii="Times New Roman" w:hAnsi="Times New Roman" w:cs="Times New Roman" w:eastAsiaTheme="majorEastAsia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cs="Times New Roman" w:eastAsiaTheme="majorEastAsia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36"/>
      <w:lang w:val="en-US" w:eastAsia="en-US" w:bidi="ar-SA"/>
    </w:rPr>
  </w:style>
  <w:style w:type="character" w:customStyle="1" w:styleId="139">
    <w:name w:val="Heading 2 Char"/>
    <w:link w:val="3"/>
    <w:qFormat/>
    <w:uiPriority w:val="9"/>
    <w:rPr>
      <w:rFonts w:ascii="Times New Roman" w:hAnsi="Times New Roman" w:cs="Times New Roman" w:eastAsiaTheme="majorEastAsia"/>
      <w:b/>
      <w:bCs/>
      <w:color w:val="4F81BD" w:themeColor="accent1"/>
      <w:sz w:val="32"/>
      <w:szCs w:val="32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40">
    <w:name w:val="Heading 3 Char"/>
    <w:link w:val="4"/>
    <w:uiPriority w:val="9"/>
    <w:rPr>
      <w:rFonts w:ascii="Times New Roman" w:hAnsi="Times New Roman" w:cs="Times New Roman" w:eastAsiaTheme="majorEastAsia"/>
      <w:b/>
      <w:bCs/>
      <w:color w:val="4F81BD" w:themeColor="accent1"/>
      <w:sz w:val="28"/>
      <w:szCs w:val="28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big blue</cp:lastModifiedBy>
  <dcterms:modified xsi:type="dcterms:W3CDTF">2025-11-21T16:11:29Z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7AC14B2CD12745F9AF62ADF7845B0770_12</vt:lpwstr>
  </property>
</Properties>
</file>