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Budget Statements 2025-26</w:t>
      </w:r>
    </w:p>
    <w:p>
      <w:pPr>
        <w:pStyle w:val="Heading1"/>
      </w:pPr>
      <w:r>
        <w:t>Budget Related Paper No. 1.9</w:t>
      </w:r>
    </w:p>
    <w:p>
      <w:pPr>
        <w:pStyle w:val="Heading1"/>
      </w:pPr>
      <w:r>
        <w:t>NATIVE WILDLIFE Portfolio</w:t>
      </w:r>
    </w:p>
    <w:p>
      <w:r>
        <w:t>© Commonwealth of Wombatia 2025</w:t>
      </w:r>
    </w:p>
    <w:p>
      <w:r>
        <w:t>This publication is available for your use under a Creative Commons licence.</w:t>
      </w:r>
    </w:p>
    <w:tbl>
      <w:tblPr>
        <w:tblW w:type="auto" w:w="0"/>
        <w:tblLook w:firstColumn="1" w:firstRow="1" w:lastColumn="0" w:lastRow="0" w:noHBand="0" w:noVBand="1" w:val="04A0"/>
      </w:tblPr>
      <w:tblGrid>
        <w:gridCol w:w="2880"/>
        <w:gridCol w:w="2880"/>
        <w:gridCol w:w="2880"/>
      </w:tblGrid>
      <w:tr>
        <w:tc>
          <w:tcPr>
            <w:tcW w:type="dxa" w:w="2880"/>
          </w:tcPr>
          <w:p>
            <w:r>
              <w:t>WINNIE WOMBAT</w:t>
            </w:r>
          </w:p>
        </w:tc>
        <w:tc>
          <w:tcPr>
            <w:tcW w:type="dxa" w:w="2880"/>
          </w:tcPr>
          <w:p>
            <w:r>
              <w:t>KEVIN KOALA</w:t>
            </w:r>
          </w:p>
        </w:tc>
        <w:tc>
          <w:tcPr>
            <w:tcW w:type="dxa" w:w="2880"/>
          </w:tcPr>
          <w:p>
            <w:r>
              <w:t>PENNY PLATYPUS</w:t>
            </w:r>
          </w:p>
        </w:tc>
      </w:tr>
    </w:tbl>
    <w:p>
      <w:pPr>
        <w:pStyle w:val="Heading1"/>
      </w:pPr>
      <w:r>
        <w:t>Section 1: Wombat programs</w:t>
      </w:r>
    </w:p>
    <w:p>
      <w:pPr>
        <w:pStyle w:val="Heading2"/>
      </w:pPr>
      <w:r>
        <w:t>1.1 Strategic direction</w:t>
      </w:r>
    </w:p>
    <w:p>
      <w:r>
        <w:t>Survey effort for the wombat increased by 34 per cent on the previous year. Community groups reported that wombat numbers were stable in SA. Community groups reported that wombat numbers were stable in SA. Fencing, predator control and revegetation remain the main wombat recovery actions.</w:t>
      </w:r>
    </w:p>
    <w:p>
      <w:r>
        <w:t>Community groups reported that wombat numbers were stable in NT. The department will review wombat monitoring protocols by 30 June 2026. Survey effort for the wombat increased by 27 per cent on the previous year. Survey effort for the wombat increased by 27 per cent on the previous year.</w:t>
      </w:r>
    </w:p>
    <w:p>
      <w:r>
        <w:t>The department will review wombat monitoring protocols by 30 June 2028. The wombat (Vombatus ursinus) shelters in burrows across temperate forest and heathland. Funding of $90.7 million supports wombat habitat restoration. The wombat (Vombatus ursinus) shelters in burrows across temperate forest and heathland.</w:t>
      </w:r>
    </w:p>
    <w:p>
      <w:pPr>
        <w:pStyle w:val="Heading2"/>
      </w:pPr>
      <w:r>
        <w:t>1.2 Budgeted expenses</w:t>
      </w:r>
    </w:p>
    <w:p>
      <w:r>
        <w:t>Community groups reported that wombat numbers were stable in NSW. Fencing, predator control and revegetation remain the main wombat recovery actions.</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1.1 Wombat monitoring</w:t>
            </w:r>
          </w:p>
        </w:tc>
        <w:tc>
          <w:tcPr>
            <w:tcW w:type="dxa" w:w="2160"/>
          </w:tcPr>
          <w:p>
            <w:r>
              <w:t>1,275</w:t>
            </w:r>
          </w:p>
        </w:tc>
        <w:tc>
          <w:tcPr>
            <w:tcW w:type="dxa" w:w="2160"/>
          </w:tcPr>
          <w:p>
            <w:r>
              <w:t>4,432</w:t>
            </w:r>
          </w:p>
        </w:tc>
        <w:tc>
          <w:tcPr>
            <w:tcW w:type="dxa" w:w="2160"/>
          </w:tcPr>
          <w:p>
            <w:r>
              <w:t>247.6</w:t>
            </w:r>
          </w:p>
        </w:tc>
      </w:tr>
      <w:tr>
        <w:tc>
          <w:tcPr>
            <w:tcW w:type="dxa" w:w="2160"/>
          </w:tcPr>
          <w:p>
            <w:r>
              <w:t>1.2 Wombat habitat</w:t>
            </w:r>
          </w:p>
        </w:tc>
        <w:tc>
          <w:tcPr>
            <w:tcW w:type="dxa" w:w="2160"/>
          </w:tcPr>
          <w:p>
            <w:r>
              <w:t>7,974</w:t>
            </w:r>
          </w:p>
        </w:tc>
        <w:tc>
          <w:tcPr>
            <w:tcW w:type="dxa" w:w="2160"/>
          </w:tcPr>
          <w:p>
            <w:r>
              <w:t>8,923</w:t>
            </w:r>
          </w:p>
        </w:tc>
        <w:tc>
          <w:tcPr>
            <w:tcW w:type="dxa" w:w="2160"/>
          </w:tcPr>
          <w:p>
            <w:r>
              <w:t>11.9</w:t>
            </w:r>
          </w:p>
        </w:tc>
      </w:tr>
      <w:tr>
        <w:tc>
          <w:tcPr>
            <w:tcW w:type="dxa" w:w="2160"/>
          </w:tcPr>
          <w:p>
            <w:r>
              <w:t>1.3 Wombat research</w:t>
            </w:r>
          </w:p>
        </w:tc>
        <w:tc>
          <w:tcPr>
            <w:tcW w:type="dxa" w:w="2160"/>
          </w:tcPr>
          <w:p>
            <w:r>
              <w:t>4,618</w:t>
            </w:r>
          </w:p>
        </w:tc>
        <w:tc>
          <w:tcPr>
            <w:tcW w:type="dxa" w:w="2160"/>
          </w:tcPr>
          <w:p>
            <w:r>
              <w:t>6,463</w:t>
            </w:r>
          </w:p>
        </w:tc>
        <w:tc>
          <w:tcPr>
            <w:tcW w:type="dxa" w:w="2160"/>
          </w:tcPr>
          <w:p>
            <w:r>
              <w:t>40.0</w:t>
            </w:r>
          </w:p>
        </w:tc>
      </w:tr>
      <w:tr>
        <w:tc>
          <w:tcPr>
            <w:tcW w:type="dxa" w:w="2160"/>
          </w:tcPr>
          <w:p>
            <w:r>
              <w:t>1.4 Wombat outreach</w:t>
            </w:r>
          </w:p>
        </w:tc>
        <w:tc>
          <w:tcPr>
            <w:tcW w:type="dxa" w:w="2160"/>
          </w:tcPr>
          <w:p>
            <w:r>
              <w:t>4,582</w:t>
            </w:r>
          </w:p>
        </w:tc>
        <w:tc>
          <w:tcPr>
            <w:tcW w:type="dxa" w:w="2160"/>
          </w:tcPr>
          <w:p>
            <w:r>
              <w:t>4,384</w:t>
            </w:r>
          </w:p>
        </w:tc>
        <w:tc>
          <w:tcPr>
            <w:tcW w:type="dxa" w:w="2160"/>
          </w:tcPr>
          <w:p>
            <w:r>
              <w:t>-4.3</w:t>
            </w:r>
          </w:p>
        </w:tc>
      </w:tr>
    </w:tbl>
    <w:p>
      <w:r>
        <w:t>Fencing, predator control and revegetation remain the main wombat recovery actions. The wombat (Vombatus ursinus) shelters in burrows across temperate forest and heathland. Field officers recorded 401 wombat observations during the reporting period.</w:t>
      </w:r>
    </w:p>
    <w:p>
      <w:r>
        <w:t>Community groups reported that wombat numbers were stable in TAS. The department will review wombat monitoring protocols by 30 June 2028. Survey effort for the wombat increased by 35 per cent on the previous year.</w:t>
      </w:r>
    </w:p>
    <w:p>
      <w:pPr>
        <w:pStyle w:val="Heading1"/>
      </w:pPr>
      <w:r>
        <w:t>Section 2: Koala programs</w:t>
      </w:r>
    </w:p>
    <w:p>
      <w:pPr>
        <w:pStyle w:val="Heading2"/>
      </w:pPr>
      <w:r>
        <w:t>2.1 Strategic direction</w:t>
      </w:r>
    </w:p>
    <w:p>
      <w:r>
        <w:t>Community groups reported that koala numbers were stable in SA. Survey effort for the koala increased by 40 per cent on the previous year. The department will review koala monitoring protocols by 30 June 2027. Community groups reported that koala numbers were stable in SA.</w:t>
      </w:r>
    </w:p>
    <w:p>
      <w:r>
        <w:t>Community groups reported that koala numbers were stable in WA. Fencing, predator control and revegetation remain the main koala recovery actions. Field officers recorded 313 koala observations during the reporting period. Funding of $5.7 million supports koala habitat restoration.</w:t>
      </w:r>
    </w:p>
    <w:p>
      <w:r>
        <w:t>The koala (Phascolarctos cinereus) shelters in eucalypt canopy across coastal and inland woodland. Survey effort for the koala increased by 35 per cent on the previous year. Field officers recorded 292 koala observations during the reporting period. The department will review koala monitoring protocols by 30 June 2027.</w:t>
      </w:r>
    </w:p>
    <w:p>
      <w:pPr>
        <w:pStyle w:val="Heading2"/>
      </w:pPr>
      <w:r>
        <w:t>2.2 Budgeted expenses</w:t>
      </w:r>
    </w:p>
    <w:p>
      <w:r>
        <w:t>Community groups reported that koala numbers were stable in NT. The koala (Phascolarctos cinereus) shelters in eucalypt canopy across coastal and inland woodland.</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2.1 Koala monitoring</w:t>
            </w:r>
          </w:p>
        </w:tc>
        <w:tc>
          <w:tcPr>
            <w:tcW w:type="dxa" w:w="2160"/>
          </w:tcPr>
          <w:p>
            <w:r>
              <w:t>5,854</w:t>
            </w:r>
          </w:p>
        </w:tc>
        <w:tc>
          <w:tcPr>
            <w:tcW w:type="dxa" w:w="2160"/>
          </w:tcPr>
          <w:p>
            <w:r>
              <w:t>7,248</w:t>
            </w:r>
          </w:p>
        </w:tc>
        <w:tc>
          <w:tcPr>
            <w:tcW w:type="dxa" w:w="2160"/>
          </w:tcPr>
          <w:p>
            <w:r>
              <w:t>23.8</w:t>
            </w:r>
          </w:p>
        </w:tc>
      </w:tr>
      <w:tr>
        <w:tc>
          <w:tcPr>
            <w:tcW w:type="dxa" w:w="2160"/>
          </w:tcPr>
          <w:p>
            <w:r>
              <w:t>2.2 Koala habitat</w:t>
            </w:r>
          </w:p>
        </w:tc>
        <w:tc>
          <w:tcPr>
            <w:tcW w:type="dxa" w:w="2160"/>
          </w:tcPr>
          <w:p>
            <w:r>
              <w:t>3,591</w:t>
            </w:r>
          </w:p>
        </w:tc>
        <w:tc>
          <w:tcPr>
            <w:tcW w:type="dxa" w:w="2160"/>
          </w:tcPr>
          <w:p>
            <w:r>
              <w:t>3,562</w:t>
            </w:r>
          </w:p>
        </w:tc>
        <w:tc>
          <w:tcPr>
            <w:tcW w:type="dxa" w:w="2160"/>
          </w:tcPr>
          <w:p>
            <w:r>
              <w:t>-0.8</w:t>
            </w:r>
          </w:p>
        </w:tc>
      </w:tr>
      <w:tr>
        <w:tc>
          <w:tcPr>
            <w:tcW w:type="dxa" w:w="2160"/>
          </w:tcPr>
          <w:p>
            <w:r>
              <w:t>2.3 Koala research</w:t>
            </w:r>
          </w:p>
        </w:tc>
        <w:tc>
          <w:tcPr>
            <w:tcW w:type="dxa" w:w="2160"/>
          </w:tcPr>
          <w:p>
            <w:r>
              <w:t>4,518</w:t>
            </w:r>
          </w:p>
        </w:tc>
        <w:tc>
          <w:tcPr>
            <w:tcW w:type="dxa" w:w="2160"/>
          </w:tcPr>
          <w:p>
            <w:r>
              <w:t>1,001</w:t>
            </w:r>
          </w:p>
        </w:tc>
        <w:tc>
          <w:tcPr>
            <w:tcW w:type="dxa" w:w="2160"/>
          </w:tcPr>
          <w:p>
            <w:r>
              <w:t>-77.8</w:t>
            </w:r>
          </w:p>
        </w:tc>
      </w:tr>
      <w:tr>
        <w:tc>
          <w:tcPr>
            <w:tcW w:type="dxa" w:w="2160"/>
          </w:tcPr>
          <w:p>
            <w:r>
              <w:t>2.4 Koala outreach</w:t>
            </w:r>
          </w:p>
        </w:tc>
        <w:tc>
          <w:tcPr>
            <w:tcW w:type="dxa" w:w="2160"/>
          </w:tcPr>
          <w:p>
            <w:r>
              <w:t>4,068</w:t>
            </w:r>
          </w:p>
        </w:tc>
        <w:tc>
          <w:tcPr>
            <w:tcW w:type="dxa" w:w="2160"/>
          </w:tcPr>
          <w:p>
            <w:r>
              <w:t>4,603</w:t>
            </w:r>
          </w:p>
        </w:tc>
        <w:tc>
          <w:tcPr>
            <w:tcW w:type="dxa" w:w="2160"/>
          </w:tcPr>
          <w:p>
            <w:r>
              <w:t>13.2</w:t>
            </w:r>
          </w:p>
        </w:tc>
      </w:tr>
      <w:tr>
        <w:tc>
          <w:tcPr>
            <w:tcW w:type="dxa" w:w="2160"/>
          </w:tcPr>
          <w:p>
            <w:r>
              <w:t>2.5 Koala rescue</w:t>
            </w:r>
          </w:p>
        </w:tc>
        <w:tc>
          <w:tcPr>
            <w:tcW w:type="dxa" w:w="2160"/>
          </w:tcPr>
          <w:p>
            <w:r>
              <w:t>7,426</w:t>
            </w:r>
          </w:p>
        </w:tc>
        <w:tc>
          <w:tcPr>
            <w:tcW w:type="dxa" w:w="2160"/>
          </w:tcPr>
          <w:p>
            <w:r>
              <w:t>6,433</w:t>
            </w:r>
          </w:p>
        </w:tc>
        <w:tc>
          <w:tcPr>
            <w:tcW w:type="dxa" w:w="2160"/>
          </w:tcPr>
          <w:p>
            <w:r>
              <w:t>-13.4</w:t>
            </w:r>
          </w:p>
        </w:tc>
      </w:tr>
    </w:tbl>
    <w:p>
      <w:r>
        <w:t>The department will review koala monitoring protocols by 30 June 2027. Fencing, predator control and revegetation remain the main koala recovery actions. The koala (Phascolarctos cinereus) shelters in eucalypt canopy across coastal and inland woodland.</w:t>
      </w:r>
    </w:p>
    <w:p>
      <w:r>
        <w:t>Community groups reported that koala numbers were stable in WA. Survey effort for the koala increased by 6 per cent on the previous year. Funding of $66.2 million supports koala habitat restoration.</w:t>
      </w:r>
    </w:p>
    <w:p>
      <w:pPr>
        <w:pStyle w:val="Heading1"/>
      </w:pPr>
      <w:r>
        <w:t>Section 3: Quokka programs</w:t>
      </w:r>
    </w:p>
    <w:p>
      <w:pPr>
        <w:pStyle w:val="Heading2"/>
      </w:pPr>
      <w:r>
        <w:t>3.1 Strategic direction</w:t>
      </w:r>
    </w:p>
    <w:p>
      <w:r>
        <w:t>Community groups reported that quokka numbers were stable in ACT. Funding of $71.3 million supports quokka habitat restoration. The quokka (Setonix brachyurus) shelters in dense scrub across Rottnest Island and the south-west. The department will review quokka monitoring protocols by 30 June 2027.</w:t>
      </w:r>
    </w:p>
    <w:p>
      <w:r>
        <w:t>Survey effort for the quokka increased by 4 per cent on the previous year. Field officers recorded 288 quokka observations during the reporting period. Fencing, predator control and revegetation remain the main quokka recovery actions. Field officers recorded 288 quokka observations during the reporting period.</w:t>
      </w:r>
    </w:p>
    <w:p>
      <w:r>
        <w:t>The quokka (Setonix brachyurus) shelters in dense scrub across Rottnest Island and the south-west. Survey effort for the quokka increased by 19 per cent on the previous year. Fencing, predator control and revegetation remain the main quokka recovery actions. The quokka (Setonix brachyurus) shelters in dense scrub across Rottnest Island and the south-west.</w:t>
      </w:r>
    </w:p>
    <w:p>
      <w:pPr>
        <w:pStyle w:val="Heading2"/>
      </w:pPr>
      <w:r>
        <w:t>3.2 Budgeted expenses</w:t>
      </w:r>
    </w:p>
    <w:p>
      <w:r>
        <w:t>Funding of $3.7 million supports quokka habitat restoration. The quokka (Setonix brachyurus) shelters in dense scrub across Rottnest Island and the south-west.</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3.1 Quokka monitoring</w:t>
            </w:r>
          </w:p>
        </w:tc>
        <w:tc>
          <w:tcPr>
            <w:tcW w:type="dxa" w:w="2160"/>
          </w:tcPr>
          <w:p>
            <w:r>
              <w:t>3,824</w:t>
            </w:r>
          </w:p>
        </w:tc>
        <w:tc>
          <w:tcPr>
            <w:tcW w:type="dxa" w:w="2160"/>
          </w:tcPr>
          <w:p>
            <w:r>
              <w:t>6,443</w:t>
            </w:r>
          </w:p>
        </w:tc>
        <w:tc>
          <w:tcPr>
            <w:tcW w:type="dxa" w:w="2160"/>
          </w:tcPr>
          <w:p>
            <w:r>
              <w:t>68.5</w:t>
            </w:r>
          </w:p>
        </w:tc>
      </w:tr>
      <w:tr>
        <w:tc>
          <w:tcPr>
            <w:tcW w:type="dxa" w:w="2160"/>
          </w:tcPr>
          <w:p>
            <w:r>
              <w:t>3.2 Quokka habitat</w:t>
            </w:r>
          </w:p>
        </w:tc>
        <w:tc>
          <w:tcPr>
            <w:tcW w:type="dxa" w:w="2160"/>
          </w:tcPr>
          <w:p>
            <w:r>
              <w:t>5,556</w:t>
            </w:r>
          </w:p>
        </w:tc>
        <w:tc>
          <w:tcPr>
            <w:tcW w:type="dxa" w:w="2160"/>
          </w:tcPr>
          <w:p>
            <w:r>
              <w:t>1,938</w:t>
            </w:r>
          </w:p>
        </w:tc>
        <w:tc>
          <w:tcPr>
            <w:tcW w:type="dxa" w:w="2160"/>
          </w:tcPr>
          <w:p>
            <w:r>
              <w:t>-65.1</w:t>
            </w:r>
          </w:p>
        </w:tc>
      </w:tr>
      <w:tr>
        <w:tc>
          <w:tcPr>
            <w:tcW w:type="dxa" w:w="2160"/>
          </w:tcPr>
          <w:p>
            <w:r>
              <w:t>3.3 Quokka research</w:t>
            </w:r>
          </w:p>
        </w:tc>
        <w:tc>
          <w:tcPr>
            <w:tcW w:type="dxa" w:w="2160"/>
          </w:tcPr>
          <w:p>
            <w:r>
              <w:t>3,543</w:t>
            </w:r>
          </w:p>
        </w:tc>
        <w:tc>
          <w:tcPr>
            <w:tcW w:type="dxa" w:w="2160"/>
          </w:tcPr>
          <w:p>
            <w:r>
              <w:t>3,415</w:t>
            </w:r>
          </w:p>
        </w:tc>
        <w:tc>
          <w:tcPr>
            <w:tcW w:type="dxa" w:w="2160"/>
          </w:tcPr>
          <w:p>
            <w:r>
              <w:t>-3.6</w:t>
            </w:r>
          </w:p>
        </w:tc>
      </w:tr>
    </w:tbl>
    <w:p>
      <w:r>
        <w:t>Community groups reported that quokka numbers were stable in SA. Fencing, predator control and revegetation remain the main quokka recovery actions. Funding of $68.2 million supports quokka habitat restoration.</w:t>
      </w:r>
    </w:p>
    <w:p>
      <w:r>
        <w:t>Funding of $61.1 million supports quokka habitat restoration. Community groups reported that quokka numbers were stable in NSW. Survey effort for the quokka increased by 27 per cent on the previous year.</w:t>
      </w:r>
    </w:p>
    <w:p>
      <w:pPr>
        <w:pStyle w:val="Heading1"/>
      </w:pPr>
      <w:r>
        <w:t>Section 4: Platypus programs</w:t>
      </w:r>
    </w:p>
    <w:p>
      <w:pPr>
        <w:pStyle w:val="Heading2"/>
      </w:pPr>
      <w:r>
        <w:t>4.1 Strategic direction</w:t>
      </w:r>
    </w:p>
    <w:p>
      <w:r>
        <w:t>Field officers recorded 108 platypus observations during the reporting period. The department will review platypus monitoring protocols by 30 June 2028. Community groups reported that platypus numbers were stable in SA. Survey effort for the platypus increased by 35 per cent on the previous year.</w:t>
      </w:r>
    </w:p>
    <w:p>
      <w:r>
        <w:t>Fencing, predator control and revegetation remain the main platypus recovery actions. Field officers recorded 22 platypus observations during the reporting period. Community groups reported that platypus numbers were stable in ACT. Fencing, predator control and revegetation remain the main platypus recovery actions.</w:t>
      </w:r>
    </w:p>
    <w:p>
      <w:r>
        <w:t>Community groups reported that platypus numbers were stable in WA. Field officers recorded 271 platypus observations during the reporting period. The department will review platypus monitoring protocols by 30 June 2028. Fencing, predator control and revegetation remain the main platypus recovery actions.</w:t>
      </w:r>
    </w:p>
    <w:p>
      <w:pPr>
        <w:pStyle w:val="Heading2"/>
      </w:pPr>
      <w:r>
        <w:t>4.2 Budgeted expenses</w:t>
      </w:r>
    </w:p>
    <w:p>
      <w:r>
        <w:t>The platypus (Ornithorhynchus anatinus) shelters in creek banks across freshwater streams of the east. Fencing, predator control and revegetation remain the main platypus recovery actions.</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4.1 Platypus monitoring</w:t>
            </w:r>
          </w:p>
        </w:tc>
        <w:tc>
          <w:tcPr>
            <w:tcW w:type="dxa" w:w="2160"/>
          </w:tcPr>
          <w:p>
            <w:r>
              <w:t>5,692</w:t>
            </w:r>
          </w:p>
        </w:tc>
        <w:tc>
          <w:tcPr>
            <w:tcW w:type="dxa" w:w="2160"/>
          </w:tcPr>
          <w:p>
            <w:r>
              <w:t>2,859</w:t>
            </w:r>
          </w:p>
        </w:tc>
        <w:tc>
          <w:tcPr>
            <w:tcW w:type="dxa" w:w="2160"/>
          </w:tcPr>
          <w:p>
            <w:r>
              <w:t>-49.8</w:t>
            </w:r>
          </w:p>
        </w:tc>
      </w:tr>
      <w:tr>
        <w:tc>
          <w:tcPr>
            <w:tcW w:type="dxa" w:w="2160"/>
          </w:tcPr>
          <w:p>
            <w:r>
              <w:t>4.2 Platypus habitat</w:t>
            </w:r>
          </w:p>
        </w:tc>
        <w:tc>
          <w:tcPr>
            <w:tcW w:type="dxa" w:w="2160"/>
          </w:tcPr>
          <w:p>
            <w:r>
              <w:t>4,275</w:t>
            </w:r>
          </w:p>
        </w:tc>
        <w:tc>
          <w:tcPr>
            <w:tcW w:type="dxa" w:w="2160"/>
          </w:tcPr>
          <w:p>
            <w:r>
              <w:t>1,577</w:t>
            </w:r>
          </w:p>
        </w:tc>
        <w:tc>
          <w:tcPr>
            <w:tcW w:type="dxa" w:w="2160"/>
          </w:tcPr>
          <w:p>
            <w:r>
              <w:t>-63.1</w:t>
            </w:r>
          </w:p>
        </w:tc>
      </w:tr>
      <w:tr>
        <w:tc>
          <w:tcPr>
            <w:tcW w:type="dxa" w:w="2160"/>
          </w:tcPr>
          <w:p>
            <w:r>
              <w:t>4.3 Platypus research</w:t>
            </w:r>
          </w:p>
        </w:tc>
        <w:tc>
          <w:tcPr>
            <w:tcW w:type="dxa" w:w="2160"/>
          </w:tcPr>
          <w:p>
            <w:r>
              <w:t>5,819</w:t>
            </w:r>
          </w:p>
        </w:tc>
        <w:tc>
          <w:tcPr>
            <w:tcW w:type="dxa" w:w="2160"/>
          </w:tcPr>
          <w:p>
            <w:r>
              <w:t>1,958</w:t>
            </w:r>
          </w:p>
        </w:tc>
        <w:tc>
          <w:tcPr>
            <w:tcW w:type="dxa" w:w="2160"/>
          </w:tcPr>
          <w:p>
            <w:r>
              <w:t>-66.4</w:t>
            </w:r>
          </w:p>
        </w:tc>
      </w:tr>
      <w:tr>
        <w:tc>
          <w:tcPr>
            <w:tcW w:type="dxa" w:w="2160"/>
          </w:tcPr>
          <w:p>
            <w:r>
              <w:t>4.4 Platypus outreach</w:t>
            </w:r>
          </w:p>
        </w:tc>
        <w:tc>
          <w:tcPr>
            <w:tcW w:type="dxa" w:w="2160"/>
          </w:tcPr>
          <w:p>
            <w:r>
              <w:t>2,052</w:t>
            </w:r>
          </w:p>
        </w:tc>
        <w:tc>
          <w:tcPr>
            <w:tcW w:type="dxa" w:w="2160"/>
          </w:tcPr>
          <w:p>
            <w:r>
              <w:t>5,884</w:t>
            </w:r>
          </w:p>
        </w:tc>
        <w:tc>
          <w:tcPr>
            <w:tcW w:type="dxa" w:w="2160"/>
          </w:tcPr>
          <w:p>
            <w:r>
              <w:t>186.7</w:t>
            </w:r>
          </w:p>
        </w:tc>
      </w:tr>
    </w:tbl>
    <w:p>
      <w:r>
        <w:t>The department will review platypus monitoring protocols by 30 June 2026. Survey effort for the platypus increased by 3 per cent on the previous year. The platypus (Ornithorhynchus anatinus) shelters in creek banks across freshwater streams of the east.</w:t>
      </w:r>
    </w:p>
    <w:p>
      <w:r>
        <w:t>The platypus (Ornithorhynchus anatinus) shelters in creek banks across freshwater streams of the east. Community groups reported that platypus numbers were stable in NT. Field officers recorded 314 platypus observations during the reporting period.</w:t>
      </w:r>
    </w:p>
    <w:p>
      <w:pPr>
        <w:pStyle w:val="Heading1"/>
      </w:pPr>
      <w:r>
        <w:t>Section 5: Echidna programs</w:t>
      </w:r>
    </w:p>
    <w:p>
      <w:pPr>
        <w:pStyle w:val="Heading2"/>
      </w:pPr>
      <w:r>
        <w:t>5.1 Strategic direction</w:t>
      </w:r>
    </w:p>
    <w:p>
      <w:r>
        <w:t>Community groups reported that echidna numbers were stable in ACT. The echidna (Tachyglossus aculeatus) shelters in log hollows across almost every Australian habitat. Fencing, predator control and revegetation remain the main echidna recovery actions. Community groups reported that echidna numbers were stable in ACT.</w:t>
      </w:r>
    </w:p>
    <w:p>
      <w:r>
        <w:t>Funding of $65.7 million supports echidna habitat restoration. The echidna (Tachyglossus aculeatus) shelters in log hollows across almost every Australian habitat. Field officers recorded 163 echidna observations during the reporting period. Field officers recorded 163 echidna observations during the reporting period.</w:t>
      </w:r>
    </w:p>
    <w:p>
      <w:r>
        <w:t>Field officers recorded 451 echidna observations during the reporting period. Funding of $42.9 million supports echidna habitat restoration. Fencing, predator control and revegetation remain the main echidna recovery actions. The echidna (Tachyglossus aculeatus) shelters in log hollows across almost every Australian habitat.</w:t>
      </w:r>
    </w:p>
    <w:p>
      <w:pPr>
        <w:pStyle w:val="Heading2"/>
      </w:pPr>
      <w:r>
        <w:t>5.2 Budgeted expenses</w:t>
      </w:r>
    </w:p>
    <w:p>
      <w:r>
        <w:t>Community groups reported that echidna numbers were stable in TAS. Survey effort for the echidna increased by 37 per cent on the previous year.</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5.1 Echidna monitoring</w:t>
            </w:r>
          </w:p>
        </w:tc>
        <w:tc>
          <w:tcPr>
            <w:tcW w:type="dxa" w:w="2160"/>
          </w:tcPr>
          <w:p>
            <w:r>
              <w:t>4,644</w:t>
            </w:r>
          </w:p>
        </w:tc>
        <w:tc>
          <w:tcPr>
            <w:tcW w:type="dxa" w:w="2160"/>
          </w:tcPr>
          <w:p>
            <w:r>
              <w:t>1,870</w:t>
            </w:r>
          </w:p>
        </w:tc>
        <w:tc>
          <w:tcPr>
            <w:tcW w:type="dxa" w:w="2160"/>
          </w:tcPr>
          <w:p>
            <w:r>
              <w:t>-59.7</w:t>
            </w:r>
          </w:p>
        </w:tc>
      </w:tr>
      <w:tr>
        <w:tc>
          <w:tcPr>
            <w:tcW w:type="dxa" w:w="2160"/>
          </w:tcPr>
          <w:p>
            <w:r>
              <w:t>5.2 Echidna habitat</w:t>
            </w:r>
          </w:p>
        </w:tc>
        <w:tc>
          <w:tcPr>
            <w:tcW w:type="dxa" w:w="2160"/>
          </w:tcPr>
          <w:p>
            <w:r>
              <w:t>1,461</w:t>
            </w:r>
          </w:p>
        </w:tc>
        <w:tc>
          <w:tcPr>
            <w:tcW w:type="dxa" w:w="2160"/>
          </w:tcPr>
          <w:p>
            <w:r>
              <w:t>2,187</w:t>
            </w:r>
          </w:p>
        </w:tc>
        <w:tc>
          <w:tcPr>
            <w:tcW w:type="dxa" w:w="2160"/>
          </w:tcPr>
          <w:p>
            <w:r>
              <w:t>49.7</w:t>
            </w:r>
          </w:p>
        </w:tc>
      </w:tr>
      <w:tr>
        <w:tc>
          <w:tcPr>
            <w:tcW w:type="dxa" w:w="2160"/>
          </w:tcPr>
          <w:p>
            <w:r>
              <w:t>5.3 Echidna research</w:t>
            </w:r>
          </w:p>
        </w:tc>
        <w:tc>
          <w:tcPr>
            <w:tcW w:type="dxa" w:w="2160"/>
          </w:tcPr>
          <w:p>
            <w:r>
              <w:t>2,979</w:t>
            </w:r>
          </w:p>
        </w:tc>
        <w:tc>
          <w:tcPr>
            <w:tcW w:type="dxa" w:w="2160"/>
          </w:tcPr>
          <w:p>
            <w:r>
              <w:t>3,580</w:t>
            </w:r>
          </w:p>
        </w:tc>
        <w:tc>
          <w:tcPr>
            <w:tcW w:type="dxa" w:w="2160"/>
          </w:tcPr>
          <w:p>
            <w:r>
              <w:t>20.2</w:t>
            </w:r>
          </w:p>
        </w:tc>
      </w:tr>
      <w:tr>
        <w:tc>
          <w:tcPr>
            <w:tcW w:type="dxa" w:w="2160"/>
          </w:tcPr>
          <w:p>
            <w:r>
              <w:t>5.4 Echidna outreach</w:t>
            </w:r>
          </w:p>
        </w:tc>
        <w:tc>
          <w:tcPr>
            <w:tcW w:type="dxa" w:w="2160"/>
          </w:tcPr>
          <w:p>
            <w:r>
              <w:t>3,528</w:t>
            </w:r>
          </w:p>
        </w:tc>
        <w:tc>
          <w:tcPr>
            <w:tcW w:type="dxa" w:w="2160"/>
          </w:tcPr>
          <w:p>
            <w:r>
              <w:t>4,289</w:t>
            </w:r>
          </w:p>
        </w:tc>
        <w:tc>
          <w:tcPr>
            <w:tcW w:type="dxa" w:w="2160"/>
          </w:tcPr>
          <w:p>
            <w:r>
              <w:t>21.6</w:t>
            </w:r>
          </w:p>
        </w:tc>
      </w:tr>
      <w:tr>
        <w:tc>
          <w:tcPr>
            <w:tcW w:type="dxa" w:w="2160"/>
          </w:tcPr>
          <w:p>
            <w:r>
              <w:t>5.5 Echidna rescue</w:t>
            </w:r>
          </w:p>
        </w:tc>
        <w:tc>
          <w:tcPr>
            <w:tcW w:type="dxa" w:w="2160"/>
          </w:tcPr>
          <w:p>
            <w:r>
              <w:t>5,191</w:t>
            </w:r>
          </w:p>
        </w:tc>
        <w:tc>
          <w:tcPr>
            <w:tcW w:type="dxa" w:w="2160"/>
          </w:tcPr>
          <w:p>
            <w:r>
              <w:t>6,243</w:t>
            </w:r>
          </w:p>
        </w:tc>
        <w:tc>
          <w:tcPr>
            <w:tcW w:type="dxa" w:w="2160"/>
          </w:tcPr>
          <w:p>
            <w:r>
              <w:t>20.3</w:t>
            </w:r>
          </w:p>
        </w:tc>
      </w:tr>
    </w:tbl>
    <w:p>
      <w:r>
        <w:t>The echidna (Tachyglossus aculeatus) shelters in log hollows across almost every Australian habitat. Funding of $65.4 million supports echidna habitat restoration. Field officers recorded 319 echidna observations during the reporting period.</w:t>
      </w:r>
    </w:p>
    <w:p>
      <w:r>
        <w:t>Survey effort for the echidna increased by 38 per cent on the previous year. The echidna (Tachyglossus aculeatus) shelters in log hollows across almost every Australian habitat. Funding of $78.7 million supports echidna habitat restoration.</w:t>
      </w:r>
    </w:p>
    <w:p>
      <w:pPr>
        <w:pStyle w:val="Heading1"/>
      </w:pPr>
      <w:r>
        <w:t>Section 6: Bilby programs</w:t>
      </w:r>
    </w:p>
    <w:p>
      <w:pPr>
        <w:pStyle w:val="Heading2"/>
      </w:pPr>
      <w:r>
        <w:t>6.1 Strategic direction</w:t>
      </w:r>
    </w:p>
    <w:p>
      <w:r>
        <w:t>Funding of $53.1 million supports bilby habitat restoration. The bilby (Macrotis lagotis) shelters in spiral burrows across arid and semi-arid grassland. The department will review bilby monitoring protocols by 30 June 2026. The department will review bilby monitoring protocols by 30 June 2026.</w:t>
      </w:r>
    </w:p>
    <w:p>
      <w:r>
        <w:t>Funding of $49.1 million supports bilby habitat restoration. Funding of $49.1 million supports bilby habitat restoration. Funding of $49.1 million supports bilby habitat restoration. The department will review bilby monitoring protocols by 30 June 2028.</w:t>
      </w:r>
    </w:p>
    <w:p>
      <w:r>
        <w:t>Survey effort for the bilby increased by 5 per cent on the previous year. Funding of $15.7 million supports bilby habitat restoration. The bilby (Macrotis lagotis) shelters in spiral burrows across arid and semi-arid grassland. The department will review bilby monitoring protocols by 30 June 2026.</w:t>
      </w:r>
    </w:p>
    <w:p>
      <w:pPr>
        <w:pStyle w:val="Heading2"/>
      </w:pPr>
      <w:r>
        <w:t>6.2 Budgeted expenses</w:t>
      </w:r>
    </w:p>
    <w:p>
      <w:r>
        <w:t>Field officers recorded 355 bilby observations during the reporting period. Field officers recorded 355 bilby observations during the reporting period.</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6.1 Bilby monitoring</w:t>
            </w:r>
          </w:p>
        </w:tc>
        <w:tc>
          <w:tcPr>
            <w:tcW w:type="dxa" w:w="2160"/>
          </w:tcPr>
          <w:p>
            <w:r>
              <w:t>7,697</w:t>
            </w:r>
          </w:p>
        </w:tc>
        <w:tc>
          <w:tcPr>
            <w:tcW w:type="dxa" w:w="2160"/>
          </w:tcPr>
          <w:p>
            <w:r>
              <w:t>3,454</w:t>
            </w:r>
          </w:p>
        </w:tc>
        <w:tc>
          <w:tcPr>
            <w:tcW w:type="dxa" w:w="2160"/>
          </w:tcPr>
          <w:p>
            <w:r>
              <w:t>-55.1</w:t>
            </w:r>
          </w:p>
        </w:tc>
      </w:tr>
      <w:tr>
        <w:tc>
          <w:tcPr>
            <w:tcW w:type="dxa" w:w="2160"/>
          </w:tcPr>
          <w:p>
            <w:r>
              <w:t>6.2 Bilby habitat</w:t>
            </w:r>
          </w:p>
        </w:tc>
        <w:tc>
          <w:tcPr>
            <w:tcW w:type="dxa" w:w="2160"/>
          </w:tcPr>
          <w:p>
            <w:r>
              <w:t>2,693</w:t>
            </w:r>
          </w:p>
        </w:tc>
        <w:tc>
          <w:tcPr>
            <w:tcW w:type="dxa" w:w="2160"/>
          </w:tcPr>
          <w:p>
            <w:r>
              <w:t>8,187</w:t>
            </w:r>
          </w:p>
        </w:tc>
        <w:tc>
          <w:tcPr>
            <w:tcW w:type="dxa" w:w="2160"/>
          </w:tcPr>
          <w:p>
            <w:r>
              <w:t>204.0</w:t>
            </w:r>
          </w:p>
        </w:tc>
      </w:tr>
      <w:tr>
        <w:tc>
          <w:tcPr>
            <w:tcW w:type="dxa" w:w="2160"/>
          </w:tcPr>
          <w:p>
            <w:r>
              <w:t>6.3 Bilby research</w:t>
            </w:r>
          </w:p>
        </w:tc>
        <w:tc>
          <w:tcPr>
            <w:tcW w:type="dxa" w:w="2160"/>
          </w:tcPr>
          <w:p>
            <w:r>
              <w:t>3,542</w:t>
            </w:r>
          </w:p>
        </w:tc>
        <w:tc>
          <w:tcPr>
            <w:tcW w:type="dxa" w:w="2160"/>
          </w:tcPr>
          <w:p>
            <w:r>
              <w:t>4,755</w:t>
            </w:r>
          </w:p>
        </w:tc>
        <w:tc>
          <w:tcPr>
            <w:tcW w:type="dxa" w:w="2160"/>
          </w:tcPr>
          <w:p>
            <w:r>
              <w:t>34.2</w:t>
            </w:r>
          </w:p>
        </w:tc>
      </w:tr>
    </w:tbl>
    <w:p>
      <w:r>
        <w:t>The department will review bilby monitoring protocols by 30 June 2028. Funding of $14.6 million supports bilby habitat restoration. Fencing, predator control and revegetation remain the main bilby recovery actions.</w:t>
      </w:r>
    </w:p>
    <w:p>
      <w:r>
        <w:t>The bilby (Macrotis lagotis) shelters in spiral burrows across arid and semi-arid grassland. The bilby (Macrotis lagotis) shelters in spiral burrows across arid and semi-arid grassland. The bilby (Macrotis lagotis) shelters in spiral burrows across arid and semi-arid grassland.</w:t>
      </w:r>
    </w:p>
    <w:p>
      <w:pPr>
        <w:pStyle w:val="Heading1"/>
      </w:pPr>
      <w:r>
        <w:t>Section 7: Numbat programs</w:t>
      </w:r>
    </w:p>
    <w:p>
      <w:pPr>
        <w:pStyle w:val="Heading2"/>
      </w:pPr>
      <w:r>
        <w:t>7.1 Strategic direction</w:t>
      </w:r>
    </w:p>
    <w:p>
      <w:r>
        <w:t>Funding of $38.9 million supports numbat habitat restoration. Community groups reported that numbat numbers were stable in TAS. The numbat (Myrmecobius fasciatus) shelters in fallen logs across wandoo woodland. The numbat (Myrmecobius fasciatus) shelters in fallen logs across wandoo woodland.</w:t>
      </w:r>
    </w:p>
    <w:p>
      <w:r>
        <w:t>Field officers recorded 479 numbat observations during the reporting period. Survey effort for the numbat increased by 19 per cent on the previous year. The department will review numbat monitoring protocols by 30 June 2026. Survey effort for the numbat increased by 19 per cent on the previous year.</w:t>
      </w:r>
    </w:p>
    <w:p>
      <w:r>
        <w:t>The department will review numbat monitoring protocols by 30 June 2027. Field officers recorded 468 numbat observations during the reporting period. Funding of $70.7 million supports numbat habitat restoration. Field officers recorded 468 numbat observations during the reporting period.</w:t>
      </w:r>
    </w:p>
    <w:p>
      <w:pPr>
        <w:pStyle w:val="Heading2"/>
      </w:pPr>
      <w:r>
        <w:t>7.2 Budgeted expenses</w:t>
      </w:r>
    </w:p>
    <w:p>
      <w:r>
        <w:t>The numbat (Myrmecobius fasciatus) shelters in fallen logs across wandoo woodland. Fencing, predator control and revegetation remain the main numbat recovery actions.</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7.1 Numbat monitoring</w:t>
            </w:r>
          </w:p>
        </w:tc>
        <w:tc>
          <w:tcPr>
            <w:tcW w:type="dxa" w:w="2160"/>
          </w:tcPr>
          <w:p>
            <w:r>
              <w:t>6,352</w:t>
            </w:r>
          </w:p>
        </w:tc>
        <w:tc>
          <w:tcPr>
            <w:tcW w:type="dxa" w:w="2160"/>
          </w:tcPr>
          <w:p>
            <w:r>
              <w:t>4,526</w:t>
            </w:r>
          </w:p>
        </w:tc>
        <w:tc>
          <w:tcPr>
            <w:tcW w:type="dxa" w:w="2160"/>
          </w:tcPr>
          <w:p>
            <w:r>
              <w:t>-28.7</w:t>
            </w:r>
          </w:p>
        </w:tc>
      </w:tr>
      <w:tr>
        <w:tc>
          <w:tcPr>
            <w:tcW w:type="dxa" w:w="2160"/>
          </w:tcPr>
          <w:p>
            <w:r>
              <w:t>7.2 Numbat habitat</w:t>
            </w:r>
          </w:p>
        </w:tc>
        <w:tc>
          <w:tcPr>
            <w:tcW w:type="dxa" w:w="2160"/>
          </w:tcPr>
          <w:p>
            <w:r>
              <w:t>7,197</w:t>
            </w:r>
          </w:p>
        </w:tc>
        <w:tc>
          <w:tcPr>
            <w:tcW w:type="dxa" w:w="2160"/>
          </w:tcPr>
          <w:p>
            <w:r>
              <w:t>5,826</w:t>
            </w:r>
          </w:p>
        </w:tc>
        <w:tc>
          <w:tcPr>
            <w:tcW w:type="dxa" w:w="2160"/>
          </w:tcPr>
          <w:p>
            <w:r>
              <w:t>-19.0</w:t>
            </w:r>
          </w:p>
        </w:tc>
      </w:tr>
      <w:tr>
        <w:tc>
          <w:tcPr>
            <w:tcW w:type="dxa" w:w="2160"/>
          </w:tcPr>
          <w:p>
            <w:r>
              <w:t>7.3 Numbat research</w:t>
            </w:r>
          </w:p>
        </w:tc>
        <w:tc>
          <w:tcPr>
            <w:tcW w:type="dxa" w:w="2160"/>
          </w:tcPr>
          <w:p>
            <w:r>
              <w:t>1,472</w:t>
            </w:r>
          </w:p>
        </w:tc>
        <w:tc>
          <w:tcPr>
            <w:tcW w:type="dxa" w:w="2160"/>
          </w:tcPr>
          <w:p>
            <w:r>
              <w:t>6,161</w:t>
            </w:r>
          </w:p>
        </w:tc>
        <w:tc>
          <w:tcPr>
            <w:tcW w:type="dxa" w:w="2160"/>
          </w:tcPr>
          <w:p>
            <w:r>
              <w:t>318.5</w:t>
            </w:r>
          </w:p>
        </w:tc>
      </w:tr>
      <w:tr>
        <w:tc>
          <w:tcPr>
            <w:tcW w:type="dxa" w:w="2160"/>
          </w:tcPr>
          <w:p>
            <w:r>
              <w:t>7.4 Numbat outreach</w:t>
            </w:r>
          </w:p>
        </w:tc>
        <w:tc>
          <w:tcPr>
            <w:tcW w:type="dxa" w:w="2160"/>
          </w:tcPr>
          <w:p>
            <w:r>
              <w:t>3,860</w:t>
            </w:r>
          </w:p>
        </w:tc>
        <w:tc>
          <w:tcPr>
            <w:tcW w:type="dxa" w:w="2160"/>
          </w:tcPr>
          <w:p>
            <w:r>
              <w:t>5,989</w:t>
            </w:r>
          </w:p>
        </w:tc>
        <w:tc>
          <w:tcPr>
            <w:tcW w:type="dxa" w:w="2160"/>
          </w:tcPr>
          <w:p>
            <w:r>
              <w:t>55.2</w:t>
            </w:r>
          </w:p>
        </w:tc>
      </w:tr>
    </w:tbl>
    <w:p>
      <w:r>
        <w:t>The department will review numbat monitoring protocols by 30 June 2027. The department will review numbat monitoring protocols by 30 June 2027. The department will review numbat monitoring protocols by 30 June 2027.</w:t>
      </w:r>
    </w:p>
    <w:p>
      <w:r>
        <w:t>Survey effort for the numbat increased by 4 per cent on the previous year. Field officers recorded 425 numbat observations during the reporting period. Community groups reported that numbat numbers were stable in WA.</w:t>
      </w:r>
    </w:p>
    <w:p>
      <w:pPr>
        <w:pStyle w:val="Heading1"/>
      </w:pPr>
      <w:r>
        <w:t>Section 8: Cassowary programs</w:t>
      </w:r>
    </w:p>
    <w:p>
      <w:pPr>
        <w:pStyle w:val="Heading2"/>
      </w:pPr>
      <w:r>
        <w:t>8.1 Strategic direction</w:t>
      </w:r>
    </w:p>
    <w:p>
      <w:r>
        <w:t>The cassowary (Casuarius casuarius) shelters in rainforest floor across the Wet Tropics. Fencing, predator control and revegetation remain the main cassowary recovery actions. The cassowary (Casuarius casuarius) shelters in rainforest floor across the Wet Tropics. Funding of $35.8 million supports cassowary habitat restoration.</w:t>
      </w:r>
    </w:p>
    <w:p>
      <w:r>
        <w:t>The department will review cassowary monitoring protocols by 30 June 2026. Survey effort for the cassowary increased by 9 per cent on the previous year. Survey effort for the cassowary increased by 9 per cent on the previous year. Funding of $46.7 million supports cassowary habitat restoration.</w:t>
      </w:r>
    </w:p>
    <w:p>
      <w:r>
        <w:t>Survey effort for the cassowary increased by 12 per cent on the previous year. Survey effort for the cassowary increased by 12 per cent on the previous year. Funding of $66.2 million supports cassowary habitat restoration. Funding of $66.2 million supports cassowary habitat restoration.</w:t>
      </w:r>
    </w:p>
    <w:p>
      <w:pPr>
        <w:pStyle w:val="Heading2"/>
      </w:pPr>
      <w:r>
        <w:t>8.2 Budgeted expenses</w:t>
      </w:r>
    </w:p>
    <w:p>
      <w:r>
        <w:t>Field officers recorded 66 cassowary observations during the reporting period. The department will review cassowary monitoring protocols by 30 June 2026.</w:t>
      </w:r>
    </w:p>
    <w:tbl>
      <w:tblPr>
        <w:tblW w:type="auto" w:w="0"/>
        <w:tblLook w:firstColumn="1" w:firstRow="1" w:lastColumn="0" w:lastRow="0" w:noHBand="0" w:noVBand="1" w:val="04A0"/>
      </w:tblPr>
      <w:tblGrid>
        <w:gridCol w:w="2160"/>
        <w:gridCol w:w="2160"/>
        <w:gridCol w:w="2160"/>
        <w:gridCol w:w="2160"/>
      </w:tblGrid>
      <w:tr>
        <w:tc>
          <w:tcPr>
            <w:tcW w:type="dxa" w:w="2160"/>
          </w:tcPr>
          <w:p>
            <w:r>
              <w:t>Program</w:t>
            </w:r>
          </w:p>
        </w:tc>
        <w:tc>
          <w:tcPr>
            <w:tcW w:type="dxa" w:w="2160"/>
          </w:tcPr>
          <w:p>
            <w:r>
              <w:t>2024-25 $'000</w:t>
            </w:r>
          </w:p>
        </w:tc>
        <w:tc>
          <w:tcPr>
            <w:tcW w:type="dxa" w:w="2160"/>
          </w:tcPr>
          <w:p>
            <w:r>
              <w:t>2025-26 $'000</w:t>
            </w:r>
          </w:p>
        </w:tc>
        <w:tc>
          <w:tcPr>
            <w:tcW w:type="dxa" w:w="2160"/>
          </w:tcPr>
          <w:p>
            <w:r>
              <w:t>Change %</w:t>
            </w:r>
          </w:p>
        </w:tc>
      </w:tr>
      <w:tr>
        <w:tc>
          <w:tcPr>
            <w:tcW w:type="dxa" w:w="2160"/>
          </w:tcPr>
          <w:p>
            <w:r>
              <w:t>8.1 Cassowary monitoring</w:t>
            </w:r>
          </w:p>
        </w:tc>
        <w:tc>
          <w:tcPr>
            <w:tcW w:type="dxa" w:w="2160"/>
          </w:tcPr>
          <w:p>
            <w:r>
              <w:t>1,320</w:t>
            </w:r>
          </w:p>
        </w:tc>
        <w:tc>
          <w:tcPr>
            <w:tcW w:type="dxa" w:w="2160"/>
          </w:tcPr>
          <w:p>
            <w:r>
              <w:t>5,978</w:t>
            </w:r>
          </w:p>
        </w:tc>
        <w:tc>
          <w:tcPr>
            <w:tcW w:type="dxa" w:w="2160"/>
          </w:tcPr>
          <w:p>
            <w:r>
              <w:t>352.9</w:t>
            </w:r>
          </w:p>
        </w:tc>
      </w:tr>
      <w:tr>
        <w:tc>
          <w:tcPr>
            <w:tcW w:type="dxa" w:w="2160"/>
          </w:tcPr>
          <w:p>
            <w:r>
              <w:t>8.2 Cassowary habitat</w:t>
            </w:r>
          </w:p>
        </w:tc>
        <w:tc>
          <w:tcPr>
            <w:tcW w:type="dxa" w:w="2160"/>
          </w:tcPr>
          <w:p>
            <w:r>
              <w:t>4,165</w:t>
            </w:r>
          </w:p>
        </w:tc>
        <w:tc>
          <w:tcPr>
            <w:tcW w:type="dxa" w:w="2160"/>
          </w:tcPr>
          <w:p>
            <w:r>
              <w:t>3,718</w:t>
            </w:r>
          </w:p>
        </w:tc>
        <w:tc>
          <w:tcPr>
            <w:tcW w:type="dxa" w:w="2160"/>
          </w:tcPr>
          <w:p>
            <w:r>
              <w:t>-10.7</w:t>
            </w:r>
          </w:p>
        </w:tc>
      </w:tr>
      <w:tr>
        <w:tc>
          <w:tcPr>
            <w:tcW w:type="dxa" w:w="2160"/>
          </w:tcPr>
          <w:p>
            <w:r>
              <w:t>8.3 Cassowary research</w:t>
            </w:r>
          </w:p>
        </w:tc>
        <w:tc>
          <w:tcPr>
            <w:tcW w:type="dxa" w:w="2160"/>
          </w:tcPr>
          <w:p>
            <w:r>
              <w:t>5,697</w:t>
            </w:r>
          </w:p>
        </w:tc>
        <w:tc>
          <w:tcPr>
            <w:tcW w:type="dxa" w:w="2160"/>
          </w:tcPr>
          <w:p>
            <w:r>
              <w:t>7,888</w:t>
            </w:r>
          </w:p>
        </w:tc>
        <w:tc>
          <w:tcPr>
            <w:tcW w:type="dxa" w:w="2160"/>
          </w:tcPr>
          <w:p>
            <w:r>
              <w:t>38.5</w:t>
            </w:r>
          </w:p>
        </w:tc>
      </w:tr>
      <w:tr>
        <w:tc>
          <w:tcPr>
            <w:tcW w:type="dxa" w:w="2160"/>
          </w:tcPr>
          <w:p>
            <w:r>
              <w:t>8.4 Cassowary outreach</w:t>
            </w:r>
          </w:p>
        </w:tc>
        <w:tc>
          <w:tcPr>
            <w:tcW w:type="dxa" w:w="2160"/>
          </w:tcPr>
          <w:p>
            <w:r>
              <w:t>3,386</w:t>
            </w:r>
          </w:p>
        </w:tc>
        <w:tc>
          <w:tcPr>
            <w:tcW w:type="dxa" w:w="2160"/>
          </w:tcPr>
          <w:p>
            <w:r>
              <w:t>1,595</w:t>
            </w:r>
          </w:p>
        </w:tc>
        <w:tc>
          <w:tcPr>
            <w:tcW w:type="dxa" w:w="2160"/>
          </w:tcPr>
          <w:p>
            <w:r>
              <w:t>-52.9</w:t>
            </w:r>
          </w:p>
        </w:tc>
      </w:tr>
      <w:tr>
        <w:tc>
          <w:tcPr>
            <w:tcW w:type="dxa" w:w="2160"/>
          </w:tcPr>
          <w:p>
            <w:r>
              <w:t>8.5 Cassowary rescue</w:t>
            </w:r>
          </w:p>
        </w:tc>
        <w:tc>
          <w:tcPr>
            <w:tcW w:type="dxa" w:w="2160"/>
          </w:tcPr>
          <w:p>
            <w:r>
              <w:t>4,851</w:t>
            </w:r>
          </w:p>
        </w:tc>
        <w:tc>
          <w:tcPr>
            <w:tcW w:type="dxa" w:w="2160"/>
          </w:tcPr>
          <w:p>
            <w:r>
              <w:t>4,938</w:t>
            </w:r>
          </w:p>
        </w:tc>
        <w:tc>
          <w:tcPr>
            <w:tcW w:type="dxa" w:w="2160"/>
          </w:tcPr>
          <w:p>
            <w:r>
              <w:t>1.8</w:t>
            </w:r>
          </w:p>
        </w:tc>
      </w:tr>
    </w:tbl>
    <w:p>
      <w:r>
        <w:t>The department will review cassowary monitoring protocols by 30 June 2028. Community groups reported that cassowary numbers were stable in ACT. Survey effort for the cassowary increased by 19 per cent on the previous year.</w:t>
      </w:r>
    </w:p>
    <w:p>
      <w:r>
        <w:t>Funding of $59.0 million supports cassowary habitat restoration. Community groups reported that cassowary numbers were stable in ACT. The cassowary (Casuarius casuarius) shelters in rainforest floor across the Wet Tropics.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Budget Statements 2025-26</dc:title>
  <dc:subject/>
  <dc:creator>Department of Native Wildlife</dc:creator>
  <cp:keywords/>
  <dc:description>generated by python-docx</dc:description>
  <cp:lastModifiedBy/>
  <cp:revision>1</cp:revision>
  <dcterms:created xsi:type="dcterms:W3CDTF">2025-07-01T00:00:00Z</dcterms:created>
  <dcterms:modified xsi:type="dcterms:W3CDTF">2025-07-01T00:00:00Z</dcterms:modified>
  <cp:category/>
</cp:coreProperties>
</file>