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Viva Preparation -- Question and Answer Booklet (v6)</w:t>
      </w:r>
    </w:p>
    <w:p>
      <w:pPr>
        <w:jc w:val="center"/>
      </w:pPr>
      <w:r>
        <w:rPr>
          <w:i/>
          <w:sz w:val="22"/>
        </w:rPr>
        <w:t>Updated for the v7 paper: ablation, baselines, math, figures</w:t>
      </w:r>
    </w:p>
    <w:p>
      <w:r>
        <w:rPr>
          <w:b/>
          <w:sz w:val="22"/>
        </w:rPr>
        <w:t>Q1. How many prediction tasks does the framework cover?</w:t>
      </w:r>
    </w:p>
    <w:p>
      <w:r>
        <w:rPr>
          <w:sz w:val="22"/>
        </w:rPr>
        <w:t>Fifteen. Seven regression targets on real campaign data: CTR, CPC, CVR, ROI, CPM, CPA, engagement score. Three classifiers: high-CTR, high-engagement, high-CVR. Five creative-metadata regression targets: D1, D7, D30 retention, install-quality score, and a cross-platform travel-lift score.</w:t>
      </w:r>
    </w:p>
    <w:p>
      <w:r>
        <w:rPr>
          <w:b/>
          <w:sz w:val="22"/>
        </w:rPr>
        <w:t>Q2. What ensemble do you use and why?</w:t>
      </w:r>
    </w:p>
    <w:p>
      <w:r>
        <w:rPr>
          <w:sz w:val="22"/>
        </w:rPr>
        <w:t>A stacking ensemble with four base learners (HistGradientBoosting, LightGBM, XGBoost, RandomForest) combined by a Ridge meta-learner with five-fold internal CV. We chose tree-based learners because they are state-of-the-art on tabular data of this size and they expose feature importances, which marketers need.</w:t>
      </w:r>
    </w:p>
    <w:p>
      <w:r>
        <w:rPr>
          <w:b/>
          <w:sz w:val="22"/>
        </w:rPr>
        <w:t>Q3. Did the stacking actually help over a single model?</w:t>
      </w:r>
    </w:p>
    <w:p>
      <w:r>
        <w:rPr>
          <w:sz w:val="22"/>
        </w:rPr>
        <w:t>Honestly: only marginally. Our ablation in Section 5.1 shows the four base learners score within 0.01 R-squared of each other on CTR, and the stack improves over the best single learner by only 0.0006. We kept the stack to demonstrate the methodology and because it does add 1-2 points on the noisier creative-metadata targets, but a practitioner could replace it with a single HGB and lose almost nothing.</w:t>
      </w:r>
    </w:p>
    <w:p>
      <w:r>
        <w:rPr>
          <w:b/>
          <w:sz w:val="22"/>
        </w:rPr>
        <w:t>Q4. What did the data ablation reveal?</w:t>
      </w:r>
    </w:p>
    <w:p>
      <w:r>
        <w:rPr>
          <w:sz w:val="22"/>
        </w:rPr>
        <w:t>We found that LLM-augmented rows hurt D1-retention generalisation by 5.8 R-squared points -- removing them improved R-squared from 0.720 to 0.778. This is a counter-intuitive finding that we report rather than hide, because the alternative would mislead readers who reuse the LLM data.</w:t>
      </w:r>
    </w:p>
    <w:p>
      <w:r>
        <w:rPr>
          <w:b/>
          <w:sz w:val="22"/>
        </w:rPr>
        <w:t>Q5. What baselines did you compare against?</w:t>
      </w:r>
    </w:p>
    <w:p>
      <w:r>
        <w:rPr>
          <w:sz w:val="22"/>
        </w:rPr>
        <w:t>Five: predict-the-mean (sanity check, R-squared ~0), linear regression (0.21 on CTR), Ridge (0.21), single XGBoost (0.73), and single HGB (0.73). The full stack reaches 0.73. Tree-based learners do most of the heavy lifting on this data.</w:t>
      </w:r>
    </w:p>
    <w:p>
      <w:r>
        <w:rPr>
          <w:b/>
          <w:sz w:val="22"/>
        </w:rPr>
        <w:t>Q6. Why bootstrap CIs and 5-fold CV?</w:t>
      </w:r>
    </w:p>
    <w:p>
      <w:r>
        <w:rPr>
          <w:sz w:val="22"/>
        </w:rPr>
        <w:t>A single split is luck-dependent. Five-fold CV reduces split dependence; the standard deviation across folds is a stability indicator. Bootstrap on the test predictions gives a 95% interval on the headline R-squared. Both are standard in applied ML.</w:t>
      </w:r>
    </w:p>
    <w:p>
      <w:r>
        <w:rPr>
          <w:b/>
          <w:sz w:val="22"/>
        </w:rPr>
        <w:t>Q7. Why is the ROI number so low?</w:t>
      </w:r>
    </w:p>
    <w:p>
      <w:r>
        <w:rPr>
          <w:sz w:val="22"/>
        </w:rPr>
        <w:t>R-squared 0.33. The ROI column in the largest source dataset has |r| &lt; 0.02 with every numeric feature -- it is essentially noise. No algorithmic improvement can fix that. We report it honestly and call out the data limit in §6.</w:t>
      </w:r>
    </w:p>
    <w:p>
      <w:r>
        <w:rPr>
          <w:b/>
          <w:sz w:val="22"/>
        </w:rPr>
        <w:t>Q8. How did you ensure no target leakage?</w:t>
      </w:r>
    </w:p>
    <w:p>
      <w:r>
        <w:rPr>
          <w:sz w:val="22"/>
        </w:rPr>
        <w:t>We removed any feature that algebraically equals a target. CPC = spend/clicks, so we do not include log-spend whenever log-clicks is also a feature. We caught a CPM = 1.0 trivial baseline early because platform encoding alone determined CPM; we removed it from the CPM feature set. Audit notes are inline in the training script.</w:t>
      </w:r>
    </w:p>
    <w:p>
      <w:r>
        <w:rPr>
          <w:b/>
          <w:sz w:val="22"/>
        </w:rPr>
        <w:t>Q9. Walk me through the math.</w:t>
      </w:r>
    </w:p>
    <w:p>
      <w:r>
        <w:rPr>
          <w:sz w:val="22"/>
        </w:rPr>
        <w:t>The stacked predictor is y_hat = sum_b alpha_b * b(x) + alpha_0, where alpha is solved by Ridge regression on the out-of-fold base predictions: min ||y - Z*alpha||^2 + 0.5*||alpha||^2. R-squared is 1 minus the ratio of squared residuals to the variance of y. CIs come from 200 bootstrap resamples of (y, y_hat) on the test set. For classifiers we report the Brier score, which is the mean squared error between predicted probability and the binary label.</w:t>
      </w:r>
    </w:p>
    <w:p>
      <w:r>
        <w:rPr>
          <w:b/>
          <w:sz w:val="22"/>
        </w:rPr>
        <w:t>Q10. What are the figures showing?</w:t>
      </w:r>
    </w:p>
    <w:p>
      <w:r>
        <w:rPr>
          <w:sz w:val="22"/>
        </w:rPr>
        <w:t>Figure 1: per-task R-squared with bootstrap 95% CIs (one bar per regression task). Figure 2: permutation feature importance for CTR and D1. Figure 3: predicted-vs-actual CTR scatter on the held-out set. Figure 4: reliability diagram for the high-CTR classifier. Figure 5: ablation impact of each base learner. Figure 6: baselines vs full stack.</w:t>
      </w:r>
    </w:p>
    <w:p>
      <w:r>
        <w:rPr>
          <w:b/>
          <w:sz w:val="22"/>
        </w:rPr>
        <w:t>Q11. What's the contribution of this paper?</w:t>
      </w:r>
    </w:p>
    <w:p>
      <w:r>
        <w:rPr>
          <w:sz w:val="22"/>
        </w:rPr>
        <w:t>Four things. (a) A merged hybrid dataset that combines six public Kaggle sources with 120 manually-collected Indian competitor ads from the Meta Ad Library and the Google Ads Transparency Center. (b) A 15-task ensemble that jointly models acquisition and user-quality metrics, which most ad-prediction studies treat separately. (c) Explicit uncertainty reporting (CIs, CV, Brier, AUC) that most ad papers omit. (d) An honest ablation analysis that includes findings unfavourable to our own design choices.</w:t>
      </w:r>
    </w:p>
    <w:p>
      <w:r>
        <w:rPr>
          <w:b/>
          <w:sz w:val="22"/>
        </w:rPr>
        <w:t>Q12. What would you do differently next time?</w:t>
      </w:r>
    </w:p>
    <w:p>
      <w:r>
        <w:rPr>
          <w:sz w:val="22"/>
        </w:rPr>
        <w:t>Three changes. (1) Start with a single HGB instead of a stack -- our ablation shows it is sufficient. (2) Re-generate the LLM-augmented rows with a noisier, more realistic synthesiser, or drop them entirely on D1. (3) Expand manual tagging to ~500 ads per priority brand and stratify across platforms.</w:t>
      </w:r>
    </w:p>
    <w:p>
      <w:r>
        <w:rPr>
          <w:b/>
          <w:sz w:val="22"/>
        </w:rPr>
        <w:t>Q13. Most surprising finding?</w:t>
      </w:r>
    </w:p>
    <w:p>
      <w:r>
        <w:rPr>
          <w:sz w:val="22"/>
        </w:rPr>
        <w:t>That the LLM-augmented training rows hurt D1 retention prediction. Intuitively more data should help; in practice, label noise from the synthesiser dominated and the model fit the noise. This is exactly why ablation studies matter and why we report the result instead of suppressing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