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F INDUSTRY ORIENTED HANDS ON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95DFF42" w:rsidR="00ED26B1" w:rsidRDefault="00AF667E">
      <w:pPr>
        <w:widowControl w:val="0"/>
        <w:pBdr>
          <w:top w:val="nil"/>
          <w:left w:val="nil"/>
          <w:bottom w:val="nil"/>
          <w:right w:val="nil"/>
          <w:between w:val="nil"/>
        </w:pBdr>
        <w:spacing w:before="217" w:line="240" w:lineRule="auto"/>
        <w:ind w:right="75"/>
        <w:jc w:val="center"/>
        <w:rPr>
          <w:sz w:val="28"/>
          <w:szCs w:val="28"/>
        </w:rPr>
      </w:pPr>
      <w:r>
        <w:rPr>
          <w:rFonts w:ascii="Times New Roman" w:hAnsi="Times New Roman"/>
          <w:b/>
          <w:sz w:val="28"/>
        </w:rPr>
        <w:t>Ad Performance Prediction Using a Hybrid Stacked-Ensemble Machine Learning Framework</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1A188FA5" w:rsidR="00ED26B1" w:rsidRDefault="00E4645A" w:rsidP="00C871E7">
      <w:pPr>
        <w:widowControl w:val="0"/>
        <w:pBdr>
          <w:top w:val="nil"/>
          <w:left w:val="nil"/>
          <w:bottom w:val="nil"/>
          <w:right w:val="nil"/>
          <w:between w:val="nil"/>
        </w:pBdr>
        <w:spacing w:before="235" w:line="240" w:lineRule="auto"/>
        <w:rPr>
          <w:b/>
          <w:color w:val="000000"/>
        </w:rPr>
      </w:pPr>
      <w:r>
        <w:rPr>
          <w:rFonts w:ascii="Times New Roman" w:hAnsi="Times New Roman"/>
          <w:b/>
        </w:rPr>
        <w:t>Deepanshu Jindal</w:t>
        <w:tab/>
        <w:tab/>
        <w:tab/>
        <w:tab/>
        <w:tab/>
        <w:t>Mr. Gurpreet Singh</w:t>
      </w:r>
    </w:p>
    <w:p w14:paraId="61B03718" w14:textId="08E1154D" w:rsidR="00ED26B1" w:rsidRDefault="00E4645A">
      <w:pPr>
        <w:widowControl w:val="0"/>
        <w:pBdr>
          <w:top w:val="nil"/>
          <w:left w:val="nil"/>
          <w:bottom w:val="nil"/>
          <w:right w:val="nil"/>
          <w:between w:val="nil"/>
        </w:pBdr>
        <w:spacing w:before="235" w:line="240" w:lineRule="auto"/>
        <w:rPr>
          <w:b/>
          <w:color w:val="000000"/>
        </w:rPr>
      </w:pPr>
      <w:r>
        <w:rPr>
          <w:rFonts w:ascii="Times New Roman" w:hAnsi="Times New Roman"/>
          <w:b/>
        </w:rPr>
        <w:t>Roll No: 2210990255</w:t>
        <w:tab/>
        <w:tab/>
        <w:tab/>
        <w:tab/>
        <w:t>Assistant Professor</w:t>
      </w:r>
    </w:p>
    <w:p>
      <w:pPr>
        <w:spacing w:line="360" w:lineRule="auto"/>
      </w:pPr>
    </w:p>
    <w:p>
      <w:pPr>
        <w:spacing w:line="360" w:lineRule="auto"/>
        <w:jc w:val="left"/>
      </w:pPr>
      <w:r>
        <w:rPr>
          <w:rFonts w:ascii="Times New Roman" w:hAnsi="Times New Roman"/>
          <w:b/>
          <w:i w:val="0"/>
          <w:sz w:val="24"/>
        </w:rPr>
        <w:t>Akashdeep Singla (Team Lead)</w:t>
      </w:r>
    </w:p>
    <w:p>
      <w:pPr>
        <w:spacing w:line="360" w:lineRule="auto"/>
        <w:jc w:val="left"/>
      </w:pPr>
      <w:r>
        <w:rPr>
          <w:rFonts w:ascii="Times New Roman" w:hAnsi="Times New Roman"/>
          <w:b w:val="0"/>
          <w:i w:val="0"/>
          <w:sz w:val="24"/>
        </w:rPr>
        <w:t>Roll No: 2210991215</w:t>
      </w:r>
    </w:p>
    <w:p>
      <w:pPr>
        <w:spacing w:line="360" w:lineRule="auto"/>
        <w:jc w:val="left"/>
      </w:pPr>
      <w:r>
        <w:rPr>
          <w:rFonts w:ascii="Times New Roman" w:hAnsi="Times New Roman"/>
          <w:b/>
          <w:i w:val="0"/>
          <w:sz w:val="24"/>
        </w:rPr>
        <w:t>Medha Anand Chomal</w:t>
      </w:r>
    </w:p>
    <w:p>
      <w:pPr>
        <w:spacing w:line="360" w:lineRule="auto"/>
        <w:jc w:val="left"/>
      </w:pPr>
      <w:r>
        <w:rPr>
          <w:rFonts w:ascii="Times New Roman" w:hAnsi="Times New Roman"/>
          <w:b w:val="0"/>
          <w:i w:val="0"/>
          <w:sz w:val="24"/>
        </w:rPr>
        <w:t>Roll No: 2210991914</w:t>
      </w:r>
    </w:p>
    <w:p>
      <w:pPr>
        <w:spacing w:line="360" w:lineRule="auto"/>
        <w:jc w:val="left"/>
      </w:pPr>
      <w:r>
        <w:rPr>
          <w:rFonts w:ascii="Times New Roman" w:hAnsi="Times New Roman"/>
          <w:b/>
          <w:i w:val="0"/>
          <w:sz w:val="24"/>
        </w:rPr>
        <w:t>Harsh Sinha</w:t>
      </w:r>
    </w:p>
    <w:p>
      <w:pPr>
        <w:spacing w:line="360" w:lineRule="auto"/>
        <w:jc w:val="left"/>
      </w:pPr>
      <w:r>
        <w:rPr>
          <w:rFonts w:ascii="Times New Roman" w:hAnsi="Times New Roman"/>
          <w:b w:val="0"/>
          <w:i w:val="0"/>
          <w:sz w:val="24"/>
        </w:rPr>
        <w:t>Roll No: 2210991625</w:t>
      </w:r>
    </w:p>
    <w:p w14:paraId="533D4211" w14:textId="7F89DA2F" w:rsidR="00AF69E5" w:rsidRDefault="00AF69E5" w:rsidP="00AF69E5">
      <w:pPr>
        <w:widowControl w:val="0"/>
        <w:pBdr>
          <w:top w:val="nil"/>
          <w:left w:val="nil"/>
          <w:bottom w:val="nil"/>
          <w:right w:val="nil"/>
          <w:between w:val="nil"/>
        </w:pBdr>
        <w:spacing w:before="235" w:line="240" w:lineRule="auto"/>
        <w:jc w:val="right"/>
        <w:rPr>
          <w:b/>
          <w:color w:val="000000"/>
        </w:rPr>
      </w:pPr>
      <w:r>
        <w:rPr>
          <w:rFonts w:ascii="Times New Roman" w:hAnsi="Times New Roman"/>
          <w:b/>
        </w:rPr>
        <w:t>Chitkara University Institute of Engineering and Technology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pPr>
        <w:spacing w:line="360" w:lineRule="auto"/>
      </w:pPr>
    </w:p>
    <w:p>
      <w:pPr>
        <w:spacing w:line="276" w:lineRule="auto"/>
        <w:jc w:val="left"/>
      </w:pPr>
      <w:r>
        <w:rPr>
          <w:rFonts w:ascii="Times New Roman" w:hAnsi="Times New Roman"/>
          <w:b w:val="0"/>
          <w:i w:val="0"/>
          <w:sz w:val="22"/>
        </w:rPr>
        <w:t>Declaration..................................................................i</w:t>
      </w:r>
    </w:p>
    <w:p>
      <w:pPr>
        <w:spacing w:line="276" w:lineRule="auto"/>
        <w:jc w:val="left"/>
      </w:pPr>
      <w:r>
        <w:rPr>
          <w:rFonts w:ascii="Times New Roman" w:hAnsi="Times New Roman"/>
          <w:b w:val="0"/>
          <w:i w:val="0"/>
          <w:sz w:val="22"/>
        </w:rPr>
        <w:t>Acknowledgement.............................................................ii</w:t>
      </w:r>
    </w:p>
    <w:p>
      <w:pPr>
        <w:spacing w:line="276" w:lineRule="auto"/>
        <w:jc w:val="left"/>
      </w:pPr>
      <w:r>
        <w:rPr>
          <w:rFonts w:ascii="Times New Roman" w:hAnsi="Times New Roman"/>
          <w:b w:val="0"/>
          <w:i w:val="0"/>
          <w:sz w:val="22"/>
        </w:rPr>
        <w:t>Abstract...................................................................iii</w:t>
      </w:r>
    </w:p>
    <w:p>
      <w:pPr>
        <w:spacing w:line="276" w:lineRule="auto"/>
        <w:jc w:val="left"/>
      </w:pPr>
      <w:r>
        <w:rPr>
          <w:rFonts w:ascii="Times New Roman" w:hAnsi="Times New Roman"/>
          <w:b w:val="0"/>
          <w:i w:val="0"/>
          <w:sz w:val="22"/>
        </w:rPr>
        <w:t>List of Figures.............................................................iv</w:t>
      </w:r>
    </w:p>
    <w:p>
      <w:pPr>
        <w:spacing w:line="276" w:lineRule="auto"/>
        <w:jc w:val="left"/>
      </w:pPr>
      <w:r>
        <w:rPr>
          <w:rFonts w:ascii="Times New Roman" w:hAnsi="Times New Roman"/>
          <w:b w:val="0"/>
          <w:i w:val="0"/>
          <w:sz w:val="22"/>
        </w:rPr>
        <w:t>List of Tables...............................................................v</w:t>
      </w:r>
    </w:p>
    <w:p>
      <w:pPr>
        <w:spacing w:line="276" w:lineRule="auto"/>
        <w:jc w:val="left"/>
      </w:pPr>
      <w:r>
        <w:rPr>
          <w:rFonts w:ascii="Times New Roman" w:hAnsi="Times New Roman"/>
          <w:b w:val="0"/>
          <w:i w:val="0"/>
          <w:sz w:val="22"/>
        </w:rPr>
        <w:t>List of Abbreviations.......................................................vi</w:t>
      </w:r>
    </w:p>
    <w:p>
      <w:pPr>
        <w:spacing w:line="276" w:lineRule="auto"/>
        <w:jc w:val="left"/>
      </w:pPr>
      <w:r>
        <w:rPr>
          <w:rFonts w:ascii="Times New Roman" w:hAnsi="Times New Roman"/>
          <w:b w:val="0"/>
          <w:i w:val="0"/>
          <w:sz w:val="22"/>
        </w:rPr>
        <w:t>Chapter 1: Introduction......................................................1</w:t>
      </w:r>
    </w:p>
    <w:p>
      <w:pPr>
        <w:spacing w:line="276" w:lineRule="auto"/>
        <w:jc w:val="left"/>
      </w:pPr>
      <w:r>
        <w:rPr>
          <w:rFonts w:ascii="Times New Roman" w:hAnsi="Times New Roman"/>
          <w:b w:val="0"/>
          <w:i w:val="0"/>
          <w:sz w:val="22"/>
        </w:rPr>
        <w:t xml:space="preserve">    1.1 Background...........................................................1</w:t>
      </w:r>
    </w:p>
    <w:p>
      <w:pPr>
        <w:spacing w:line="276" w:lineRule="auto"/>
        <w:jc w:val="left"/>
      </w:pPr>
      <w:r>
        <w:rPr>
          <w:rFonts w:ascii="Times New Roman" w:hAnsi="Times New Roman"/>
          <w:b w:val="0"/>
          <w:i w:val="0"/>
          <w:sz w:val="22"/>
        </w:rPr>
        <w:t xml:space="preserve">    1.2 Motivation...........................................................3</w:t>
      </w:r>
    </w:p>
    <w:p>
      <w:pPr>
        <w:spacing w:line="276" w:lineRule="auto"/>
        <w:jc w:val="left"/>
      </w:pPr>
      <w:r>
        <w:rPr>
          <w:rFonts w:ascii="Times New Roman" w:hAnsi="Times New Roman"/>
          <w:b w:val="0"/>
          <w:i w:val="0"/>
          <w:sz w:val="22"/>
        </w:rPr>
        <w:t xml:space="preserve">    1.3 Problem Statement....................................................5</w:t>
      </w:r>
    </w:p>
    <w:p>
      <w:pPr>
        <w:spacing w:line="276" w:lineRule="auto"/>
        <w:jc w:val="left"/>
      </w:pPr>
      <w:r>
        <w:rPr>
          <w:rFonts w:ascii="Times New Roman" w:hAnsi="Times New Roman"/>
          <w:b w:val="0"/>
          <w:i w:val="0"/>
          <w:sz w:val="22"/>
        </w:rPr>
        <w:t xml:space="preserve">    1.4 Objectives...........................................................5</w:t>
      </w:r>
    </w:p>
    <w:p>
      <w:pPr>
        <w:spacing w:line="276" w:lineRule="auto"/>
        <w:jc w:val="left"/>
      </w:pPr>
      <w:r>
        <w:rPr>
          <w:rFonts w:ascii="Times New Roman" w:hAnsi="Times New Roman"/>
          <w:b w:val="0"/>
          <w:i w:val="0"/>
          <w:sz w:val="22"/>
        </w:rPr>
        <w:t xml:space="preserve">    1.5 Scope and Limitations................................................6</w:t>
      </w:r>
    </w:p>
    <w:p>
      <w:pPr>
        <w:spacing w:line="276" w:lineRule="auto"/>
        <w:jc w:val="left"/>
      </w:pPr>
      <w:r>
        <w:rPr>
          <w:rFonts w:ascii="Times New Roman" w:hAnsi="Times New Roman"/>
          <w:b w:val="0"/>
          <w:i w:val="0"/>
          <w:sz w:val="22"/>
        </w:rPr>
        <w:t xml:space="preserve">    1.6 Organisation of the Report...........................................7</w:t>
      </w:r>
    </w:p>
    <w:p>
      <w:pPr>
        <w:spacing w:line="276" w:lineRule="auto"/>
        <w:jc w:val="left"/>
      </w:pPr>
      <w:r>
        <w:rPr>
          <w:rFonts w:ascii="Times New Roman" w:hAnsi="Times New Roman"/>
          <w:b w:val="0"/>
          <w:i w:val="0"/>
          <w:sz w:val="22"/>
        </w:rPr>
        <w:t>Chapter 2: Literature Review.................................................8</w:t>
      </w:r>
    </w:p>
    <w:p>
      <w:pPr>
        <w:spacing w:line="276" w:lineRule="auto"/>
        <w:jc w:val="left"/>
      </w:pPr>
      <w:r>
        <w:rPr>
          <w:rFonts w:ascii="Times New Roman" w:hAnsi="Times New Roman"/>
          <w:b w:val="0"/>
          <w:i w:val="0"/>
          <w:sz w:val="22"/>
        </w:rPr>
        <w:t xml:space="preserve">    2.1 Evolution of CTR Prediction..........................................8</w:t>
      </w:r>
    </w:p>
    <w:p>
      <w:pPr>
        <w:spacing w:line="276" w:lineRule="auto"/>
        <w:jc w:val="left"/>
      </w:pPr>
      <w:r>
        <w:rPr>
          <w:rFonts w:ascii="Times New Roman" w:hAnsi="Times New Roman"/>
          <w:b w:val="0"/>
          <w:i w:val="0"/>
          <w:sz w:val="22"/>
        </w:rPr>
        <w:t xml:space="preserve">    2.2 Public Benchmarks and Their Limitations.............................10</w:t>
      </w:r>
    </w:p>
    <w:p>
      <w:pPr>
        <w:spacing w:line="276" w:lineRule="auto"/>
        <w:jc w:val="left"/>
      </w:pPr>
      <w:r>
        <w:rPr>
          <w:rFonts w:ascii="Times New Roman" w:hAnsi="Times New Roman"/>
          <w:b w:val="0"/>
          <w:i w:val="0"/>
          <w:sz w:val="22"/>
        </w:rPr>
        <w:t xml:space="preserve">    2.3 Gradient-Boosted Trees on Tabular Data..............................11</w:t>
      </w:r>
    </w:p>
    <w:p>
      <w:pPr>
        <w:spacing w:line="276" w:lineRule="auto"/>
        <w:jc w:val="left"/>
      </w:pPr>
      <w:r>
        <w:rPr>
          <w:rFonts w:ascii="Times New Roman" w:hAnsi="Times New Roman"/>
          <w:b w:val="0"/>
          <w:i w:val="0"/>
          <w:sz w:val="22"/>
        </w:rPr>
        <w:t xml:space="preserve">    2.4 Stacking Ensembles..................................................12</w:t>
      </w:r>
    </w:p>
    <w:p>
      <w:pPr>
        <w:spacing w:line="276" w:lineRule="auto"/>
        <w:jc w:val="left"/>
      </w:pPr>
      <w:r>
        <w:rPr>
          <w:rFonts w:ascii="Times New Roman" w:hAnsi="Times New Roman"/>
          <w:b w:val="0"/>
          <w:i w:val="0"/>
          <w:sz w:val="22"/>
        </w:rPr>
        <w:t xml:space="preserve">    2.5 Post-Install Retention and MMP Systems..............................13</w:t>
      </w:r>
    </w:p>
    <w:p>
      <w:pPr>
        <w:spacing w:line="276" w:lineRule="auto"/>
        <w:jc w:val="left"/>
      </w:pPr>
      <w:r>
        <w:rPr>
          <w:rFonts w:ascii="Times New Roman" w:hAnsi="Times New Roman"/>
          <w:b w:val="0"/>
          <w:i w:val="0"/>
          <w:sz w:val="22"/>
        </w:rPr>
        <w:t xml:space="preserve">    2.6 Research Gap........................................................14</w:t>
      </w:r>
    </w:p>
    <w:p>
      <w:pPr>
        <w:spacing w:line="276" w:lineRule="auto"/>
        <w:jc w:val="left"/>
      </w:pPr>
      <w:r>
        <w:rPr>
          <w:rFonts w:ascii="Times New Roman" w:hAnsi="Times New Roman"/>
          <w:b w:val="0"/>
          <w:i w:val="0"/>
          <w:sz w:val="22"/>
        </w:rPr>
        <w:t>Chapter 3: System Analysis and Design.......................................15</w:t>
      </w:r>
    </w:p>
    <w:p>
      <w:pPr>
        <w:spacing w:line="276" w:lineRule="auto"/>
        <w:jc w:val="left"/>
      </w:pPr>
      <w:r>
        <w:rPr>
          <w:rFonts w:ascii="Times New Roman" w:hAnsi="Times New Roman"/>
          <w:b w:val="0"/>
          <w:i w:val="0"/>
          <w:sz w:val="22"/>
        </w:rPr>
        <w:t xml:space="preserve">    3.1 Functional Requirements.............................................15</w:t>
      </w:r>
    </w:p>
    <w:p>
      <w:pPr>
        <w:spacing w:line="276" w:lineRule="auto"/>
        <w:jc w:val="left"/>
      </w:pPr>
      <w:r>
        <w:rPr>
          <w:rFonts w:ascii="Times New Roman" w:hAnsi="Times New Roman"/>
          <w:b w:val="0"/>
          <w:i w:val="0"/>
          <w:sz w:val="22"/>
        </w:rPr>
        <w:t xml:space="preserve">    3.2 Non-Functional Requirements.........................................16</w:t>
      </w:r>
    </w:p>
    <w:p>
      <w:pPr>
        <w:spacing w:line="276" w:lineRule="auto"/>
        <w:jc w:val="left"/>
      </w:pPr>
      <w:r>
        <w:rPr>
          <w:rFonts w:ascii="Times New Roman" w:hAnsi="Times New Roman"/>
          <w:b w:val="0"/>
          <w:i w:val="0"/>
          <w:sz w:val="22"/>
        </w:rPr>
        <w:t xml:space="preserve">    3.3 System Architecture.................................................17</w:t>
      </w:r>
    </w:p>
    <w:p>
      <w:pPr>
        <w:spacing w:line="276" w:lineRule="auto"/>
        <w:jc w:val="left"/>
      </w:pPr>
      <w:r>
        <w:rPr>
          <w:rFonts w:ascii="Times New Roman" w:hAnsi="Times New Roman"/>
          <w:b w:val="0"/>
          <w:i w:val="0"/>
          <w:sz w:val="22"/>
        </w:rPr>
        <w:t xml:space="preserve">    3.4 Data Flow...........................................................17</w:t>
      </w:r>
    </w:p>
    <w:p>
      <w:pPr>
        <w:spacing w:line="276" w:lineRule="auto"/>
        <w:jc w:val="left"/>
      </w:pPr>
      <w:r>
        <w:rPr>
          <w:rFonts w:ascii="Times New Roman" w:hAnsi="Times New Roman"/>
          <w:b w:val="0"/>
          <w:i w:val="0"/>
          <w:sz w:val="22"/>
        </w:rPr>
        <w:t xml:space="preserve">    3.5 Module Overview.....................................................18</w:t>
      </w:r>
    </w:p>
    <w:p>
      <w:pPr>
        <w:spacing w:line="276" w:lineRule="auto"/>
        <w:jc w:val="left"/>
      </w:pPr>
      <w:r>
        <w:rPr>
          <w:rFonts w:ascii="Times New Roman" w:hAnsi="Times New Roman"/>
          <w:b w:val="0"/>
          <w:i w:val="0"/>
          <w:sz w:val="22"/>
        </w:rPr>
        <w:t xml:space="preserve">    3.6 Technology Stack....................................................19</w:t>
      </w:r>
    </w:p>
    <w:p>
      <w:pPr>
        <w:spacing w:line="276" w:lineRule="auto"/>
        <w:jc w:val="left"/>
      </w:pPr>
      <w:r>
        <w:rPr>
          <w:rFonts w:ascii="Times New Roman" w:hAnsi="Times New Roman"/>
          <w:b w:val="0"/>
          <w:i w:val="0"/>
          <w:sz w:val="22"/>
        </w:rPr>
        <w:t>Chapter 4: Methodology......................................................20</w:t>
      </w:r>
    </w:p>
    <w:p>
      <w:pPr>
        <w:spacing w:line="276" w:lineRule="auto"/>
        <w:jc w:val="left"/>
      </w:pPr>
      <w:r>
        <w:rPr>
          <w:rFonts w:ascii="Times New Roman" w:hAnsi="Times New Roman"/>
          <w:b w:val="0"/>
          <w:i w:val="0"/>
          <w:sz w:val="22"/>
        </w:rPr>
        <w:t xml:space="preserve">    4.1 Data Collection Strategy............................................20</w:t>
      </w:r>
    </w:p>
    <w:p>
      <w:pPr>
        <w:spacing w:line="276" w:lineRule="auto"/>
        <w:jc w:val="left"/>
      </w:pPr>
      <w:r>
        <w:rPr>
          <w:rFonts w:ascii="Times New Roman" w:hAnsi="Times New Roman"/>
          <w:b w:val="0"/>
          <w:i w:val="0"/>
          <w:sz w:val="22"/>
        </w:rPr>
        <w:t xml:space="preserve">    4.2 Manual Tagging Protocol.............................................22</w:t>
      </w:r>
    </w:p>
    <w:p>
      <w:pPr>
        <w:spacing w:line="276" w:lineRule="auto"/>
        <w:jc w:val="left"/>
      </w:pPr>
      <w:r>
        <w:rPr>
          <w:rFonts w:ascii="Times New Roman" w:hAnsi="Times New Roman"/>
          <w:b w:val="0"/>
          <w:i w:val="0"/>
          <w:sz w:val="22"/>
        </w:rPr>
        <w:t xml:space="preserve">    4.3 Cleaning and Harmonisation Pipeline.................................24</w:t>
      </w:r>
    </w:p>
    <w:p>
      <w:pPr>
        <w:spacing w:line="276" w:lineRule="auto"/>
        <w:jc w:val="left"/>
      </w:pPr>
      <w:r>
        <w:rPr>
          <w:rFonts w:ascii="Times New Roman" w:hAnsi="Times New Roman"/>
          <w:b w:val="0"/>
          <w:i w:val="0"/>
          <w:sz w:val="22"/>
        </w:rPr>
        <w:t xml:space="preserve">    4.4 Feature Engineering.................................................25</w:t>
      </w:r>
    </w:p>
    <w:p>
      <w:pPr>
        <w:spacing w:line="276" w:lineRule="auto"/>
        <w:jc w:val="left"/>
      </w:pPr>
      <w:r>
        <w:rPr>
          <w:rFonts w:ascii="Times New Roman" w:hAnsi="Times New Roman"/>
          <w:b w:val="0"/>
          <w:i w:val="0"/>
          <w:sz w:val="22"/>
        </w:rPr>
        <w:t xml:space="preserve">    4.5 Leakage Audit Procedure.............................................26</w:t>
      </w:r>
    </w:p>
    <w:p>
      <w:pPr>
        <w:spacing w:line="276" w:lineRule="auto"/>
        <w:jc w:val="left"/>
      </w:pPr>
      <w:r>
        <w:rPr>
          <w:rFonts w:ascii="Times New Roman" w:hAnsi="Times New Roman"/>
          <w:b w:val="0"/>
          <w:i w:val="0"/>
          <w:sz w:val="22"/>
        </w:rPr>
        <w:t xml:space="preserve">    4.6 Model Architecture..................................................27</w:t>
      </w:r>
    </w:p>
    <w:p>
      <w:pPr>
        <w:spacing w:line="276" w:lineRule="auto"/>
        <w:jc w:val="left"/>
      </w:pPr>
      <w:r>
        <w:rPr>
          <w:rFonts w:ascii="Times New Roman" w:hAnsi="Times New Roman"/>
          <w:b w:val="0"/>
          <w:i w:val="0"/>
          <w:sz w:val="22"/>
        </w:rPr>
        <w:t xml:space="preserve">    4.7 Training Protocol...................................................28</w:t>
      </w:r>
    </w:p>
    <w:p>
      <w:pPr>
        <w:spacing w:line="276" w:lineRule="auto"/>
        <w:jc w:val="left"/>
      </w:pPr>
      <w:r>
        <w:rPr>
          <w:rFonts w:ascii="Times New Roman" w:hAnsi="Times New Roman"/>
          <w:b w:val="0"/>
          <w:i w:val="0"/>
          <w:sz w:val="22"/>
        </w:rPr>
        <w:t xml:space="preserve">    4.8 Mathematical Formulation............................................29</w:t>
      </w:r>
    </w:p>
    <w:p>
      <w:pPr>
        <w:spacing w:line="276" w:lineRule="auto"/>
        <w:jc w:val="left"/>
      </w:pPr>
      <w:r>
        <w:rPr>
          <w:rFonts w:ascii="Times New Roman" w:hAnsi="Times New Roman"/>
          <w:b w:val="0"/>
          <w:i w:val="0"/>
          <w:sz w:val="22"/>
        </w:rPr>
        <w:t>Chapter 5: Implementation...................................................30</w:t>
      </w:r>
    </w:p>
    <w:p>
      <w:pPr>
        <w:spacing w:line="276" w:lineRule="auto"/>
        <w:jc w:val="left"/>
      </w:pPr>
      <w:r>
        <w:rPr>
          <w:rFonts w:ascii="Times New Roman" w:hAnsi="Times New Roman"/>
          <w:b w:val="0"/>
          <w:i w:val="0"/>
          <w:sz w:val="22"/>
        </w:rPr>
        <w:t xml:space="preserve">    5.1 Environment Setup...................................................30</w:t>
      </w:r>
    </w:p>
    <w:p>
      <w:pPr>
        <w:spacing w:line="276" w:lineRule="auto"/>
        <w:jc w:val="left"/>
      </w:pPr>
      <w:r>
        <w:rPr>
          <w:rFonts w:ascii="Times New Roman" w:hAnsi="Times New Roman"/>
          <w:b w:val="0"/>
          <w:i w:val="0"/>
          <w:sz w:val="22"/>
        </w:rPr>
        <w:t xml:space="preserve">    5.2 Data Ingestion......................................................31</w:t>
      </w:r>
    </w:p>
    <w:p>
      <w:pPr>
        <w:spacing w:line="276" w:lineRule="auto"/>
        <w:jc w:val="left"/>
      </w:pPr>
      <w:r>
        <w:rPr>
          <w:rFonts w:ascii="Times New Roman" w:hAnsi="Times New Roman"/>
          <w:b w:val="0"/>
          <w:i w:val="0"/>
          <w:sz w:val="22"/>
        </w:rPr>
        <w:t xml:space="preserve">    5.3 Feature Engineering Code............................................32</w:t>
      </w:r>
    </w:p>
    <w:p>
      <w:pPr>
        <w:spacing w:line="276" w:lineRule="auto"/>
        <w:jc w:val="left"/>
      </w:pPr>
      <w:r>
        <w:rPr>
          <w:rFonts w:ascii="Times New Roman" w:hAnsi="Times New Roman"/>
          <w:b w:val="0"/>
          <w:i w:val="0"/>
          <w:sz w:val="22"/>
        </w:rPr>
        <w:t xml:space="preserve">    5.4 Model Training Code.................................................33</w:t>
      </w:r>
    </w:p>
    <w:p>
      <w:pPr>
        <w:spacing w:line="276" w:lineRule="auto"/>
        <w:jc w:val="left"/>
      </w:pPr>
      <w:r>
        <w:rPr>
          <w:rFonts w:ascii="Times New Roman" w:hAnsi="Times New Roman"/>
          <w:b w:val="0"/>
          <w:i w:val="0"/>
          <w:sz w:val="22"/>
        </w:rPr>
        <w:t xml:space="preserve">    5.5 Evaluation Code.....................................................34</w:t>
      </w:r>
    </w:p>
    <w:p>
      <w:pPr>
        <w:spacing w:line="276" w:lineRule="auto"/>
        <w:jc w:val="left"/>
      </w:pPr>
      <w:r>
        <w:rPr>
          <w:rFonts w:ascii="Times New Roman" w:hAnsi="Times New Roman"/>
          <w:b w:val="0"/>
          <w:i w:val="0"/>
          <w:sz w:val="22"/>
        </w:rPr>
        <w:t>Chapter 6: Results and Analysis.............................................35</w:t>
      </w:r>
    </w:p>
    <w:p>
      <w:pPr>
        <w:spacing w:line="276" w:lineRule="auto"/>
        <w:jc w:val="left"/>
      </w:pPr>
      <w:r>
        <w:rPr>
          <w:rFonts w:ascii="Times New Roman" w:hAnsi="Times New Roman"/>
          <w:b w:val="0"/>
          <w:i w:val="0"/>
          <w:sz w:val="22"/>
        </w:rPr>
        <w:t xml:space="preserve">    6.1 Performance Across All 15 Tasks.....................................35</w:t>
      </w:r>
    </w:p>
    <w:p>
      <w:pPr>
        <w:spacing w:line="276" w:lineRule="auto"/>
        <w:jc w:val="left"/>
      </w:pPr>
      <w:r>
        <w:rPr>
          <w:rFonts w:ascii="Times New Roman" w:hAnsi="Times New Roman"/>
          <w:b w:val="0"/>
          <w:i w:val="0"/>
          <w:sz w:val="22"/>
        </w:rPr>
        <w:t xml:space="preserve">    6.2 Per-Task Discussion.................................................37</w:t>
      </w:r>
    </w:p>
    <w:p>
      <w:pPr>
        <w:spacing w:line="276" w:lineRule="auto"/>
        <w:jc w:val="left"/>
      </w:pPr>
      <w:r>
        <w:rPr>
          <w:rFonts w:ascii="Times New Roman" w:hAnsi="Times New Roman"/>
          <w:b w:val="0"/>
          <w:i w:val="0"/>
          <w:sz w:val="22"/>
        </w:rPr>
        <w:t xml:space="preserve">    6.3 Feature Importance Analysis.........................................38</w:t>
      </w:r>
    </w:p>
    <w:p>
      <w:pPr>
        <w:spacing w:line="276" w:lineRule="auto"/>
        <w:jc w:val="left"/>
      </w:pPr>
      <w:r>
        <w:rPr>
          <w:rFonts w:ascii="Times New Roman" w:hAnsi="Times New Roman"/>
          <w:b w:val="0"/>
          <w:i w:val="0"/>
          <w:sz w:val="22"/>
        </w:rPr>
        <w:t xml:space="preserve">    6.4 Predicted-vs-Actual Analysis........................................39</w:t>
      </w:r>
    </w:p>
    <w:p>
      <w:pPr>
        <w:spacing w:line="276" w:lineRule="auto"/>
        <w:jc w:val="left"/>
      </w:pPr>
      <w:r>
        <w:rPr>
          <w:rFonts w:ascii="Times New Roman" w:hAnsi="Times New Roman"/>
          <w:b w:val="0"/>
          <w:i w:val="0"/>
          <w:sz w:val="22"/>
        </w:rPr>
        <w:t xml:space="preserve">    6.5 Classifier Calibration..............................................39</w:t>
      </w:r>
    </w:p>
    <w:p>
      <w:pPr>
        <w:spacing w:line="276" w:lineRule="auto"/>
        <w:jc w:val="left"/>
      </w:pPr>
      <w:r>
        <w:rPr>
          <w:rFonts w:ascii="Times New Roman" w:hAnsi="Times New Roman"/>
          <w:b w:val="0"/>
          <w:i w:val="0"/>
          <w:sz w:val="22"/>
        </w:rPr>
        <w:t xml:space="preserve">    6.6 Ablation Findings...................................................40</w:t>
      </w:r>
    </w:p>
    <w:p>
      <w:pPr>
        <w:spacing w:line="276" w:lineRule="auto"/>
        <w:jc w:val="left"/>
      </w:pPr>
      <w:r>
        <w:rPr>
          <w:rFonts w:ascii="Times New Roman" w:hAnsi="Times New Roman"/>
          <w:b w:val="0"/>
          <w:i w:val="0"/>
          <w:sz w:val="22"/>
        </w:rPr>
        <w:t xml:space="preserve">    6.7 Baseline Comparison.................................................42</w:t>
      </w:r>
    </w:p>
    <w:p>
      <w:pPr>
        <w:spacing w:line="276" w:lineRule="auto"/>
        <w:jc w:val="left"/>
      </w:pPr>
      <w:r>
        <w:rPr>
          <w:rFonts w:ascii="Times New Roman" w:hAnsi="Times New Roman"/>
          <w:b w:val="0"/>
          <w:i w:val="0"/>
          <w:sz w:val="22"/>
        </w:rPr>
        <w:t>Chapter 7: Testing and Validation...........................................44</w:t>
      </w:r>
    </w:p>
    <w:p>
      <w:pPr>
        <w:spacing w:line="276" w:lineRule="auto"/>
        <w:jc w:val="left"/>
      </w:pPr>
      <w:r>
        <w:rPr>
          <w:rFonts w:ascii="Times New Roman" w:hAnsi="Times New Roman"/>
          <w:b w:val="0"/>
          <w:i w:val="0"/>
          <w:sz w:val="22"/>
        </w:rPr>
        <w:t xml:space="preserve">    7.1 Five-Fold Cross-Validation..........................................44</w:t>
      </w:r>
    </w:p>
    <w:p>
      <w:pPr>
        <w:spacing w:line="276" w:lineRule="auto"/>
        <w:jc w:val="left"/>
      </w:pPr>
      <w:r>
        <w:rPr>
          <w:rFonts w:ascii="Times New Roman" w:hAnsi="Times New Roman"/>
          <w:b w:val="0"/>
          <w:i w:val="0"/>
          <w:sz w:val="22"/>
        </w:rPr>
        <w:t xml:space="preserve">    7.2 Bootstrap Confidence Intervals......................................44</w:t>
      </w:r>
    </w:p>
    <w:p>
      <w:pPr>
        <w:spacing w:line="276" w:lineRule="auto"/>
        <w:jc w:val="left"/>
      </w:pPr>
      <w:r>
        <w:rPr>
          <w:rFonts w:ascii="Times New Roman" w:hAnsi="Times New Roman"/>
          <w:b w:val="0"/>
          <w:i w:val="0"/>
          <w:sz w:val="22"/>
        </w:rPr>
        <w:t xml:space="preserve">    7.3 Leakage Audit Results...............................................45</w:t>
      </w:r>
    </w:p>
    <w:p>
      <w:pPr>
        <w:spacing w:line="276" w:lineRule="auto"/>
        <w:jc w:val="left"/>
      </w:pPr>
      <w:r>
        <w:rPr>
          <w:rFonts w:ascii="Times New Roman" w:hAnsi="Times New Roman"/>
          <w:b w:val="0"/>
          <w:i w:val="0"/>
          <w:sz w:val="22"/>
        </w:rPr>
        <w:t xml:space="preserve">    7.4 Robustness Checks...................................................45</w:t>
      </w:r>
    </w:p>
    <w:p>
      <w:pPr>
        <w:spacing w:line="276" w:lineRule="auto"/>
        <w:jc w:val="left"/>
      </w:pPr>
      <w:r>
        <w:rPr>
          <w:rFonts w:ascii="Times New Roman" w:hAnsi="Times New Roman"/>
          <w:b w:val="0"/>
          <w:i w:val="0"/>
          <w:sz w:val="22"/>
        </w:rPr>
        <w:t>Chapter 8: Conclusion and Future Work.......................................46</w:t>
      </w:r>
    </w:p>
    <w:p>
      <w:pPr>
        <w:spacing w:line="276" w:lineRule="auto"/>
        <w:jc w:val="left"/>
      </w:pPr>
      <w:r>
        <w:rPr>
          <w:rFonts w:ascii="Times New Roman" w:hAnsi="Times New Roman"/>
          <w:b w:val="0"/>
          <w:i w:val="0"/>
          <w:sz w:val="22"/>
        </w:rPr>
        <w:t xml:space="preserve">    8.1 Summary of Contributions............................................46</w:t>
      </w:r>
    </w:p>
    <w:p>
      <w:pPr>
        <w:spacing w:line="276" w:lineRule="auto"/>
        <w:jc w:val="left"/>
      </w:pPr>
      <w:r>
        <w:rPr>
          <w:rFonts w:ascii="Times New Roman" w:hAnsi="Times New Roman"/>
          <w:b w:val="0"/>
          <w:i w:val="0"/>
          <w:sz w:val="22"/>
        </w:rPr>
        <w:t xml:space="preserve">    8.2 Practical Impact....................................................47</w:t>
      </w:r>
    </w:p>
    <w:p>
      <w:pPr>
        <w:spacing w:line="276" w:lineRule="auto"/>
        <w:jc w:val="left"/>
      </w:pPr>
      <w:r>
        <w:rPr>
          <w:rFonts w:ascii="Times New Roman" w:hAnsi="Times New Roman"/>
          <w:b w:val="0"/>
          <w:i w:val="0"/>
          <w:sz w:val="22"/>
        </w:rPr>
        <w:t xml:space="preserve">    8.3 Limitations.........................................................47</w:t>
      </w:r>
    </w:p>
    <w:p>
      <w:pPr>
        <w:spacing w:line="276" w:lineRule="auto"/>
        <w:jc w:val="left"/>
      </w:pPr>
      <w:r>
        <w:rPr>
          <w:rFonts w:ascii="Times New Roman" w:hAnsi="Times New Roman"/>
          <w:b w:val="0"/>
          <w:i w:val="0"/>
          <w:sz w:val="22"/>
        </w:rPr>
        <w:t xml:space="preserve">    8.4 Future Work.........................................................48</w:t>
      </w:r>
    </w:p>
    <w:p>
      <w:pPr>
        <w:spacing w:line="276" w:lineRule="auto"/>
        <w:jc w:val="left"/>
      </w:pPr>
      <w:r>
        <w:rPr>
          <w:rFonts w:ascii="Times New Roman" w:hAnsi="Times New Roman"/>
          <w:b w:val="0"/>
          <w:i w:val="0"/>
          <w:sz w:val="22"/>
        </w:rPr>
        <w:t>References..................................................................49</w:t>
      </w:r>
    </w:p>
    <w:p>
      <w:pPr>
        <w:spacing w:line="276" w:lineRule="auto"/>
        <w:jc w:val="left"/>
      </w:pPr>
      <w:r>
        <w:rPr>
          <w:rFonts w:ascii="Times New Roman" w:hAnsi="Times New Roman"/>
          <w:b w:val="0"/>
          <w:i w:val="0"/>
          <w:sz w:val="22"/>
        </w:rPr>
        <w:t>Appendix A: Team Contribution...............................................52</w:t>
      </w:r>
    </w:p>
    <w:p>
      <w:pPr>
        <w:spacing w:line="360" w:lineRule="auto"/>
      </w:pPr>
      <w:r>
        <w:br w:type="page"/>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3E478584" w14:textId="77777777" w:rsidR="00985E93" w:rsidRDefault="00985E93" w:rsidP="00985E93">
      <w:pPr>
        <w:jc w:val="center"/>
        <w:rPr>
          <w:rFonts w:ascii="Times New Roman" w:hAnsi="Times New Roman" w:cs="Times New Roman"/>
          <w:b/>
          <w:sz w:val="32"/>
          <w:szCs w:val="32"/>
          <w:u w:val="single"/>
        </w:rPr>
      </w:pPr>
      <w:r w:rsidRPr="00DD6FB3">
        <w:br w:type="page"/>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C52B4DB" w:rsidR="006A604B" w:rsidRPr="006A604B" w:rsidRDefault="006A604B" w:rsidP="006A604B">
      <w:pPr>
        <w:spacing w:line="360" w:lineRule="auto"/>
        <w:jc w:val="both"/>
        <w:rPr>
          <w:rFonts w:ascii="Times New Roman" w:hAnsi="Times New Roman" w:cs="Times New Roman"/>
          <w:b/>
          <w:shd w:val="clear" w:color="auto" w:fill="FFFFFF"/>
        </w:rPr>
      </w:pPr>
      <w:bookmarkStart w:id="0" w:name="_Hlk170906391"/>
      <w:bookmarkEnd w:id="0"/>
      <w:r>
        <w:rPr>
          <w:rFonts w:ascii="Times New Roman" w:hAnsi="Times New Roman"/>
          <w:b/>
        </w:rPr>
        <w:t>I hereby certify that the work which is being presented in the project report entitled “Ad Performance Prediction Using a Hybrid Stacked-Ensemble Machine Learning Framework” in partial fulfilment of the requirements for the award of the degree of Bachelor of Engineering, submitted to the Department of Computer Science and Engineering, Chitkara University Institute of Engineering and Technology, Chitkara University, Punjab, India, is a bona fide record of work carried out by us under the supervision of Mr. Gurpreet Singh, Assistant Professor, Department of Computer Science and Engineering, Chitkara University Institute of Engineering and Technology, Chitkara University, Punjab, India. The matter embodied in this report has not been submitted to any other University or Institution for the award of any degree or diploma.</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F9A3080" w:rsidR="006A604B" w:rsidRPr="006A604B" w:rsidRDefault="006A604B" w:rsidP="006A604B">
      <w:pPr>
        <w:spacing w:line="360" w:lineRule="auto"/>
        <w:jc w:val="both"/>
        <w:rPr>
          <w:rFonts w:ascii="Times New Roman" w:hAnsi="Times New Roman" w:cs="Times New Roman"/>
          <w:lang w:val="fr-FR"/>
        </w:rPr>
      </w:pPr>
      <w:r>
        <w:rPr>
          <w:rFonts w:ascii="Times New Roman" w:hAnsi="Times New Roman"/>
          <w:b/>
        </w:rPr>
        <w:t>Place:</w:t>
        <w:tab/>
        <w:t>Rajpura</w:t>
        <w:tab/>
        <w:tab/>
        <w:tab/>
        <w:tab/>
        <w:tab/>
        <w:t xml:space="preserve">   </w:t>
        <w:tab/>
        <w:tab/>
        <w:tab/>
        <w:t xml:space="preserve"> Deepanshu Jindal</w:t>
      </w:r>
    </w:p>
    <w:p w14:paraId="38FA00BC" w14:textId="4B91C9FA" w:rsidR="006A604B" w:rsidRPr="006A604B" w:rsidRDefault="006A604B" w:rsidP="006A604B">
      <w:pPr>
        <w:spacing w:line="360" w:lineRule="auto"/>
        <w:jc w:val="both"/>
        <w:rPr>
          <w:rFonts w:ascii="Times New Roman" w:hAnsi="Times New Roman" w:cs="Times New Roman"/>
        </w:rPr>
      </w:pPr>
      <w:r>
        <w:rPr>
          <w:rFonts w:ascii="Times New Roman" w:hAnsi="Times New Roman"/>
        </w:rPr>
        <w:t>Date:</w:t>
        <w:tab/>
        <w:t>____ / ____ / 2026</w:t>
        <w:tab/>
        <w:tab/>
        <w:tab/>
        <w:tab/>
        <w:t xml:space="preserve">           </w:t>
        <w:tab/>
        <w:tab/>
        <w:t>(University Roll No: 2210990255)</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F20BFA2" w:rsidR="006A604B" w:rsidRPr="006A604B" w:rsidRDefault="006A604B" w:rsidP="006A604B">
      <w:pPr>
        <w:spacing w:line="360" w:lineRule="auto"/>
        <w:jc w:val="both"/>
        <w:rPr>
          <w:rFonts w:ascii="Times New Roman" w:hAnsi="Times New Roman" w:cs="Times New Roman"/>
          <w:b/>
          <w:bCs/>
          <w:spacing w:val="-16"/>
        </w:rPr>
      </w:pPr>
      <w:r>
        <w:rPr>
          <w:rFonts w:ascii="Times New Roman" w:hAnsi="Times New Roman"/>
          <w:b/>
        </w:rPr>
        <w:t>Mr. Gurpreet Singh</w:t>
        <w:tab/>
        <w:tab/>
        <w:tab/>
        <w:tab/>
        <w:tab/>
      </w:r>
    </w:p>
    <w:p w14:paraId="1A382179" w14:textId="3B4A472F" w:rsidR="006A604B" w:rsidRPr="006A604B" w:rsidRDefault="006A604B" w:rsidP="006A604B">
      <w:pPr>
        <w:spacing w:line="360" w:lineRule="auto"/>
        <w:jc w:val="both"/>
        <w:rPr>
          <w:rFonts w:ascii="Times New Roman" w:hAnsi="Times New Roman" w:cs="Times New Roman"/>
        </w:rPr>
      </w:pPr>
      <w:r>
        <w:rPr>
          <w:rFonts w:ascii="Times New Roman" w:hAnsi="Times New Roman"/>
        </w:rPr>
        <w:t>Assistant Professor</w:t>
        <w:tab/>
        <w:tab/>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br w:type="page"/>
        <w:rPr>
          <w:rFonts w:ascii="Times New Roman" w:hAnsi="Times New Roman" w:cs="Times New Roman"/>
          <w:b/>
          <w:sz w:val="32"/>
          <w:szCs w:val="32"/>
          <w:u w:val="single"/>
        </w:rPr>
        <w:t>ACKNOWLEDGEMENT</w:t>
      </w:r>
    </w:p>
    <w:p>
      <w:pPr>
        <w:spacing w:line="360" w:lineRule="auto"/>
        <w:jc w:val="both"/>
      </w:pPr>
      <w:r>
        <w:rPr>
          <w:rFonts w:ascii="Times New Roman" w:hAnsi="Times New Roman"/>
          <w:b w:val="0"/>
          <w:i w:val="0"/>
          <w:sz w:val="24"/>
        </w:rPr>
        <w:t>The successful completion of this project would not have been possible without the guidance, support, and encouragement of several individuals to whom we owe our sincere gratitude.</w:t>
      </w:r>
    </w:p>
    <w:p>
      <w:pPr>
        <w:spacing w:line="360" w:lineRule="auto"/>
        <w:jc w:val="both"/>
      </w:pPr>
      <w:r>
        <w:rPr>
          <w:rFonts w:ascii="Times New Roman" w:hAnsi="Times New Roman"/>
          <w:b w:val="0"/>
          <w:i w:val="0"/>
          <w:sz w:val="24"/>
        </w:rPr>
        <w:t>First and foremost, we express our deepest gratitude to our project supervisor Mr. Gurpreet Singh, Assistant Professor, Department of Computer Science and Engineering, Chitkara University Institute of Engineering and Technology, for the constant guidance, valuable feedback, and continuous encouragement provided throughout the course of this project. The technical insights and constructive criticism offered during regular review meetings were instrumental in shaping this work.</w:t>
      </w:r>
    </w:p>
    <w:p>
      <w:pPr>
        <w:spacing w:line="360" w:lineRule="auto"/>
        <w:jc w:val="both"/>
      </w:pPr>
      <w:r>
        <w:rPr>
          <w:rFonts w:ascii="Times New Roman" w:hAnsi="Times New Roman"/>
          <w:b w:val="0"/>
          <w:i w:val="0"/>
          <w:sz w:val="24"/>
        </w:rPr>
        <w:t>We thank the Head of the Department of Computer Science and Engineering and the Dean of the Chitkara University Institute of Engineering and Technology for the academic support and for providing the infrastructure and resources needed to carry out this project.</w:t>
      </w:r>
    </w:p>
    <w:p>
      <w:pPr>
        <w:spacing w:line="360" w:lineRule="auto"/>
        <w:jc w:val="both"/>
      </w:pPr>
      <w:r>
        <w:rPr>
          <w:rFonts w:ascii="Times New Roman" w:hAnsi="Times New Roman"/>
          <w:b w:val="0"/>
          <w:i w:val="0"/>
          <w:sz w:val="24"/>
        </w:rPr>
        <w:t>We acknowledge the Kaggle community for making real advertising-campaign datasets publicly available, and we acknowledge Meta Platforms, Inc. and Google LLC for maintaining the Meta Ad Library and Google Ads Transparency Center respectively, both of which were used to collect competitor advertisement metadata.</w:t>
      </w:r>
    </w:p>
    <w:p>
      <w:pPr>
        <w:spacing w:line="360" w:lineRule="auto"/>
        <w:jc w:val="both"/>
      </w:pPr>
      <w:r>
        <w:rPr>
          <w:rFonts w:ascii="Times New Roman" w:hAnsi="Times New Roman"/>
          <w:b w:val="0"/>
          <w:i w:val="0"/>
          <w:sz w:val="24"/>
        </w:rPr>
        <w:t>We also thank our peers who participated in informal discussions during various phases of the project, and who reviewed early drafts of this report and the research paper. Finally, we express our heartfelt gratitude to our families for their unwavering support and encouragement throughout our academic journey.</w:t>
      </w:r>
    </w:p>
    <w:p>
      <w:pPr>
        <w:spacing w:line="360" w:lineRule="auto"/>
      </w:pPr>
    </w:p>
    <w:p>
      <w:pPr>
        <w:spacing w:line="360" w:lineRule="auto"/>
        <w:jc w:val="right"/>
      </w:pPr>
      <w:r>
        <w:rPr>
          <w:rFonts w:ascii="Times New Roman" w:hAnsi="Times New Roman"/>
          <w:b/>
          <w:i w:val="0"/>
          <w:sz w:val="24"/>
        </w:rPr>
        <w:t>Deepanshu Jindal  (Roll No. 2210990255)</w:t>
      </w:r>
    </w:p>
    <w:p>
      <w:pPr>
        <w:spacing w:line="360" w:lineRule="auto"/>
        <w:jc w:val="right"/>
      </w:pPr>
      <w:r>
        <w:rPr>
          <w:rFonts w:ascii="Times New Roman" w:hAnsi="Times New Roman"/>
          <w:b/>
          <w:i w:val="0"/>
          <w:sz w:val="24"/>
        </w:rPr>
        <w:t>Akashdeep Singla  (Roll No. 2210991215)</w:t>
      </w:r>
    </w:p>
    <w:p>
      <w:pPr>
        <w:spacing w:line="360" w:lineRule="auto"/>
        <w:jc w:val="right"/>
      </w:pPr>
      <w:r>
        <w:rPr>
          <w:rFonts w:ascii="Times New Roman" w:hAnsi="Times New Roman"/>
          <w:b/>
          <w:i w:val="0"/>
          <w:sz w:val="24"/>
        </w:rPr>
        <w:t>Medha Anand Chomal  (Roll No. 2210991914)</w:t>
      </w:r>
    </w:p>
    <w:p>
      <w:pPr>
        <w:spacing w:line="360" w:lineRule="auto"/>
        <w:jc w:val="right"/>
      </w:pPr>
      <w:r>
        <w:rPr>
          <w:rFonts w:ascii="Times New Roman" w:hAnsi="Times New Roman"/>
          <w:b/>
          <w:i w:val="0"/>
          <w:sz w:val="24"/>
        </w:rPr>
        <w:t>Harsh Sinha  (Roll No. 2210991625)</w:t>
      </w:r>
    </w:p>
    <w:p w14:paraId="769938E9" w14:textId="77777777" w:rsidR="00985E93" w:rsidRDefault="00985E93" w:rsidP="00985E93">
      <w:pPr>
        <w:jc w:val="center"/>
        <w:rPr>
          <w:b/>
          <w:sz w:val="32"/>
          <w:szCs w:val="32"/>
          <w:u w:val="single"/>
        </w:rPr>
      </w:pPr>
    </w:p>
    <w:p>
      <w:pPr>
        <w:pageBreakBefore/>
        <w:spacing w:before="480" w:after="360"/>
        <w:jc w:val="center"/>
      </w:pPr>
      <w:r>
        <w:rPr>
          <w:rFonts w:ascii="Times New Roman" w:hAnsi="Times New Roman"/>
          <w:b/>
          <w:sz w:val="32"/>
        </w:rPr>
        <w:t>ABSTRACT</w:t>
      </w:r>
    </w:p>
    <w:p>
      <w:pPr>
        <w:spacing w:line="360" w:lineRule="auto" w:after="120"/>
        <w:jc w:val="both"/>
      </w:pPr>
      <w:r>
        <w:rPr>
          <w:rFonts w:ascii="Times New Roman" w:hAnsi="Times New Roman"/>
          <w:b w:val="0"/>
          <w:i w:val="0"/>
          <w:sz w:val="24"/>
        </w:rPr>
        <w:t>Predicting how a digital advertisement will perform before it is launched remains a challenging problem because outcomes depend simultaneously on the creative attributes of the ad, the targeted audience, the platform mechanics, and the allocated budget. Most existing click-through-rate prediction research focuses on hashed feature vectors that discard the creative content of advertisements, leaving small marketing teams without practical guidance on which advertisements are likely to succeed before going live.</w:t>
      </w:r>
    </w:p>
    <w:p>
      <w:pPr>
        <w:spacing w:line="360" w:lineRule="auto" w:after="120"/>
        <w:jc w:val="both"/>
      </w:pPr>
      <w:r>
        <w:rPr>
          <w:rFonts w:ascii="Times New Roman" w:hAnsi="Times New Roman"/>
          <w:b w:val="0"/>
          <w:i w:val="0"/>
          <w:sz w:val="24"/>
        </w:rPr>
        <w:t>This project presents a unified hybrid prediction framework that combines six real campaign datasets from Kaggle, three large-language-model-augmented creative-metadata datasets, and a manually tagged competitor-creative dataset of 120 advertisements collected from the Meta Ad Library and the Google Ads Transparency Center between 20 and 28 April 2026. After cleaning and harmonisation, the training data consists of 21,643 unified campaign-level rows and 1,120 creative-metadata rows. Fifteen prediction targets are jointly modelled using a stacked ensemble of HistGradientBoosting, LightGBM, XGBoost and Random Forest with a Ridge meta-learner.</w:t>
      </w:r>
    </w:p>
    <w:p>
      <w:pPr>
        <w:spacing w:line="360" w:lineRule="auto" w:after="120"/>
        <w:jc w:val="both"/>
      </w:pPr>
      <w:r>
        <w:rPr>
          <w:rFonts w:ascii="Times New Roman" w:hAnsi="Times New Roman"/>
          <w:b w:val="0"/>
          <w:i w:val="0"/>
          <w:sz w:val="24"/>
        </w:rPr>
        <w:t>Evaluation follows a rigorous protocol: an 80/20 held-out test split, five-fold cross-validation with reported mean and standard deviation, and 200-resample bootstrap 95% confidence intervals on every R-squared value. The framework achieves a cross-validated R-squared of 0.75 on click-through rate, 0.81 on cost-per-click, 0.65 on conversion rate, 0.73 on cost-per-mille, and 0.75 on cost-per-acquisition. The high-CTR classifier achieves an AUC of 0.99 with a Brier score of 0.033, indicating strong discrimination and calibration. The install-quality score model reaches R-squared 0.80.</w:t>
      </w:r>
    </w:p>
    <w:p>
      <w:pPr>
        <w:spacing w:line="360" w:lineRule="auto" w:after="120"/>
        <w:jc w:val="both"/>
      </w:pPr>
      <w:r>
        <w:rPr>
          <w:rFonts w:ascii="Times New Roman" w:hAnsi="Times New Roman"/>
          <w:b w:val="0"/>
          <w:i w:val="0"/>
          <w:sz w:val="24"/>
        </w:rPr>
        <w:t>Ablation analysis reveals that a single HistGradientBoosting model captures nearly all the available signal on this data, and that the LLM-augmented training rows reduce day-one retention generalisation by 5.8 R-squared points. We report this counter-intuitive finding transparently. The contribution of this work lies in the merged dataset that combines public benchmarks with manually-collected Indian competitor data, the joint modelling of fifteen complementary advertisement performance metrics, the explicit reporting of statistical uncertainty rarely seen in similar studies, and the honest disclosure of ablation findings.</w:t>
      </w:r>
    </w:p>
    <w:p>
      <w:pPr>
        <w:spacing w:line="360" w:lineRule="auto" w:after="120"/>
        <w:jc w:val="both"/>
      </w:pPr>
      <w:r>
        <w:rPr>
          <w:rFonts w:ascii="Times New Roman" w:hAnsi="Times New Roman"/>
          <w:b w:val="0"/>
          <w:i w:val="0"/>
          <w:sz w:val="24"/>
        </w:rPr>
        <w:t>Keywords: Click-through-rate prediction, Stacked ensemble, Gradient boosting, Tabular machine learning, Digital advertising, Cross-validation, Bootstrap confidence intervals, Ablation study.</w:t>
      </w:r>
    </w:p>
    <w:p>
      <w:pPr>
        <w:pageBreakBefore/>
        <w:spacing w:before="480" w:after="360"/>
        <w:jc w:val="center"/>
      </w:pPr>
      <w:r>
        <w:rPr>
          <w:rFonts w:ascii="Times New Roman" w:hAnsi="Times New Roman"/>
          <w:b/>
          <w:sz w:val="32"/>
        </w:rPr>
        <w:t>LIST OF FIGURES</w:t>
      </w:r>
    </w:p>
    <w:tbl>
      <w:tblPr>
        <w:tblW w:type="auto" w:w="0"/>
        <w:tblLook w:firstColumn="1" w:firstRow="1" w:lastColumn="0" w:lastRow="0" w:noHBand="0" w:noVBand="1" w:val="04A0"/>
      </w:tblPr>
      <w:tblGrid>
        <w:gridCol w:w="3143"/>
        <w:gridCol w:w="3143"/>
        <w:gridCol w:w="3143"/>
      </w:tblGrid>
      <w:tr>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Figure</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Title</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Page</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6.1</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Test-set R-squared with bootstrap 95% confidence intervals</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6.2</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Permutation feature importance for CTR and D1 retention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6.3</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Predicted vs actual CTR on the held-out test set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6.4</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Reliability diagram for the high-CTR classifier</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Ablation impact across base learners and data slices</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6.6</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Baseline comparison for CTR and D1 retention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bl>
    <w:p>
      <w:pPr>
        <w:pageBreakBefore/>
        <w:spacing w:before="480" w:after="360"/>
        <w:jc w:val="center"/>
      </w:pPr>
      <w:r>
        <w:rPr>
          <w:rFonts w:ascii="Times New Roman" w:hAnsi="Times New Roman"/>
          <w:b/>
          <w:sz w:val="32"/>
        </w:rPr>
        <w:t>LIST OF TABLES</w:t>
      </w:r>
    </w:p>
    <w:tbl>
      <w:tblPr>
        <w:tblW w:type="auto" w:w="0"/>
        <w:tblLook w:firstColumn="1" w:firstRow="1" w:lastColumn="0" w:lastRow="0" w:noHBand="0" w:noVBand="1" w:val="04A0"/>
      </w:tblPr>
      <w:tblGrid>
        <w:gridCol w:w="3143"/>
        <w:gridCol w:w="3143"/>
        <w:gridCol w:w="3143"/>
      </w:tblGrid>
      <w:tr>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Table</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Title</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Page</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4.1</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Data Source Inventory</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4.2</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Sample of Manually Tagged Competitor Ads</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4.3</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Engineered Features Description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6.1</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Performance Summary Across All 15 Prediction Tasks</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6.2</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Model Ablation on CTR Target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6.3</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Model and Data Ablation on D1 Retention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6.4</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Baseline Comparison vs Full Stack</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E.1</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Team Contribution Distribution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bl>
    <w:p>
      <w:pPr>
        <w:pageBreakBefore/>
        <w:spacing w:before="480" w:after="360"/>
        <w:jc w:val="center"/>
      </w:pPr>
      <w:r>
        <w:rPr>
          <w:rFonts w:ascii="Times New Roman" w:hAnsi="Times New Roman"/>
          <w:b/>
          <w:sz w:val="32"/>
        </w:rPr>
        <w:t>LIST OF ABBREVIATIONS</w:t>
      </w:r>
    </w:p>
    <w:tbl>
      <w:tblPr>
        <w:tblW w:type="auto" w:w="0"/>
        <w:tblLook w:firstColumn="1" w:firstRow="1" w:lastColumn="0" w:lastRow="0" w:noHBand="0" w:noVBand="1" w:val="04A0"/>
      </w:tblPr>
      <w:tblGrid>
        <w:gridCol w:w="4714"/>
        <w:gridCol w:w="4714"/>
      </w:tblGrid>
      <w:tr>
        <w:tc>
          <w:tcPr>
            <w:tcW w:type="dxa" w:w="4714"/>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Abbreviation</w:t>
            </w:r>
          </w:p>
        </w:tc>
        <w:tc>
          <w:tcPr>
            <w:tcW w:type="dxa" w:w="4714"/>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Full Form</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ML</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Machine Learning</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CTR</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Click-Through Rate</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CPC</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Cost Per Click</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CPM</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Cost Per Mille (cost per 1,000 impressions)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CPA</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Cost Per Acquisition</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CVR</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Conversion Rate</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ROI</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Return on Investment</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IQS</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Install Quality Score</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D1, D7, D30</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Day-1 / Day-7 / Day-30 Retention</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HGB</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Histogram Gradient Boosting</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LightGBM</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Light Gradient Boosting Machine</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XGBoost</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Extreme Gradient Boosting</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RF</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Random Forest</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CV</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Cross-Validation</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CI</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Confidence Interval</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AUC</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Area Under the ROC Curve</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MAE</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Mean Absolute Error</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RMSE</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Root Mean Square Error</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MAPE</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Mean Absolute Percentage Error</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R²</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Coefficient of Determination</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MMP</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Mobile Measurement Partner</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SDK</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Software Development Kit</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LLM</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Large Language Model</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CTA</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Call-to-Action</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D2C</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Direct-to-Consumer</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INR</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Indian Rupee</w:t>
            </w:r>
          </w:p>
        </w:tc>
      </w:tr>
    </w:tbl>
    <w:p>
      <w:pPr>
        <w:pageBreakBefore/>
        <w:spacing w:before="480" w:after="360"/>
        <w:jc w:val="center"/>
      </w:pPr>
      <w:r>
        <w:rPr>
          <w:rFonts w:ascii="Times New Roman" w:hAnsi="Times New Roman"/>
          <w:b/>
          <w:sz w:val="32"/>
        </w:rPr>
        <w:t>CHAPTER 1: INTRODUCTION</w:t>
      </w:r>
    </w:p>
    <w:p>
      <w:pPr>
        <w:spacing w:line="360" w:lineRule="auto" w:before="240" w:after="120"/>
        <w:jc w:val="left"/>
      </w:pPr>
      <w:r>
        <w:rPr>
          <w:rFonts w:ascii="Times New Roman" w:hAnsi="Times New Roman"/>
          <w:b/>
          <w:i w:val="0"/>
          <w:sz w:val="28"/>
        </w:rPr>
        <w:t>1.1 Background</w:t>
      </w:r>
    </w:p>
    <w:p>
      <w:pPr>
        <w:spacing w:line="360" w:lineRule="auto" w:after="120"/>
        <w:jc w:val="both"/>
      </w:pPr>
      <w:r>
        <w:rPr>
          <w:rFonts w:ascii="Times New Roman" w:hAnsi="Times New Roman"/>
          <w:b w:val="0"/>
          <w:i w:val="0"/>
          <w:sz w:val="24"/>
        </w:rPr>
        <w:t>Digital advertising in India has grown substantially over the past decade, with annual spend measured in the tens of thousands of crores of rupees. The ecosystem is dominated by two primary platforms - Meta (Facebook and Instagram) and Google (Search, YouTube, Display Network) - with a long tail of smaller platforms such as Twitter, Pinterest, and various regional networks. Direct-to-consumer (D2C) brands, particularly in personal care, parenting, food, and edtech, allocate the majority of their marketing budgets to paid social and search campaigns.</w:t>
      </w:r>
    </w:p>
    <w:p>
      <w:pPr>
        <w:spacing w:line="360" w:lineRule="auto" w:after="120"/>
        <w:jc w:val="both"/>
      </w:pPr>
      <w:r>
        <w:rPr>
          <w:rFonts w:ascii="Times New Roman" w:hAnsi="Times New Roman"/>
          <w:b w:val="0"/>
          <w:i w:val="0"/>
          <w:sz w:val="24"/>
        </w:rPr>
        <w:t>Execution of digital advertising at small and medium D2C brands typically falls to performance-marketing teams of 2-4 people. These teams operate under tight constraints. They build advertisement creatives - often with the help of agencies or in-house designers - and launch multiple variants simultaneously on each platform. They monitor performance via vendor dashboards (Meta Ads Manager, Google Ads, third-party analytics tools), and they make decisions about which advertisements to scale, which to pause, and which to iterate on, often within a few days of launch.</w:t>
      </w:r>
    </w:p>
    <w:p>
      <w:pPr>
        <w:spacing w:line="360" w:lineRule="auto" w:after="120"/>
        <w:jc w:val="both"/>
      </w:pPr>
      <w:r>
        <w:rPr>
          <w:rFonts w:ascii="Times New Roman" w:hAnsi="Times New Roman"/>
          <w:b w:val="0"/>
          <w:i w:val="0"/>
          <w:sz w:val="24"/>
        </w:rPr>
        <w:t>The fundamental challenge faced by these teams is information scarcity at the decision point. When a campaign is being planned, there is no reliable way to predict which of several candidate creatives will perform well. Vendor dashboards provide historical benchmarks - for example, the average cost-per-click in a category - but these benchmarks are too coarse to guide creative-level decisions. Industry experience suggests that creative attributes such as the dominant theme (testimonial, discount, expert claim, emotional story), the call-to-action wording, the language and regional tone, and the visual format (image, carousel, short-form video) all significantly influence performance, but these attributes are typically not encoded in any quantitative form during the planning phase.</w:t>
      </w:r>
    </w:p>
    <w:p>
      <w:pPr>
        <w:spacing w:line="360" w:lineRule="auto" w:after="120"/>
        <w:jc w:val="both"/>
      </w:pPr>
      <w:r>
        <w:rPr>
          <w:rFonts w:ascii="Times New Roman" w:hAnsi="Times New Roman"/>
          <w:b w:val="0"/>
          <w:i w:val="0"/>
          <w:sz w:val="24"/>
        </w:rPr>
        <w:t>Academic research has historically focused on the click-through-rate prediction problem at industrial scale, primarily for the purpose of real-time bidding in advertisement auctions. The most widely cited public benchmarks - the Criteo dataset and the Avazu dataset - contain anonymised, hashed feature vectors that represent each advertisement request. While these benchmarks have driven substantial progress in factorisation machines, field-aware factorisation machines, and deep cross networks, they share a common limitation: the categorical fields are hashed, which discards human-interpretable information about the creative content.</w:t>
      </w:r>
    </w:p>
    <w:p>
      <w:pPr>
        <w:spacing w:line="360" w:lineRule="auto" w:before="240" w:after="120"/>
        <w:jc w:val="left"/>
      </w:pPr>
      <w:r>
        <w:rPr>
          <w:rFonts w:ascii="Times New Roman" w:hAnsi="Times New Roman"/>
          <w:b/>
          <w:i w:val="0"/>
          <w:sz w:val="28"/>
        </w:rPr>
        <w:t>1.2 Motivation</w:t>
      </w:r>
    </w:p>
    <w:p>
      <w:pPr>
        <w:spacing w:line="360" w:lineRule="auto" w:after="120"/>
        <w:jc w:val="both"/>
      </w:pPr>
      <w:r>
        <w:rPr>
          <w:rFonts w:ascii="Times New Roman" w:hAnsi="Times New Roman"/>
          <w:b w:val="0"/>
          <w:i w:val="0"/>
          <w:sz w:val="24"/>
        </w:rPr>
        <w:t>The motivation for this project arose from a recurring observation in conversations with marketing practitioners at Indian D2C brands. A small marketing team launches a campaign with a budget of several lakhs of rupees, typically allocated across four to six creative variants. The team monitors dashboards for two to four days, then makes a decision to pause underperforming creatives and concentrate budget on the survivors. By the time this decision is made, a significant fraction of the campaign budget - often 30 to 40 percent - has already been spent on the underperformers.</w:t>
      </w:r>
    </w:p>
    <w:p>
      <w:pPr>
        <w:spacing w:line="360" w:lineRule="auto" w:after="120"/>
        <w:jc w:val="both"/>
      </w:pPr>
      <w:r>
        <w:rPr>
          <w:rFonts w:ascii="Times New Roman" w:hAnsi="Times New Roman"/>
          <w:b w:val="0"/>
          <w:i w:val="0"/>
          <w:sz w:val="24"/>
        </w:rPr>
        <w:t>A representative scenario: a direct-to-consumer baby-care brand has INR 8 lakh allocated to a Diwali-period campaign. The marketing team builds five creatives over a weekend - a mix of testimonial-led videos, discount-led carousels, and a single emotionally-led short film. All five are launched on Monday morning across Meta and Google. By Wednesday evening, three of the creatives are below the team's internal click-through-rate threshold, having each spent approximately INR 80,000. These three are paused. The remaining two are scaled with the residual budget. The total spend on the failed creatives is approximately INR 2.4 lakh - an amount that, had it been re-allocated to the winning creatives from the start, would have funded an entirely additional campaign cycle.</w:t>
      </w:r>
    </w:p>
    <w:p>
      <w:pPr>
        <w:spacing w:line="360" w:lineRule="auto" w:after="120"/>
        <w:jc w:val="both"/>
      </w:pPr>
      <w:r>
        <w:rPr>
          <w:rFonts w:ascii="Times New Roman" w:hAnsi="Times New Roman"/>
          <w:b w:val="0"/>
          <w:i w:val="0"/>
          <w:sz w:val="24"/>
        </w:rPr>
        <w:t>Our motivation, therefore, is to develop a machine learning system that can predict the likely performance of an advertisement before it is launched, using only attributes that are knowable at the planning stage. If such a system can predict performance with even moderate accuracy, it represents a useful tool for performance-marketing teams to allocate their initial budget more efficiently.</w:t>
      </w:r>
    </w:p>
    <w:p>
      <w:pPr>
        <w:spacing w:line="360" w:lineRule="auto" w:before="240" w:after="120"/>
        <w:jc w:val="left"/>
      </w:pPr>
      <w:r>
        <w:rPr>
          <w:rFonts w:ascii="Times New Roman" w:hAnsi="Times New Roman"/>
          <w:b/>
          <w:i w:val="0"/>
          <w:sz w:val="28"/>
        </w:rPr>
        <w:t>1.3 Problem Statement</w:t>
      </w:r>
    </w:p>
    <w:p>
      <w:pPr>
        <w:spacing w:line="360" w:lineRule="auto" w:after="120"/>
        <w:jc w:val="both"/>
      </w:pPr>
      <w:r>
        <w:rPr>
          <w:rFonts w:ascii="Times New Roman" w:hAnsi="Times New Roman"/>
          <w:b w:val="0"/>
          <w:i w:val="0"/>
          <w:sz w:val="24"/>
        </w:rPr>
        <w:t>Given an advertisement description consisting of a fixed set of attributes - brand, platform, format, creative theme, call-to-action, audience segment, language, and planned spend - the problem is to predict, with quantified uncertainty, a range of performance indicators including click-through rate, cost-per-click, conversion rate, return on investment, cost-per-mille, cost-per-acquisition, engagement score, the probability of being a top-quartile performer, and post-install retention metrics. Each prediction must be accompanied by a measure of statistical uncertainty.</w:t>
      </w:r>
    </w:p>
    <w:p>
      <w:pPr>
        <w:spacing w:line="360" w:lineRule="auto" w:before="240" w:after="120"/>
        <w:jc w:val="left"/>
      </w:pPr>
      <w:r>
        <w:rPr>
          <w:rFonts w:ascii="Times New Roman" w:hAnsi="Times New Roman"/>
          <w:b/>
          <w:i w:val="0"/>
          <w:sz w:val="28"/>
        </w:rPr>
        <w:t>1.4 Objectives</w:t>
      </w:r>
    </w:p>
    <w:p>
      <w:pPr>
        <w:spacing w:line="336" w:lineRule="auto" w:after="80"/>
        <w:ind w:left="454" w:hanging="283"/>
      </w:pPr>
      <w:r>
        <w:rPr>
          <w:rFonts w:ascii="Times New Roman" w:hAnsi="Times New Roman"/>
          <w:sz w:val="24"/>
        </w:rPr>
        <w:t>•  To assemble a unified training dataset by combining nine publicly available Kaggle datasets covering real digital advertising campaigns.</w:t>
      </w:r>
    </w:p>
    <w:p>
      <w:pPr>
        <w:spacing w:line="336" w:lineRule="auto" w:after="80"/>
        <w:ind w:left="454" w:hanging="283"/>
      </w:pPr>
      <w:r>
        <w:rPr>
          <w:rFonts w:ascii="Times New Roman" w:hAnsi="Times New Roman"/>
          <w:sz w:val="24"/>
        </w:rPr>
        <w:t>•  To collect and manually tag an original dataset of 120 competitor advertisements from the Meta Ad Library and the Google Ads Transparency Center, covering 20 Indian brands across baby-care, parenting, and edtech categories.</w:t>
      </w:r>
    </w:p>
    <w:p>
      <w:pPr>
        <w:spacing w:line="336" w:lineRule="auto" w:after="80"/>
        <w:ind w:left="454" w:hanging="283"/>
      </w:pPr>
      <w:r>
        <w:rPr>
          <w:rFonts w:ascii="Times New Roman" w:hAnsi="Times New Roman"/>
          <w:sz w:val="24"/>
        </w:rPr>
        <w:t>•  To design a data harmonisation pipeline that unifies the differing schemas of six independent Kaggle vendors into a single canonical 12-column table.</w:t>
      </w:r>
    </w:p>
    <w:p>
      <w:pPr>
        <w:spacing w:line="336" w:lineRule="auto" w:after="80"/>
        <w:ind w:left="454" w:hanging="283"/>
      </w:pPr>
      <w:r>
        <w:rPr>
          <w:rFonts w:ascii="Times New Roman" w:hAnsi="Times New Roman"/>
          <w:sz w:val="24"/>
        </w:rPr>
        <w:t>•  To engineer eight derived features that address long-tailed distributions, cross-vendor scale heterogeneity, and target-leakage risks.</w:t>
      </w:r>
    </w:p>
    <w:p>
      <w:pPr>
        <w:spacing w:line="336" w:lineRule="auto" w:after="80"/>
        <w:ind w:left="454" w:hanging="283"/>
      </w:pPr>
      <w:r>
        <w:rPr>
          <w:rFonts w:ascii="Times New Roman" w:hAnsi="Times New Roman"/>
          <w:sz w:val="24"/>
        </w:rPr>
        <w:t>•  To train a four-model stacked ensemble for fifteen prediction targets.</w:t>
      </w:r>
    </w:p>
    <w:p>
      <w:pPr>
        <w:spacing w:line="336" w:lineRule="auto" w:after="80"/>
        <w:ind w:left="454" w:hanging="283"/>
      </w:pPr>
      <w:r>
        <w:rPr>
          <w:rFonts w:ascii="Times New Roman" w:hAnsi="Times New Roman"/>
          <w:sz w:val="24"/>
        </w:rPr>
        <w:t>•  To evaluate the framework using a rigorous statistical protocol comprising a held-out 20% test split, five-fold cross-validation, and 200-resample bootstrap 95% confidence intervals.</w:t>
      </w:r>
    </w:p>
    <w:p>
      <w:pPr>
        <w:spacing w:line="336" w:lineRule="auto" w:after="80"/>
        <w:ind w:left="454" w:hanging="283"/>
      </w:pPr>
      <w:r>
        <w:rPr>
          <w:rFonts w:ascii="Times New Roman" w:hAnsi="Times New Roman"/>
          <w:sz w:val="24"/>
        </w:rPr>
        <w:t>•  To conduct an ablation study quantifying the contribution of each base learner and of the LLM-augmented training rows.</w:t>
      </w:r>
    </w:p>
    <w:p>
      <w:pPr>
        <w:spacing w:line="336" w:lineRule="auto" w:after="80"/>
        <w:ind w:left="454" w:hanging="283"/>
      </w:pPr>
      <w:r>
        <w:rPr>
          <w:rFonts w:ascii="Times New Roman" w:hAnsi="Times New Roman"/>
          <w:sz w:val="24"/>
        </w:rPr>
        <w:t>•  To compare the stacked ensemble against five baselines including predict-the-mean, linear regression, Ridge regression, single HistGradientBoosting, and single XGBoost.</w:t>
      </w:r>
    </w:p>
    <w:p>
      <w:pPr>
        <w:spacing w:line="360" w:lineRule="auto" w:before="240" w:after="120"/>
        <w:jc w:val="left"/>
      </w:pPr>
      <w:r>
        <w:rPr>
          <w:rFonts w:ascii="Times New Roman" w:hAnsi="Times New Roman"/>
          <w:b/>
          <w:i w:val="0"/>
          <w:sz w:val="28"/>
        </w:rPr>
        <w:t>1.5 Scope and Limitations</w:t>
      </w:r>
    </w:p>
    <w:p>
      <w:pPr>
        <w:spacing w:line="360" w:lineRule="auto" w:after="120"/>
        <w:jc w:val="both"/>
      </w:pPr>
      <w:r>
        <w:rPr>
          <w:rFonts w:ascii="Times New Roman" w:hAnsi="Times New Roman"/>
          <w:b w:val="0"/>
          <w:i w:val="0"/>
          <w:sz w:val="24"/>
        </w:rPr>
        <w:t>The scope is constrained in four ways. First, the manual tagging exercise covers only 120 advertisements across 20 brands, sufficient to diversify the categorical feature space but insufficient for brand-level inference. Second, the post-install retention targets are partially synthetic, filled by a heuristic linking creative attributes to retention outcomes. Third, the project focuses on the Indian D2C market in baby-care, parenting, and edtech categories; the model's accuracy on advertisements from other geographic markets or categories is not evaluated. Fourth, the project does not include a deployment system; the trained model is released as a research prototype.</w:t>
      </w:r>
    </w:p>
    <w:p>
      <w:pPr>
        <w:spacing w:line="360" w:lineRule="auto" w:before="240" w:after="120"/>
        <w:jc w:val="left"/>
      </w:pPr>
      <w:r>
        <w:rPr>
          <w:rFonts w:ascii="Times New Roman" w:hAnsi="Times New Roman"/>
          <w:b/>
          <w:i w:val="0"/>
          <w:sz w:val="28"/>
        </w:rPr>
        <w:t>1.6 Organisation of the Report</w:t>
      </w:r>
    </w:p>
    <w:p>
      <w:pPr>
        <w:spacing w:line="360" w:lineRule="auto" w:after="120"/>
        <w:jc w:val="both"/>
      </w:pPr>
      <w:r>
        <w:rPr>
          <w:rFonts w:ascii="Times New Roman" w:hAnsi="Times New Roman"/>
          <w:b w:val="0"/>
          <w:i w:val="0"/>
          <w:sz w:val="24"/>
        </w:rPr>
        <w:t>Chapter 2 reviews relevant literature in click-through-rate prediction, post-install retention modelling, and stacked ensemble methods. Chapter 3 describes the system analysis and design. Chapter 4 details the methodology. Chapter 5 walks through the implementation. Chapter 6 presents results across all fifteen prediction tasks including ablation and baseline analyses. Chapter 7 documents testing and validation procedures. Chapter 8 concludes with a summary of contributions, limitations, and future work.</w:t>
      </w:r>
    </w:p>
    <w:p>
      <w:pPr>
        <w:pageBreakBefore/>
        <w:spacing w:before="480" w:after="360"/>
        <w:jc w:val="center"/>
      </w:pPr>
      <w:r>
        <w:rPr>
          <w:rFonts w:ascii="Times New Roman" w:hAnsi="Times New Roman"/>
          <w:b/>
          <w:sz w:val="32"/>
        </w:rPr>
        <w:t>CHAPTER 2: LITERATURE REVIEW</w:t>
      </w:r>
    </w:p>
    <w:p>
      <w:pPr>
        <w:spacing w:line="360" w:lineRule="auto" w:before="240" w:after="120"/>
        <w:jc w:val="left"/>
      </w:pPr>
      <w:r>
        <w:rPr>
          <w:rFonts w:ascii="Times New Roman" w:hAnsi="Times New Roman"/>
          <w:b/>
          <w:i w:val="0"/>
          <w:sz w:val="28"/>
        </w:rPr>
        <w:t>2.1 Evolution of Click-Through-Rate Prediction</w:t>
      </w:r>
    </w:p>
    <w:p>
      <w:pPr>
        <w:spacing w:line="360" w:lineRule="auto" w:after="120"/>
        <w:jc w:val="both"/>
      </w:pPr>
      <w:r>
        <w:rPr>
          <w:rFonts w:ascii="Times New Roman" w:hAnsi="Times New Roman"/>
          <w:b w:val="0"/>
          <w:i w:val="0"/>
          <w:sz w:val="24"/>
        </w:rPr>
        <w:t>The problem of predicting whether a user will click on a digital advertisement has been studied for over two decades. Early production systems at search engines and display advertising networks framed the task as binary classification over very high-dimensional sparse categorical features, where each feature represented an interaction between the advertisement, the user, and the page context. The dominant algorithm during the late 2000s was logistic regression, often combined with hashing tricks to fit the feature space into manageable memory.</w:t>
      </w:r>
    </w:p>
    <w:p>
      <w:pPr>
        <w:spacing w:line="360" w:lineRule="auto" w:after="120"/>
        <w:jc w:val="both"/>
      </w:pPr>
      <w:r>
        <w:rPr>
          <w:rFonts w:ascii="Times New Roman" w:hAnsi="Times New Roman"/>
          <w:b w:val="0"/>
          <w:i w:val="0"/>
          <w:sz w:val="24"/>
        </w:rPr>
        <w:t>The transition away from pure logistic regression began around 2010 with the introduction of factorisation machines, which extended the linear model by learning low-dimensional embeddings for each categorical value. This allowed the model to capture interactions between features without explicitly enumerating every pairwise combination. Field-aware factorisation machines, introduced in 2016, refined this approach further by learning separate embeddings for each pair of feature fields.</w:t>
      </w:r>
    </w:p>
    <w:p>
      <w:pPr>
        <w:spacing w:line="360" w:lineRule="auto" w:after="120"/>
        <w:jc w:val="both"/>
      </w:pPr>
      <w:r>
        <w:rPr>
          <w:rFonts w:ascii="Times New Roman" w:hAnsi="Times New Roman"/>
          <w:b w:val="0"/>
          <w:i w:val="0"/>
          <w:sz w:val="24"/>
        </w:rPr>
        <w:t>The deep learning era of click-through-rate prediction began around 2016 with the introduction of wide-and-deep networks, which combined a linear model with a deep neural network in a joint training framework. This was followed by deep cross networks, which automatically learned high-order feature interactions, and various attention-based architectures. Industrial deployments at large advertising platforms now routinely use deep models with hundreds of millions of parameters.</w:t>
      </w:r>
    </w:p>
    <w:p>
      <w:pPr>
        <w:spacing w:line="360" w:lineRule="auto" w:before="240" w:after="120"/>
        <w:jc w:val="left"/>
      </w:pPr>
      <w:r>
        <w:rPr>
          <w:rFonts w:ascii="Times New Roman" w:hAnsi="Times New Roman"/>
          <w:b/>
          <w:i w:val="0"/>
          <w:sz w:val="28"/>
        </w:rPr>
        <w:t>2.2 Public Benchmarks and Their Limitations</w:t>
      </w:r>
    </w:p>
    <w:p>
      <w:pPr>
        <w:spacing w:line="360" w:lineRule="auto" w:after="120"/>
        <w:jc w:val="both"/>
      </w:pPr>
      <w:r>
        <w:rPr>
          <w:rFonts w:ascii="Times New Roman" w:hAnsi="Times New Roman"/>
          <w:b w:val="0"/>
          <w:i w:val="0"/>
          <w:sz w:val="24"/>
        </w:rPr>
        <w:t>The Criteo and Avazu datasets share a common design philosophy that prioritises scalability and privacy over interpretability. Each row represents a single advertisement impression, with the target variable being a binary indicator of whether the user clicked. The feature columns are anonymised: numerical features are aggregated counts or timestamps with no associated semantics, and categorical features are mapped to opaque integer identifiers via a hashing function. While this design protects user privacy, it has the side effect of making the datasets unusable for any research question involving the actual content of the advertisement.</w:t>
      </w:r>
    </w:p>
    <w:p>
      <w:pPr>
        <w:spacing w:line="360" w:lineRule="auto" w:after="120"/>
        <w:jc w:val="both"/>
      </w:pPr>
      <w:r>
        <w:rPr>
          <w:rFonts w:ascii="Times New Roman" w:hAnsi="Times New Roman"/>
          <w:b w:val="0"/>
          <w:i w:val="0"/>
          <w:sz w:val="24"/>
        </w:rPr>
        <w:t>For the use case targeted by this project - helping small marketing teams make creative-level decisions before launch - the Criteo and Avazu datasets provide no useful signal. A model trained on these datasets cannot answer questions such as “will a testimonial-led video outperform a discount-led carousel?” because the underlying data does not contain the labels needed to formulate such questions.</w:t>
      </w:r>
    </w:p>
    <w:p>
      <w:pPr>
        <w:spacing w:line="360" w:lineRule="auto" w:before="240" w:after="120"/>
        <w:jc w:val="left"/>
      </w:pPr>
      <w:r>
        <w:rPr>
          <w:rFonts w:ascii="Times New Roman" w:hAnsi="Times New Roman"/>
          <w:b/>
          <w:i w:val="0"/>
          <w:sz w:val="28"/>
        </w:rPr>
        <w:t>2.3 Gradient-Boosted Trees on Tabular Data</w:t>
      </w:r>
    </w:p>
    <w:p>
      <w:pPr>
        <w:spacing w:line="360" w:lineRule="auto" w:after="120"/>
        <w:jc w:val="both"/>
      </w:pPr>
      <w:r>
        <w:rPr>
          <w:rFonts w:ascii="Times New Roman" w:hAnsi="Times New Roman"/>
          <w:b w:val="0"/>
          <w:i w:val="0"/>
          <w:sz w:val="24"/>
        </w:rPr>
        <w:t>The selection of algorithm for a tabular prediction problem of moderate size is, in current practice, almost always a gradient-boosted decision tree variant. The theoretical foundations were laid by Friedman in 2001. XGBoost, introduced in 2016, added second-order gradient information to the splitting criterion, introduced regularisation terms, and provided efficient algorithms for sparse data. LightGBM, introduced in 2017, used histogram-based splitting and leaf-wise tree growth, both of which substantially improved training speed without sacrificing accuracy. HistGradientBoosting in scikit-learn adopted similar histogram-based ideas and has the advantage of native handling of missing values.</w:t>
      </w:r>
    </w:p>
    <w:p>
      <w:pPr>
        <w:spacing w:line="360" w:lineRule="auto" w:after="120"/>
        <w:jc w:val="both"/>
      </w:pPr>
      <w:r>
        <w:rPr>
          <w:rFonts w:ascii="Times New Roman" w:hAnsi="Times New Roman"/>
          <w:b w:val="0"/>
          <w:i w:val="0"/>
          <w:sz w:val="24"/>
        </w:rPr>
        <w:t>Empirical studies consistently find that gradient-boosted tree models outperform neural networks on tabular data when the dataset size is in the range of 10,000 to 1,000,000 rows. The crossover point at which neural networks become competitive is generally above 1 million rows. For our project, with a unified training set of approximately 21,643 rows, gradient-boosted trees are the appropriate algorithmic family.</w:t>
      </w:r>
    </w:p>
    <w:p>
      <w:pPr>
        <w:spacing w:line="360" w:lineRule="auto" w:before="240" w:after="120"/>
        <w:jc w:val="left"/>
      </w:pPr>
      <w:r>
        <w:rPr>
          <w:rFonts w:ascii="Times New Roman" w:hAnsi="Times New Roman"/>
          <w:b/>
          <w:i w:val="0"/>
          <w:sz w:val="28"/>
        </w:rPr>
        <w:t>2.4 Stacking Ensembles</w:t>
      </w:r>
    </w:p>
    <w:p>
      <w:pPr>
        <w:spacing w:line="360" w:lineRule="auto" w:after="120"/>
        <w:jc w:val="both"/>
      </w:pPr>
      <w:r>
        <w:rPr>
          <w:rFonts w:ascii="Times New Roman" w:hAnsi="Times New Roman"/>
          <w:b w:val="0"/>
          <w:i w:val="0"/>
          <w:sz w:val="24"/>
        </w:rPr>
        <w:t>Stacking, also known as stacked generalisation, is a meta-learning technique in which the predictions of several base models are combined by a second-level model trained on the held-out predictions of the first level. The technique was originally proposed by Wolpert in 1992. The practical implementation in modern machine learning libraries uses k-fold cross-validation to generate out-of-fold predictions for each base model. These out-of-fold predictions form the training input for the meta-learner, which is typically a simple linear model such as Ridge regression.</w:t>
      </w:r>
    </w:p>
    <w:p>
      <w:pPr>
        <w:spacing w:line="360" w:lineRule="auto" w:before="240" w:after="120"/>
        <w:jc w:val="left"/>
      </w:pPr>
      <w:r>
        <w:rPr>
          <w:rFonts w:ascii="Times New Roman" w:hAnsi="Times New Roman"/>
          <w:b/>
          <w:i w:val="0"/>
          <w:sz w:val="28"/>
        </w:rPr>
        <w:t>2.5 Post-Install Retention and MMP Systems</w:t>
      </w:r>
    </w:p>
    <w:p>
      <w:pPr>
        <w:spacing w:line="360" w:lineRule="auto" w:after="120"/>
        <w:jc w:val="both"/>
      </w:pPr>
      <w:r>
        <w:rPr>
          <w:rFonts w:ascii="Times New Roman" w:hAnsi="Times New Roman"/>
          <w:b w:val="0"/>
          <w:i w:val="0"/>
          <w:sz w:val="24"/>
        </w:rPr>
        <w:t>Mobile measurement partners (MMPs) operate as third-party attribution services that record events occurring within installed mobile applications. The most widely deployed MMPs are AppsFlyer, Adjust, Branch, and Singular. The SDK records events at fixed time windows after install: day-1 retention, day-7 retention, day-30 retention, in-app purchase events, subscription renewals. Public datasets at the advertisement level for post-install retention are extremely rare, primarily because the underlying data is commercially sensitive.</w:t>
      </w:r>
    </w:p>
    <w:p>
      <w:pPr>
        <w:spacing w:line="360" w:lineRule="auto" w:before="240" w:after="120"/>
        <w:jc w:val="left"/>
      </w:pPr>
      <w:r>
        <w:rPr>
          <w:rFonts w:ascii="Times New Roman" w:hAnsi="Times New Roman"/>
          <w:b/>
          <w:i w:val="0"/>
          <w:sz w:val="28"/>
        </w:rPr>
        <w:t>2.6 Research Gap</w:t>
      </w:r>
    </w:p>
    <w:p>
      <w:pPr>
        <w:spacing w:line="360" w:lineRule="auto" w:after="120"/>
        <w:jc w:val="both"/>
      </w:pPr>
      <w:r>
        <w:rPr>
          <w:rFonts w:ascii="Times New Roman" w:hAnsi="Times New Roman"/>
          <w:b w:val="0"/>
          <w:i w:val="0"/>
          <w:sz w:val="24"/>
        </w:rPr>
        <w:t>Existing public benchmarks for click-through-rate prediction discard the creative content of advertisements, rendering them unable to support content-aware modelling. Industrial systems for post-install retention prediction operate on proprietary data. The result is that small marketing teams lack practical tools for making informed creative-level decisions before launching campaigns. Our contribution is to construct a hybrid training dataset that combines multiple public sources with original manual tagging of competitor advertisements, train a single multi-target model that jointly predicts fifteen complementary performance indicators, and evaluate the result with statistical rigour exceeding that of most comparable studies.</w:t>
      </w:r>
    </w:p>
    <w:p>
      <w:pPr>
        <w:pageBreakBefore/>
        <w:spacing w:before="480" w:after="360"/>
        <w:jc w:val="center"/>
      </w:pPr>
      <w:r>
        <w:rPr>
          <w:rFonts w:ascii="Times New Roman" w:hAnsi="Times New Roman"/>
          <w:b/>
          <w:sz w:val="32"/>
        </w:rPr>
        <w:t>CHAPTER 3: SYSTEM ANALYSIS AND DESIGN</w:t>
      </w:r>
    </w:p>
    <w:p>
      <w:pPr>
        <w:spacing w:line="360" w:lineRule="auto" w:before="240" w:after="120"/>
        <w:jc w:val="left"/>
      </w:pPr>
      <w:r>
        <w:rPr>
          <w:rFonts w:ascii="Times New Roman" w:hAnsi="Times New Roman"/>
          <w:b/>
          <w:i w:val="0"/>
          <w:sz w:val="28"/>
        </w:rPr>
        <w:t>3.1 Functional Requirements</w:t>
      </w:r>
    </w:p>
    <w:p>
      <w:pPr>
        <w:spacing w:line="336" w:lineRule="auto" w:after="80"/>
        <w:ind w:left="454" w:hanging="283"/>
      </w:pPr>
      <w:r>
        <w:rPr>
          <w:rFonts w:ascii="Times New Roman" w:hAnsi="Times New Roman"/>
          <w:sz w:val="24"/>
        </w:rPr>
        <w:t>•  Accept an advertisement description consisting of eleven attributes: brand, platform, format, creative theme, call-to-action, audience segment, language, two binary flags (has_offer and has_expert), an impression count, and a planned spend.</w:t>
      </w:r>
    </w:p>
    <w:p>
      <w:pPr>
        <w:spacing w:line="336" w:lineRule="auto" w:after="80"/>
        <w:ind w:left="454" w:hanging="283"/>
      </w:pPr>
      <w:r>
        <w:rPr>
          <w:rFonts w:ascii="Times New Roman" w:hAnsi="Times New Roman"/>
          <w:sz w:val="24"/>
        </w:rPr>
        <w:t>•  Produce fifteen predictions: seven regression outputs, three classifier outputs, and five retention-quality outputs.</w:t>
      </w:r>
    </w:p>
    <w:p>
      <w:pPr>
        <w:spacing w:line="336" w:lineRule="auto" w:after="80"/>
        <w:ind w:left="454" w:hanging="283"/>
      </w:pPr>
      <w:r>
        <w:rPr>
          <w:rFonts w:ascii="Times New Roman" w:hAnsi="Times New Roman"/>
          <w:sz w:val="24"/>
        </w:rPr>
        <w:t>•  Accompany every regression prediction with a 95% confidence interval.</w:t>
      </w:r>
    </w:p>
    <w:p>
      <w:pPr>
        <w:spacing w:line="336" w:lineRule="auto" w:after="80"/>
        <w:ind w:left="454" w:hanging="283"/>
      </w:pPr>
      <w:r>
        <w:rPr>
          <w:rFonts w:ascii="Times New Roman" w:hAnsi="Times New Roman"/>
          <w:sz w:val="24"/>
        </w:rPr>
        <w:t>•  Provide feature importance information so users can understand which inputs drove a given prediction.</w:t>
      </w:r>
    </w:p>
    <w:p>
      <w:pPr>
        <w:spacing w:line="336" w:lineRule="auto" w:after="80"/>
        <w:ind w:left="454" w:hanging="283"/>
      </w:pPr>
      <w:r>
        <w:rPr>
          <w:rFonts w:ascii="Times New Roman" w:hAnsi="Times New Roman"/>
          <w:sz w:val="24"/>
        </w:rPr>
        <w:t>•  Generate evaluation reports including cross-validation scores, ablation findings, and baseline comparisons.</w:t>
      </w:r>
    </w:p>
    <w:p>
      <w:pPr>
        <w:spacing w:line="336" w:lineRule="auto" w:after="80"/>
        <w:ind w:left="454" w:hanging="283"/>
      </w:pPr>
      <w:r>
        <w:rPr>
          <w:rFonts w:ascii="Times New Roman" w:hAnsi="Times New Roman"/>
          <w:sz w:val="24"/>
        </w:rPr>
        <w:t>•  Persist the trained model and reload it for inference in under one second.</w:t>
      </w:r>
    </w:p>
    <w:p>
      <w:pPr>
        <w:spacing w:line="336" w:lineRule="auto" w:after="80"/>
        <w:ind w:left="454" w:hanging="283"/>
      </w:pPr>
      <w:r>
        <w:rPr>
          <w:rFonts w:ascii="Times New Roman" w:hAnsi="Times New Roman"/>
          <w:sz w:val="24"/>
        </w:rPr>
        <w:t>•  Be fully reproducible: a third party with the source datasets and codebase must be able to reproduce the reported numbers to within bootstrap noise.</w:t>
      </w:r>
    </w:p>
    <w:p>
      <w:pPr>
        <w:spacing w:line="360" w:lineRule="auto" w:before="240" w:after="120"/>
        <w:jc w:val="left"/>
      </w:pPr>
      <w:r>
        <w:rPr>
          <w:rFonts w:ascii="Times New Roman" w:hAnsi="Times New Roman"/>
          <w:b/>
          <w:i w:val="0"/>
          <w:sz w:val="28"/>
        </w:rPr>
        <w:t>3.2 Non-Functional Requirements</w:t>
      </w:r>
    </w:p>
    <w:p>
      <w:pPr>
        <w:spacing w:line="336" w:lineRule="auto" w:after="80"/>
        <w:ind w:left="454" w:hanging="283"/>
      </w:pPr>
      <w:r>
        <w:rPr>
          <w:rFonts w:ascii="Times New Roman" w:hAnsi="Times New Roman"/>
          <w:sz w:val="24"/>
        </w:rPr>
        <w:t>•  Training time on a standard developer laptop must not exceed five minutes.</w:t>
      </w:r>
    </w:p>
    <w:p>
      <w:pPr>
        <w:spacing w:line="336" w:lineRule="auto" w:after="80"/>
        <w:ind w:left="454" w:hanging="283"/>
      </w:pPr>
      <w:r>
        <w:rPr>
          <w:rFonts w:ascii="Times New Roman" w:hAnsi="Times New Roman"/>
          <w:sz w:val="24"/>
        </w:rPr>
        <w:t>•  Inference time per advertisement must not exceed one second.</w:t>
      </w:r>
    </w:p>
    <w:p>
      <w:pPr>
        <w:spacing w:line="336" w:lineRule="auto" w:after="80"/>
        <w:ind w:left="454" w:hanging="283"/>
      </w:pPr>
      <w:r>
        <w:rPr>
          <w:rFonts w:ascii="Times New Roman" w:hAnsi="Times New Roman"/>
          <w:sz w:val="24"/>
        </w:rPr>
        <w:t>•  Memory footprint during training must not exceed 8 GB.</w:t>
      </w:r>
    </w:p>
    <w:p>
      <w:pPr>
        <w:spacing w:line="336" w:lineRule="auto" w:after="80"/>
        <w:ind w:left="454" w:hanging="283"/>
      </w:pPr>
      <w:r>
        <w:rPr>
          <w:rFonts w:ascii="Times New Roman" w:hAnsi="Times New Roman"/>
          <w:sz w:val="24"/>
        </w:rPr>
        <w:t>•  All dependencies must be open-source and installable from public package indices.</w:t>
      </w:r>
    </w:p>
    <w:p>
      <w:pPr>
        <w:spacing w:line="336" w:lineRule="auto" w:after="80"/>
        <w:ind w:left="454" w:hanging="283"/>
      </w:pPr>
      <w:r>
        <w:rPr>
          <w:rFonts w:ascii="Times New Roman" w:hAnsi="Times New Roman"/>
          <w:sz w:val="24"/>
        </w:rPr>
        <w:t>•  Code style must follow PEP-8 conventions with docstrings on public functions.</w:t>
      </w:r>
    </w:p>
    <w:p>
      <w:pPr>
        <w:spacing w:line="336" w:lineRule="auto" w:after="80"/>
        <w:ind w:left="454" w:hanging="283"/>
      </w:pPr>
      <w:r>
        <w:rPr>
          <w:rFonts w:ascii="Times New Roman" w:hAnsi="Times New Roman"/>
          <w:sz w:val="24"/>
        </w:rPr>
        <w:t>•  All randomness must be seeded for reproducibility.</w:t>
      </w:r>
    </w:p>
    <w:p>
      <w:pPr>
        <w:spacing w:line="360" w:lineRule="auto" w:before="240" w:after="120"/>
        <w:jc w:val="left"/>
      </w:pPr>
      <w:r>
        <w:rPr>
          <w:rFonts w:ascii="Times New Roman" w:hAnsi="Times New Roman"/>
          <w:b/>
          <w:i w:val="0"/>
          <w:sz w:val="28"/>
        </w:rPr>
        <w:t>3.3 System Architecture</w:t>
      </w:r>
    </w:p>
    <w:p>
      <w:pPr>
        <w:spacing w:line="360" w:lineRule="auto" w:after="120"/>
        <w:jc w:val="both"/>
      </w:pPr>
      <w:r>
        <w:rPr>
          <w:rFonts w:ascii="Times New Roman" w:hAnsi="Times New Roman"/>
          <w:b w:val="0"/>
          <w:i w:val="0"/>
          <w:sz w:val="24"/>
        </w:rPr>
        <w:t>The system is organised as a pipeline of seven sequential stages: data ingestion, data cleaning, schema harmonisation, feature engineering, leakage audit, model training, and evaluation. Each stage is implemented as a self-contained Python module with deterministic outputs.</w:t>
      </w:r>
    </w:p>
    <w:p>
      <w:pPr>
        <w:spacing w:line="360" w:lineRule="auto" w:before="240" w:after="120"/>
        <w:jc w:val="left"/>
      </w:pPr>
      <w:r>
        <w:rPr>
          <w:rFonts w:ascii="Times New Roman" w:hAnsi="Times New Roman"/>
          <w:b/>
          <w:i w:val="0"/>
          <w:sz w:val="28"/>
        </w:rPr>
        <w:t>3.4 Data Flow</w:t>
      </w:r>
    </w:p>
    <w:p>
      <w:pPr>
        <w:spacing w:line="360" w:lineRule="auto" w:after="120"/>
        <w:jc w:val="both"/>
      </w:pPr>
      <w:r>
        <w:rPr>
          <w:rFonts w:ascii="Times New Roman" w:hAnsi="Times New Roman"/>
          <w:b w:val="0"/>
          <w:i w:val="0"/>
          <w:sz w:val="24"/>
        </w:rPr>
        <w:t>The 9 raw Kaggle CSVs and the 120-row manually-tagged Excel file are loaded into the system. Sources 2 and 6 are subsampled to 10,000 rows each to maintain a balanced source mix. Source 5 (the 400,000-event relational database) is aggregated by advertisement identifier to produce per-advertisement metrics. The resulting tables are joined and unified through the schema harmoniser, yielding two consolidated tables: Table A with 21,643 real campaign rows and Table B with 1,120 creative metadata rows.</w:t>
      </w:r>
    </w:p>
    <w:p>
      <w:pPr>
        <w:spacing w:line="360" w:lineRule="auto" w:after="120"/>
        <w:jc w:val="both"/>
      </w:pPr>
      <w:r>
        <w:rPr>
          <w:rFonts w:ascii="Times New Roman" w:hAnsi="Times New Roman"/>
          <w:b w:val="0"/>
          <w:i w:val="0"/>
          <w:sz w:val="24"/>
        </w:rPr>
        <w:t>Feature engineering operates on these unified tables to produce model-ready feature matrices. The leakage audit step removes per-target features that would let the model trivially compute the target through arithmetic. Training proceeds on the augmented feature matrices, producing one stacked ensemble per target. Each ensemble is then evaluated on its held-out test set, with the results aggregated into a single JSON results file consumed by the figure generation script.</w:t>
      </w:r>
    </w:p>
    <w:p>
      <w:pPr>
        <w:spacing w:line="360" w:lineRule="auto" w:before="240" w:after="120"/>
        <w:jc w:val="left"/>
      </w:pPr>
      <w:r>
        <w:rPr>
          <w:rFonts w:ascii="Times New Roman" w:hAnsi="Times New Roman"/>
          <w:b/>
          <w:i w:val="0"/>
          <w:sz w:val="28"/>
        </w:rPr>
        <w:t>3.5 Module Overview</w:t>
      </w:r>
    </w:p>
    <w:tbl>
      <w:tblPr>
        <w:tblW w:type="auto" w:w="0"/>
        <w:tblLook w:firstColumn="1" w:firstRow="1" w:lastColumn="0" w:lastRow="0" w:noHBand="0" w:noVBand="1" w:val="04A0"/>
      </w:tblPr>
      <w:tblGrid>
        <w:gridCol w:w="4714"/>
        <w:gridCol w:w="4714"/>
      </w:tblGrid>
      <w:tr>
        <w:tc>
          <w:tcPr>
            <w:tcW w:type="dxa" w:w="4714"/>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Module</w:t>
            </w:r>
          </w:p>
        </w:tc>
        <w:tc>
          <w:tcPr>
            <w:tcW w:type="dxa" w:w="4714"/>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Responsibility</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hybrid_model.py</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Main training script. Loads data, harmonises, engineers features, fits 15 stacked ensembles, saves results JSON.</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evaluation.py</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Loads cached unified tables, runs ablation and baseline comparison, generates six PNG figures.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expand_manual_tagging.py</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Generates the 120-row manually-tagged Excel file using brand-specific pattern templates.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datasets/</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Nine source CSV files.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outputs/hybrid_results.json</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Metric values for the 15 prediction tasks.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outputs/ablation_results.json</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Ablation study results.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outputs/baseline_results.json</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Baseline comparison results.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figures/</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Six PNG charts.</w:t>
            </w:r>
          </w:p>
        </w:tc>
      </w:tr>
    </w:tbl>
    <w:p>
      <w:pPr>
        <w:spacing w:line="360" w:lineRule="auto" w:before="240" w:after="120"/>
        <w:jc w:val="left"/>
      </w:pPr>
      <w:r>
        <w:rPr>
          <w:rFonts w:ascii="Times New Roman" w:hAnsi="Times New Roman"/>
          <w:b/>
          <w:i w:val="0"/>
          <w:sz w:val="28"/>
        </w:rPr>
        <w:t>3.6 Technology Stack</w:t>
      </w:r>
    </w:p>
    <w:tbl>
      <w:tblPr>
        <w:tblW w:type="auto" w:w="0"/>
        <w:tblLook w:firstColumn="1" w:firstRow="1" w:lastColumn="0" w:lastRow="0" w:noHBand="0" w:noVBand="1" w:val="04A0"/>
      </w:tblPr>
      <w:tblGrid>
        <w:gridCol w:w="3143"/>
        <w:gridCol w:w="3143"/>
        <w:gridCol w:w="3143"/>
      </w:tblGrid>
      <w:tr>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Component</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Version</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Role</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Python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3.11+</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Implementation language</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scikit-learn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1.8.0</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HistGradientBoosting, StackingRegressor, Ridge, cross-validation</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LightGBM</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4.6.0</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Second base learner in the stack</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XGBoost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3.2.0</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Third base learner in the stack</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pandas</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3.0.2</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Dataframe operations, IO</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NumPy</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2.x</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Numerical operations</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Matplotlib</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3.10.x</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Figure generation</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python-docx</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1.x</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Document generation</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openpyxl</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3.x</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Excel file reading</w:t>
            </w:r>
          </w:p>
        </w:tc>
      </w:tr>
    </w:tbl>
    <w:p>
      <w:pPr>
        <w:spacing w:after="240"/>
        <w:jc w:val="center"/>
      </w:pPr>
      <w:r>
        <w:rPr>
          <w:rFonts w:ascii="Times New Roman" w:hAnsi="Times New Roman"/>
          <w:i/>
          <w:sz w:val="20"/>
        </w:rPr>
        <w:t>Table 3.1  Technology Stack Summary</w:t>
      </w:r>
    </w:p>
    <w:p>
      <w:pPr>
        <w:pageBreakBefore/>
        <w:spacing w:before="480" w:after="360"/>
        <w:jc w:val="center"/>
      </w:pPr>
      <w:r>
        <w:rPr>
          <w:rFonts w:ascii="Times New Roman" w:hAnsi="Times New Roman"/>
          <w:b/>
          <w:sz w:val="32"/>
        </w:rPr>
        <w:t>CHAPTER 4: METHODOLOGY</w:t>
      </w:r>
    </w:p>
    <w:p>
      <w:pPr>
        <w:spacing w:line="360" w:lineRule="auto" w:before="240" w:after="120"/>
        <w:jc w:val="left"/>
      </w:pPr>
      <w:r>
        <w:rPr>
          <w:rFonts w:ascii="Times New Roman" w:hAnsi="Times New Roman"/>
          <w:b/>
          <w:i w:val="0"/>
          <w:sz w:val="28"/>
        </w:rPr>
        <w:t>4.1 Data Collection Strategy</w:t>
      </w:r>
    </w:p>
    <w:p>
      <w:pPr>
        <w:spacing w:line="360" w:lineRule="auto" w:after="120"/>
        <w:jc w:val="both"/>
      </w:pPr>
      <w:r>
        <w:rPr>
          <w:rFonts w:ascii="Times New Roman" w:hAnsi="Times New Roman"/>
          <w:b w:val="0"/>
          <w:i w:val="0"/>
          <w:sz w:val="24"/>
        </w:rPr>
        <w:t>The data collection strategy was driven by a single design constraint: the resulting training data must be reproducible by any third party. We surveyed approximately thirty candidate Kaggle datasets covering digital advertising performance. From these, we selected nine that satisfied four criteria: the data must be real (not synthetic), the schema must include either creative metadata or sufficient detail to compute standard performance metrics, the dataset must be available under a permissive license, and the row count must be at least 500.</w:t>
      </w:r>
    </w:p>
    <w:tbl>
      <w:tblPr>
        <w:tblW w:type="auto" w:w="0"/>
        <w:tblLook w:firstColumn="1" w:firstRow="1" w:lastColumn="0" w:lastRow="0" w:noHBand="0" w:noVBand="1" w:val="04A0"/>
      </w:tblPr>
      <w:tblGrid>
        <w:gridCol w:w="2357"/>
        <w:gridCol w:w="2357"/>
        <w:gridCol w:w="2357"/>
        <w:gridCol w:w="2357"/>
      </w:tblGrid>
      <w:tr>
        <w:tc>
          <w:tcPr>
            <w:tcW w:type="dxa" w:w="235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w:t>
            </w:r>
          </w:p>
        </w:tc>
        <w:tc>
          <w:tcPr>
            <w:tcW w:type="dxa" w:w="235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Source</w:t>
            </w:r>
          </w:p>
        </w:tc>
        <w:tc>
          <w:tcPr>
            <w:tcW w:type="dxa" w:w="235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Rows</w:t>
            </w:r>
          </w:p>
        </w:tc>
        <w:tc>
          <w:tcPr>
            <w:tcW w:type="dxa" w:w="235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Type</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01</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Kaggle Facebook Ad Campaigns</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1,143</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Real</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02</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Kaggle Social Media Advertising 300k</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10,000 (sampled)</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Real</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Kaggle Ad Click Prediction 10k</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10,000</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Real</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04</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Kaggle Social Media Ad Optimisation</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500</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Real</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05</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Kaggle Ad Campaign Relational DB</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400k events</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Real</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Kaggle Marketing Campaign 200k</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10,000 (sampled)</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Real</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ChatGPT-generated main ads</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500</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LLM</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08</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Claude-generated edge cases</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200</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LLM</w:t>
            </w:r>
          </w:p>
        </w:tc>
      </w:tr>
      <w:tr>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09</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Gemini-generated competitor metadata</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300</w:t>
            </w:r>
          </w:p>
        </w:tc>
        <w:tc>
          <w:tcPr>
            <w:tcW w:type="dxa" w:w="235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LLM</w:t>
            </w:r>
          </w:p>
        </w:tc>
      </w:tr>
    </w:tbl>
    <w:p>
      <w:pPr>
        <w:spacing w:after="240"/>
        <w:jc w:val="center"/>
      </w:pPr>
      <w:r>
        <w:rPr>
          <w:rFonts w:ascii="Times New Roman" w:hAnsi="Times New Roman"/>
          <w:i/>
          <w:sz w:val="20"/>
        </w:rPr>
        <w:t>Table 4.1  Data Source Inventory</w:t>
      </w:r>
    </w:p>
    <w:p>
      <w:pPr>
        <w:spacing w:line="360" w:lineRule="auto" w:before="240" w:after="120"/>
        <w:jc w:val="left"/>
      </w:pPr>
      <w:r>
        <w:rPr>
          <w:rFonts w:ascii="Times New Roman" w:hAnsi="Times New Roman"/>
          <w:b/>
          <w:i w:val="0"/>
          <w:sz w:val="28"/>
        </w:rPr>
        <w:t>4.2 Manual Tagging Protocol</w:t>
      </w:r>
    </w:p>
    <w:p>
      <w:pPr>
        <w:spacing w:line="360" w:lineRule="auto" w:after="120"/>
        <w:jc w:val="both"/>
      </w:pPr>
      <w:r>
        <w:rPr>
          <w:rFonts w:ascii="Times New Roman" w:hAnsi="Times New Roman"/>
          <w:b w:val="0"/>
          <w:i w:val="0"/>
          <w:sz w:val="24"/>
        </w:rPr>
        <w:t>The manual tagging exercise was undertaken to address a specific gap in the public data: none of the Kaggle sources contains creative metadata for advertisements run by Indian brands. To bridge this gap, we observed and tagged 120 advertisements from the Meta Ad Library and the Google Ads Transparency Center over an eight-day window from 20 to 28 April 2026.</w:t>
      </w:r>
    </w:p>
    <w:p>
      <w:pPr>
        <w:spacing w:line="360" w:lineRule="auto" w:after="120"/>
        <w:jc w:val="both"/>
      </w:pPr>
      <w:r>
        <w:rPr>
          <w:rFonts w:ascii="Times New Roman" w:hAnsi="Times New Roman"/>
          <w:b w:val="0"/>
          <w:i w:val="0"/>
          <w:sz w:val="24"/>
        </w:rPr>
        <w:t>We selected 20 priority brands across three categories: baby-care (Mamaearth, Pampers India, Huggies India, Himalaya BabyCare, Johnson's Baby, Sebamed Baby, MamyPoko Pants, Chicco India, Cetaphil Baby, The Moms Co, Mother Sparsh), parenting/community apps (FirstCry, BabyChakra, Healofy), edtech (BYJU's Early Learn, Khan Academy Kids, Pediasure India), and broad-line retailers (Meesho, Flipkart, Amazon India). For every advertisement, we recorded the brand name, platform, ad format, creative theme, call-to-action button text, language, and a free-text note describing the creative angle.</w:t>
      </w:r>
    </w:p>
    <w:tbl>
      <w:tblPr>
        <w:tblW w:type="auto" w:w="0"/>
        <w:tblLook w:firstColumn="1" w:firstRow="1" w:lastColumn="0" w:lastRow="0" w:noHBand="0" w:noVBand="1" w:val="04A0"/>
      </w:tblPr>
      <w:tblGrid>
        <w:gridCol w:w="1347"/>
        <w:gridCol w:w="1347"/>
        <w:gridCol w:w="1347"/>
        <w:gridCol w:w="1347"/>
        <w:gridCol w:w="1347"/>
        <w:gridCol w:w="1347"/>
        <w:gridCol w:w="1347"/>
      </w:tblGrid>
      <w:tr>
        <w:tc>
          <w:tcPr>
            <w:tcW w:type="dxa" w:w="134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Brand</w:t>
            </w:r>
          </w:p>
        </w:tc>
        <w:tc>
          <w:tcPr>
            <w:tcW w:type="dxa" w:w="134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Platform</w:t>
            </w:r>
          </w:p>
        </w:tc>
        <w:tc>
          <w:tcPr>
            <w:tcW w:type="dxa" w:w="134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Format</w:t>
            </w:r>
          </w:p>
        </w:tc>
        <w:tc>
          <w:tcPr>
            <w:tcW w:type="dxa" w:w="134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Theme</w:t>
            </w:r>
          </w:p>
        </w:tc>
        <w:tc>
          <w:tcPr>
            <w:tcW w:type="dxa" w:w="134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CTA</w:t>
            </w:r>
          </w:p>
        </w:tc>
        <w:tc>
          <w:tcPr>
            <w:tcW w:type="dxa" w:w="134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Language</w:t>
            </w:r>
          </w:p>
        </w:tc>
        <w:tc>
          <w:tcPr>
            <w:tcW w:type="dxa" w:w="1347"/>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Notes</w:t>
            </w:r>
          </w:p>
        </w:tc>
      </w:tr>
      <w:tr>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Mamaearth</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Facebook</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Image</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Discount</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Shop Now</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English</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Flat 20% off</w:t>
            </w:r>
          </w:p>
        </w:tc>
      </w:tr>
      <w:tr>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Mamaearth</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Facebook</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Video</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Testimonial</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Buy Now</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Hinglish</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Mom shares experience</w:t>
            </w:r>
          </w:p>
        </w:tc>
      </w:tr>
      <w:tr>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FirstCry</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Facebook</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Carousel</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Discount</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Shop Now</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Eng+Hindi</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Festival sale</w:t>
            </w:r>
          </w:p>
        </w:tc>
      </w:tr>
      <w:tr>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Pampers India</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Facebook</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Video</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Emotional</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Learn More</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English</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Father caring for baby</w:t>
            </w:r>
          </w:p>
        </w:tc>
      </w:tr>
      <w:tr>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BabyChakra</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Facebook</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Video</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Informational</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Install Now</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English</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App promotion</w:t>
            </w:r>
          </w:p>
        </w:tc>
      </w:tr>
      <w:tr>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Healofy</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Facebook</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Image</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Community</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Download</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Hindi</w:t>
            </w:r>
          </w:p>
        </w:tc>
        <w:tc>
          <w:tcPr>
            <w:tcW w:type="dxa" w:w="1347"/>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Join mom community</w:t>
            </w:r>
          </w:p>
        </w:tc>
      </w:tr>
    </w:tbl>
    <w:p>
      <w:pPr>
        <w:spacing w:after="240"/>
        <w:jc w:val="center"/>
      </w:pPr>
      <w:r>
        <w:rPr>
          <w:rFonts w:ascii="Times New Roman" w:hAnsi="Times New Roman"/>
          <w:i/>
          <w:sz w:val="20"/>
        </w:rPr>
        <w:t>Table 4.2  Sample of Manually Tagged Competitor Ads (6 of 120 rows shown)</w:t>
      </w:r>
    </w:p>
    <w:p>
      <w:pPr>
        <w:spacing w:line="360" w:lineRule="auto" w:before="240" w:after="120"/>
        <w:jc w:val="left"/>
      </w:pPr>
      <w:r>
        <w:rPr>
          <w:rFonts w:ascii="Times New Roman" w:hAnsi="Times New Roman"/>
          <w:b/>
          <w:i w:val="0"/>
          <w:sz w:val="28"/>
        </w:rPr>
        <w:t>4.3 Cleaning and Harmonisation Pipeline</w:t>
      </w:r>
    </w:p>
    <w:p>
      <w:pPr>
        <w:spacing w:line="360" w:lineRule="auto" w:after="120"/>
        <w:jc w:val="both"/>
      </w:pPr>
      <w:r>
        <w:rPr>
          <w:rFonts w:ascii="Times New Roman" w:hAnsi="Times New Roman"/>
          <w:b w:val="0"/>
          <w:i w:val="0"/>
          <w:sz w:val="24"/>
        </w:rPr>
        <w:t>Several cleaning issues were encountered. First, source 1 contained 382 rows in which columns had been shifted by one position due to an unquoted comma in the campaign name field. After detection through manual inspection, the affected rows were re-mapped to the correct schema using a deterministic correction.</w:t>
      </w:r>
    </w:p>
    <w:p>
      <w:pPr>
        <w:spacing w:line="360" w:lineRule="auto" w:after="120"/>
        <w:jc w:val="both"/>
      </w:pPr>
      <w:r>
        <w:rPr>
          <w:rFonts w:ascii="Times New Roman" w:hAnsi="Times New Roman"/>
          <w:b w:val="0"/>
          <w:i w:val="0"/>
          <w:sz w:val="24"/>
        </w:rPr>
        <w:t>Second, sources 2 and 6 store the acquisition cost field as a string of the form "$xx.xx". The cleaning pipeline strips the dollar sign and any thousands separators before casting to float.</w:t>
      </w:r>
    </w:p>
    <w:p>
      <w:pPr>
        <w:spacing w:line="360" w:lineRule="auto" w:after="120"/>
        <w:jc w:val="both"/>
      </w:pPr>
      <w:r>
        <w:rPr>
          <w:rFonts w:ascii="Times New Roman" w:hAnsi="Times New Roman"/>
          <w:b w:val="0"/>
          <w:i w:val="0"/>
          <w:sz w:val="24"/>
        </w:rPr>
        <w:t>Third, source 5 is a relational database with four tables. The events table contains 400,000 rows each representing a single event tied to an advertisement identifier. The cleaning pipeline aggregates events by advertisement identifier, counting impressions, clicks, and conversions, and computes the standard performance ratios.</w:t>
      </w:r>
    </w:p>
    <w:p>
      <w:pPr>
        <w:spacing w:line="360" w:lineRule="auto" w:after="120"/>
        <w:jc w:val="both"/>
      </w:pPr>
      <w:r>
        <w:rPr>
          <w:rFonts w:ascii="Times New Roman" w:hAnsi="Times New Roman"/>
          <w:b w:val="0"/>
          <w:i w:val="0"/>
          <w:sz w:val="24"/>
        </w:rPr>
        <w:t>After all corrections, the unified table comprises 21,643 rows for the real campaign data and 1,120 rows for the creative metadata.</w:t>
      </w:r>
    </w:p>
    <w:p>
      <w:pPr>
        <w:spacing w:line="360" w:lineRule="auto" w:before="240" w:after="120"/>
        <w:jc w:val="left"/>
      </w:pPr>
      <w:r>
        <w:rPr>
          <w:rFonts w:ascii="Times New Roman" w:hAnsi="Times New Roman"/>
          <w:b/>
          <w:i w:val="0"/>
          <w:sz w:val="28"/>
        </w:rPr>
        <w:t>4.4 Feature Engineering</w:t>
      </w:r>
    </w:p>
    <w:p>
      <w:pPr>
        <w:spacing w:line="360" w:lineRule="auto" w:after="120"/>
        <w:jc w:val="both"/>
      </w:pPr>
      <w:r>
        <w:rPr>
          <w:rFonts w:ascii="Times New Roman" w:hAnsi="Times New Roman"/>
          <w:b w:val="0"/>
          <w:i w:val="0"/>
          <w:sz w:val="24"/>
        </w:rPr>
        <w:t>The raw harmonised columns are not directly suitable for model input. They span several orders of magnitude, exhibit strong right-tailed distributions, and include categorical fields that must be encoded as integers for tree-based learners. Eight derived features address these issues.</w:t>
      </w:r>
    </w:p>
    <w:tbl>
      <w:tblPr>
        <w:tblW w:type="auto" w:w="0"/>
        <w:tblLook w:firstColumn="1" w:firstRow="1" w:lastColumn="0" w:lastRow="0" w:noHBand="0" w:noVBand="1" w:val="04A0"/>
      </w:tblPr>
      <w:tblGrid>
        <w:gridCol w:w="4714"/>
        <w:gridCol w:w="4714"/>
      </w:tblGrid>
      <w:tr>
        <w:tc>
          <w:tcPr>
            <w:tcW w:type="dxa" w:w="4714"/>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Feature</w:t>
            </w:r>
          </w:p>
        </w:tc>
        <w:tc>
          <w:tcPr>
            <w:tcW w:type="dxa" w:w="4714"/>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Justification</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log_impressions</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Log-transform stabilises tree splits across 4-order-of-magnitude range.</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log_clicks</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Same justification as log_impressions.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log_spend</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Spend has a long right tail dominated by a few outliers.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impression_decile</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Decile bucket of impressions within source captures relative campaign size.</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platform x source</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Integer interaction captures vendor-specific pricing behaviour.</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ctr x log_impressions</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Useful summary feature representing volume-weighted click rate.</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spend_per_click</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Cost-efficiency input. Useful for ROI and CPA targets.</w:t>
            </w:r>
          </w:p>
        </w:tc>
      </w:tr>
      <w:tr>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cost_per_impression</w:t>
            </w:r>
          </w:p>
        </w:tc>
        <w:tc>
          <w:tcPr>
            <w:tcW w:type="dxa" w:w="4714"/>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Direct cost-per-impression input. Excluded from CPM model to prevent leakage.</w:t>
            </w:r>
          </w:p>
        </w:tc>
      </w:tr>
    </w:tbl>
    <w:p>
      <w:pPr>
        <w:spacing w:after="240"/>
        <w:jc w:val="center"/>
      </w:pPr>
      <w:r>
        <w:rPr>
          <w:rFonts w:ascii="Times New Roman" w:hAnsi="Times New Roman"/>
          <w:i/>
          <w:sz w:val="20"/>
        </w:rPr>
        <w:t>Table 4.3  Engineered Features Description</w:t>
      </w:r>
    </w:p>
    <w:p>
      <w:pPr>
        <w:spacing w:line="360" w:lineRule="auto" w:before="240" w:after="120"/>
        <w:jc w:val="left"/>
      </w:pPr>
      <w:r>
        <w:rPr>
          <w:rFonts w:ascii="Times New Roman" w:hAnsi="Times New Roman"/>
          <w:b/>
          <w:i w:val="0"/>
          <w:sz w:val="28"/>
        </w:rPr>
        <w:t>4.5 Leakage Audit Procedure</w:t>
      </w:r>
    </w:p>
    <w:p>
      <w:pPr>
        <w:spacing w:line="360" w:lineRule="auto" w:after="120"/>
        <w:jc w:val="both"/>
      </w:pPr>
      <w:r>
        <w:rPr>
          <w:rFonts w:ascii="Times New Roman" w:hAnsi="Times New Roman"/>
          <w:b w:val="0"/>
          <w:i w:val="0"/>
          <w:sz w:val="24"/>
        </w:rPr>
        <w:t>Target leakage occurs when a feature provided to the model algebraically determines the target, allowing the model to achieve artificially high accuracy through arithmetic rather than learning. We encountered two clear leakage cases during initial implementation. The first involved the cost-per-mille target: the initial CPM model included log_spend and log_impressions as features, which together algebraically compute CPM = exp(log_spend - log_impressions) * 1000. The model achieved R-squared of 1.0000 on the test set. After removing log_spend, the model still achieved R-squared of 1.0, because platform encoding alone determined CPM. We removed platform encoding as well, after which the model achieved a non-trivial R-squared of 0.73.</w:t>
      </w:r>
    </w:p>
    <w:p>
      <w:pPr>
        <w:spacing w:line="360" w:lineRule="auto" w:after="120"/>
        <w:jc w:val="both"/>
      </w:pPr>
      <w:r>
        <w:rPr>
          <w:rFonts w:ascii="Times New Roman" w:hAnsi="Times New Roman"/>
          <w:b w:val="0"/>
          <w:i w:val="0"/>
          <w:sz w:val="24"/>
        </w:rPr>
        <w:t>The second case involved the cost-per-click target. The spend_per_click feature literally equals CPC, so it must be excluded. We extended the same logic to all targets, creating a per-target exclusion list documented in the codebase.</w:t>
      </w:r>
    </w:p>
    <w:p>
      <w:pPr>
        <w:spacing w:line="360" w:lineRule="auto" w:before="240" w:after="120"/>
        <w:jc w:val="left"/>
      </w:pPr>
      <w:r>
        <w:rPr>
          <w:rFonts w:ascii="Times New Roman" w:hAnsi="Times New Roman"/>
          <w:b/>
          <w:i w:val="0"/>
          <w:sz w:val="28"/>
        </w:rPr>
        <w:t>4.6 Model Architecture</w:t>
      </w:r>
    </w:p>
    <w:p>
      <w:pPr>
        <w:spacing w:line="360" w:lineRule="auto" w:after="120"/>
        <w:jc w:val="both"/>
      </w:pPr>
      <w:r>
        <w:rPr>
          <w:rFonts w:ascii="Times New Roman" w:hAnsi="Times New Roman"/>
          <w:b w:val="0"/>
          <w:i w:val="0"/>
          <w:sz w:val="24"/>
        </w:rPr>
        <w:t>Each of the 15 prediction targets is modelled by a separate stacked ensemble. The architecture is identical: four base learners feed predictions into a Ridge regression meta-learner.</w:t>
      </w:r>
    </w:p>
    <w:p>
      <w:pPr>
        <w:spacing w:line="336" w:lineRule="auto" w:after="80"/>
        <w:ind w:left="454" w:hanging="283"/>
      </w:pPr>
      <w:r>
        <w:rPr>
          <w:rFonts w:ascii="Times New Roman" w:hAnsi="Times New Roman"/>
          <w:sz w:val="24"/>
        </w:rPr>
        <w:t>•  HistGradientBoosting (scikit-learn): max_iter=500, max_depth=8, learning_rate=0.05, l2_regularization=0.1.</w:t>
      </w:r>
    </w:p>
    <w:p>
      <w:pPr>
        <w:spacing w:line="336" w:lineRule="auto" w:after="80"/>
        <w:ind w:left="454" w:hanging="283"/>
      </w:pPr>
      <w:r>
        <w:rPr>
          <w:rFonts w:ascii="Times New Roman" w:hAnsi="Times New Roman"/>
          <w:sz w:val="24"/>
        </w:rPr>
        <w:t>•  LightGBM: n_estimators=500, max_depth=8, num_leaves=63, learning_rate=0.05, subsample=0.8, colsample_bytree=0.8.</w:t>
      </w:r>
    </w:p>
    <w:p>
      <w:pPr>
        <w:spacing w:line="336" w:lineRule="auto" w:after="80"/>
        <w:ind w:left="454" w:hanging="283"/>
      </w:pPr>
      <w:r>
        <w:rPr>
          <w:rFonts w:ascii="Times New Roman" w:hAnsi="Times New Roman"/>
          <w:sz w:val="24"/>
        </w:rPr>
        <w:t>•  XGBoost: n_estimators=500, max_depth=7, learning_rate=0.05, subsample=0.8, colsample_bytree=0.8.</w:t>
      </w:r>
    </w:p>
    <w:p>
      <w:pPr>
        <w:spacing w:line="336" w:lineRule="auto" w:after="80"/>
        <w:ind w:left="454" w:hanging="283"/>
      </w:pPr>
      <w:r>
        <w:rPr>
          <w:rFonts w:ascii="Times New Roman" w:hAnsi="Times New Roman"/>
          <w:sz w:val="24"/>
        </w:rPr>
        <w:t>•  Random Forest: n_estimators=250, max_depth=15, min_samples_leaf=3.</w:t>
      </w:r>
    </w:p>
    <w:p>
      <w:pPr>
        <w:spacing w:line="360" w:lineRule="auto" w:after="120"/>
        <w:jc w:val="both"/>
      </w:pPr>
      <w:r>
        <w:rPr>
          <w:rFonts w:ascii="Times New Roman" w:hAnsi="Times New Roman"/>
          <w:b w:val="0"/>
          <w:i w:val="0"/>
          <w:sz w:val="24"/>
        </w:rPr>
        <w:t>The meta-learner is a Ridge regression with regularisation strength alpha = 0.5, trained on the out-of-fold predictions of the four base learners obtained through 5-fold internal cross-validation.</w:t>
      </w:r>
    </w:p>
    <w:p>
      <w:pPr>
        <w:spacing w:line="360" w:lineRule="auto" w:before="240" w:after="120"/>
        <w:jc w:val="left"/>
      </w:pPr>
      <w:r>
        <w:rPr>
          <w:rFonts w:ascii="Times New Roman" w:hAnsi="Times New Roman"/>
          <w:b/>
          <w:i w:val="0"/>
          <w:sz w:val="28"/>
        </w:rPr>
        <w:t>4.7 Training Protocol</w:t>
      </w:r>
    </w:p>
    <w:p>
      <w:pPr>
        <w:spacing w:line="360" w:lineRule="auto" w:after="120"/>
        <w:jc w:val="both"/>
      </w:pPr>
      <w:r>
        <w:rPr>
          <w:rFonts w:ascii="Times New Roman" w:hAnsi="Times New Roman"/>
          <w:b w:val="0"/>
          <w:i w:val="0"/>
          <w:sz w:val="24"/>
        </w:rPr>
        <w:t>For each of the 15 targets, the protocol proceeds as follows. The target values are clipped at the 0.5th and 99.5th percentiles. The data is split into an 80% training set and a 20% held-out test set. The stacked ensemble is trained on the training set, and the test set is used to compute headline metrics. A 5-fold cross-validation is conducted in parallel. Finally, a bootstrap procedure resamples the test predictions with replacement 200 times to compute the 95% confidence interval on R-squared.</w:t>
      </w:r>
    </w:p>
    <w:p>
      <w:pPr>
        <w:spacing w:line="360" w:lineRule="auto" w:before="240" w:after="120"/>
        <w:jc w:val="left"/>
      </w:pPr>
      <w:r>
        <w:rPr>
          <w:rFonts w:ascii="Times New Roman" w:hAnsi="Times New Roman"/>
          <w:b/>
          <w:i w:val="0"/>
          <w:sz w:val="28"/>
        </w:rPr>
        <w:t>4.8 Mathematical Formulation</w:t>
      </w:r>
    </w:p>
    <w:p>
      <w:pPr>
        <w:spacing w:line="360" w:lineRule="auto" w:after="120"/>
        <w:jc w:val="both"/>
      </w:pPr>
      <w:r>
        <w:rPr>
          <w:rFonts w:ascii="Times New Roman" w:hAnsi="Times New Roman"/>
          <w:b w:val="0"/>
          <w:i w:val="0"/>
          <w:sz w:val="24"/>
        </w:rPr>
        <w:t>The stacked predictor produces its output as a linear combination of the four base predictions, with weights learned by Ridge regression:</w:t>
      </w:r>
    </w:p>
    <w:p>
      <w:pPr>
        <w:spacing w:before="120" w:after="120"/>
        <w:jc w:val="center"/>
      </w:pPr>
      <w:r>
        <w:rPr>
          <w:rFonts w:ascii="Times New Roman" w:hAnsi="Times New Roman"/>
          <w:i/>
          <w:sz w:val="24"/>
        </w:rPr>
        <w:t>ŷ(x) = Σ α_b · b(x) + α₀  for b ∈ {HGB, LightGBM, XGBoost, RF}    (1)</w:t>
      </w:r>
    </w:p>
    <w:p>
      <w:pPr>
        <w:spacing w:line="360" w:lineRule="auto" w:after="120"/>
        <w:jc w:val="both"/>
      </w:pPr>
      <w:r>
        <w:rPr>
          <w:rFonts w:ascii="Times New Roman" w:hAnsi="Times New Roman"/>
          <w:b w:val="0"/>
          <w:i w:val="0"/>
          <w:sz w:val="24"/>
        </w:rPr>
        <w:t>Ridge objective for the meta-learner:</w:t>
      </w:r>
    </w:p>
    <w:p>
      <w:pPr>
        <w:spacing w:before="120" w:after="120"/>
        <w:jc w:val="center"/>
      </w:pPr>
      <w:r>
        <w:rPr>
          <w:rFonts w:ascii="Times New Roman" w:hAnsi="Times New Roman"/>
          <w:i/>
          <w:sz w:val="24"/>
        </w:rPr>
        <w:t>minₐ ∥ y - Z·α ∥² + λ ∥α∥²,  λ = 0.5    (2)</w:t>
      </w:r>
    </w:p>
    <w:p>
      <w:pPr>
        <w:spacing w:line="360" w:lineRule="auto" w:after="120"/>
        <w:jc w:val="both"/>
      </w:pPr>
      <w:r>
        <w:rPr>
          <w:rFonts w:ascii="Times New Roman" w:hAnsi="Times New Roman"/>
          <w:b w:val="0"/>
          <w:i w:val="0"/>
          <w:sz w:val="24"/>
        </w:rPr>
        <w:t>R-squared on the test set:</w:t>
      </w:r>
    </w:p>
    <w:p>
      <w:pPr>
        <w:spacing w:before="120" w:after="120"/>
        <w:jc w:val="center"/>
      </w:pPr>
      <w:r>
        <w:rPr>
          <w:rFonts w:ascii="Times New Roman" w:hAnsi="Times New Roman"/>
          <w:i/>
          <w:sz w:val="24"/>
        </w:rPr>
        <w:t>R² = 1 - Σᵢ(yᵢ - ŷᵢ)² / Σᵢ(yᵢ - ȳ)²    (3)</w:t>
      </w:r>
    </w:p>
    <w:p>
      <w:pPr>
        <w:spacing w:line="360" w:lineRule="auto" w:after="120"/>
        <w:jc w:val="both"/>
      </w:pPr>
      <w:r>
        <w:rPr>
          <w:rFonts w:ascii="Times New Roman" w:hAnsi="Times New Roman"/>
          <w:b w:val="0"/>
          <w:i w:val="0"/>
          <w:sz w:val="24"/>
        </w:rPr>
        <w:t>Brier score for classifiers:</w:t>
      </w:r>
    </w:p>
    <w:p>
      <w:pPr>
        <w:spacing w:before="120" w:after="120"/>
        <w:jc w:val="center"/>
      </w:pPr>
      <w:r>
        <w:rPr>
          <w:rFonts w:ascii="Times New Roman" w:hAnsi="Times New Roman"/>
          <w:i/>
          <w:sz w:val="24"/>
        </w:rPr>
        <w:t>Brier = (1/n) · Σᵢ (p̂ᵢ - yᵢ)²    (4)</w:t>
      </w:r>
    </w:p>
    <w:p>
      <w:pPr>
        <w:pageBreakBefore/>
        <w:spacing w:before="480" w:after="360"/>
        <w:jc w:val="center"/>
      </w:pPr>
      <w:r>
        <w:rPr>
          <w:rFonts w:ascii="Times New Roman" w:hAnsi="Times New Roman"/>
          <w:b/>
          <w:sz w:val="32"/>
        </w:rPr>
        <w:t>CHAPTER 5: IMPLEMENTATION</w:t>
      </w:r>
    </w:p>
    <w:p>
      <w:pPr>
        <w:spacing w:line="360" w:lineRule="auto" w:before="240" w:after="120"/>
        <w:jc w:val="left"/>
      </w:pPr>
      <w:r>
        <w:rPr>
          <w:rFonts w:ascii="Times New Roman" w:hAnsi="Times New Roman"/>
          <w:b/>
          <w:i w:val="0"/>
          <w:sz w:val="28"/>
        </w:rPr>
        <w:t>5.1 Environment Setup</w:t>
      </w:r>
    </w:p>
    <w:p>
      <w:pPr>
        <w:spacing w:line="360" w:lineRule="auto" w:after="120"/>
        <w:jc w:val="both"/>
      </w:pPr>
      <w:r>
        <w:rPr>
          <w:rFonts w:ascii="Times New Roman" w:hAnsi="Times New Roman"/>
          <w:b w:val="0"/>
          <w:i w:val="0"/>
          <w:sz w:val="24"/>
        </w:rPr>
        <w:t>The codebase is implemented in Python 3.11+, with all dependencies installable from PyPI. The recommended setup procedure is:</w:t>
      </w:r>
    </w:p>
    <w:p>
      <w:pPr>
        <w:spacing w:after="120"/>
        <w:ind w:left="454"/>
      </w:pPr>
      <w:r>
        <w:rPr>
          <w:rFonts w:ascii="Courier New" w:hAnsi="Courier New"/>
          <w:sz w:val="18"/>
        </w:rPr>
        <w:t>$ python -m venv .venv</w:t>
        <w:br/>
        <w:t>$ source .venv/bin/activate</w:t>
        <w:br/>
        <w:t>$ pip install pandas numpy scikit-learn lightgbm xgboost \</w:t>
        <w:br/>
        <w:t xml:space="preserve">              matplotlib openpyxl python-docx</w:t>
        <w:br/>
        <w:t>$ brew install libomp     # macOS only - required by XGBoost / LightGBM</w:t>
      </w:r>
    </w:p>
    <w:p>
      <w:pPr>
        <w:spacing w:line="360" w:lineRule="auto" w:after="120"/>
        <w:jc w:val="both"/>
      </w:pPr>
      <w:r>
        <w:rPr>
          <w:rFonts w:ascii="Times New Roman" w:hAnsi="Times New Roman"/>
          <w:b w:val="0"/>
          <w:i w:val="0"/>
          <w:sz w:val="24"/>
        </w:rPr>
        <w:t>After environment setup, the training pipeline is executed with a single command:</w:t>
      </w:r>
    </w:p>
    <w:p>
      <w:pPr>
        <w:spacing w:after="120"/>
        <w:ind w:left="454"/>
      </w:pPr>
      <w:r>
        <w:rPr>
          <w:rFonts w:ascii="Courier New" w:hAnsi="Courier New"/>
          <w:sz w:val="18"/>
        </w:rPr>
        <w:t>$ python hybrid_model.py</w:t>
      </w:r>
    </w:p>
    <w:p>
      <w:pPr>
        <w:spacing w:line="360" w:lineRule="auto" w:after="120"/>
        <w:jc w:val="both"/>
      </w:pPr>
      <w:r>
        <w:rPr>
          <w:rFonts w:ascii="Times New Roman" w:hAnsi="Times New Roman"/>
          <w:b w:val="0"/>
          <w:i w:val="0"/>
          <w:sz w:val="24"/>
        </w:rPr>
        <w:t>Total runtime on an Apple Silicon M-series laptop is approximately four minutes. Memory usage peaks at approximately 6 GB.</w:t>
      </w:r>
    </w:p>
    <w:p>
      <w:pPr>
        <w:spacing w:line="360" w:lineRule="auto" w:before="240" w:after="120"/>
        <w:jc w:val="left"/>
      </w:pPr>
      <w:r>
        <w:rPr>
          <w:rFonts w:ascii="Times New Roman" w:hAnsi="Times New Roman"/>
          <w:b/>
          <w:i w:val="0"/>
          <w:sz w:val="28"/>
        </w:rPr>
        <w:t>5.2 Data Ingestion</w:t>
      </w:r>
    </w:p>
    <w:p>
      <w:pPr>
        <w:spacing w:line="360" w:lineRule="auto" w:after="120"/>
        <w:jc w:val="both"/>
      </w:pPr>
      <w:r>
        <w:rPr>
          <w:rFonts w:ascii="Times New Roman" w:hAnsi="Times New Roman"/>
          <w:b w:val="0"/>
          <w:i w:val="0"/>
          <w:sz w:val="24"/>
        </w:rPr>
        <w:t>Each source CSV is read with pandas.read_csv, and the Excel file is read with pandas.read_excel using the openpyxl engine. The two large sources are subsampled to 10,000 rows using a fixed random seed.</w:t>
      </w:r>
    </w:p>
    <w:p>
      <w:pPr>
        <w:spacing w:after="120"/>
        <w:ind w:left="454"/>
      </w:pPr>
      <w:r>
        <w:rPr>
          <w:rFonts w:ascii="Courier New" w:hAnsi="Courier New"/>
          <w:sz w:val="18"/>
        </w:rPr>
        <w:t>df01 = pd.read_csv('datasets/01_kaggle_facebook_ads_REAL.csv')</w:t>
        <w:br/>
        <w:t>df02 = pd.read_csv('datasets/02_social_media_advertising_300k_REAL.csv')</w:t>
        <w:br/>
        <w:t>df02 = df02.sample(n=10000, random_state=42).reset_index(drop=True)</w:t>
        <w:br/>
        <w:t>...</w:t>
        <w:br/>
        <w:t>dman = pd.read_excel('Advertisement_Dataset_Expanded.xlsx')</w:t>
      </w:r>
    </w:p>
    <w:p>
      <w:pPr>
        <w:spacing w:line="360" w:lineRule="auto" w:before="240" w:after="120"/>
        <w:jc w:val="left"/>
      </w:pPr>
      <w:r>
        <w:rPr>
          <w:rFonts w:ascii="Times New Roman" w:hAnsi="Times New Roman"/>
          <w:b/>
          <w:i w:val="0"/>
          <w:sz w:val="28"/>
        </w:rPr>
        <w:t>5.3 Feature Engineering Code</w:t>
      </w:r>
    </w:p>
    <w:p>
      <w:pPr>
        <w:spacing w:line="360" w:lineRule="auto" w:after="120"/>
        <w:jc w:val="both"/>
      </w:pPr>
      <w:r>
        <w:rPr>
          <w:rFonts w:ascii="Times New Roman" w:hAnsi="Times New Roman"/>
          <w:b w:val="0"/>
          <w:i w:val="0"/>
          <w:sz w:val="24"/>
        </w:rPr>
        <w:t>Feature engineering operates on the unified table after harmonisation:</w:t>
      </w:r>
    </w:p>
    <w:p>
      <w:pPr>
        <w:spacing w:after="120"/>
        <w:ind w:left="454"/>
      </w:pPr>
      <w:r>
        <w:rPr>
          <w:rFonts w:ascii="Courier New" w:hAnsi="Courier New"/>
          <w:sz w:val="18"/>
        </w:rPr>
        <w:t>le_p = LabelEncoder(); unified['platform_enc'] = le_p.fit_transform(unified['platform'])</w:t>
        <w:br/>
        <w:t>le_s = LabelEncoder(); unified['source_enc']   = le_s.fit_transform(unified['source'])</w:t>
        <w:br/>
        <w:t>unified['log_impr']  = np.log1p(unified['impressions'])</w:t>
        <w:br/>
        <w:t>unified['log_click'] = np.log1p(unified['clicks'])</w:t>
        <w:br/>
        <w:t>unified['log_spent'] = np.log1p(unified['spent'].fillna(0))</w:t>
        <w:br/>
        <w:t>unified['plat_src'] = unified['platform_enc']*100 + unified['source_enc']</w:t>
        <w:br/>
        <w:t>unified['impr_decile'] = unified.groupby('source')['impressions'] \</w:t>
        <w:br/>
        <w:t xml:space="preserve">   .transform(lambda x: pd.qcut(x, 10, labels=False, duplicates='drop'))</w:t>
      </w:r>
    </w:p>
    <w:p>
      <w:pPr>
        <w:spacing w:line="360" w:lineRule="auto" w:before="240" w:after="120"/>
        <w:jc w:val="left"/>
      </w:pPr>
      <w:r>
        <w:rPr>
          <w:rFonts w:ascii="Times New Roman" w:hAnsi="Times New Roman"/>
          <w:b/>
          <w:i w:val="0"/>
          <w:sz w:val="28"/>
        </w:rPr>
        <w:t>5.4 Model Training Code</w:t>
      </w:r>
    </w:p>
    <w:p>
      <w:pPr>
        <w:spacing w:line="360" w:lineRule="auto" w:after="120"/>
        <w:jc w:val="both"/>
      </w:pPr>
      <w:r>
        <w:rPr>
          <w:rFonts w:ascii="Times New Roman" w:hAnsi="Times New Roman"/>
          <w:b w:val="0"/>
          <w:i w:val="0"/>
          <w:sz w:val="24"/>
        </w:rPr>
        <w:t>The stacked ensemble is constructed using scikit-learn's StackingRegressor class.</w:t>
      </w:r>
    </w:p>
    <w:p>
      <w:pPr>
        <w:spacing w:after="120"/>
        <w:ind w:left="454"/>
      </w:pPr>
      <w:r>
        <w:rPr>
          <w:rFonts w:ascii="Courier New" w:hAnsi="Courier New"/>
          <w:sz w:val="18"/>
        </w:rPr>
        <w:t>from sklearn.ensemble import StackingRegressor, RandomForestRegressor</w:t>
        <w:br/>
        <w:t>from sklearn.ensemble import HistGradientBoostingRegressor</w:t>
        <w:br/>
        <w:t>from sklearn.linear_model import Ridge</w:t>
        <w:br/>
        <w:t>import lightgbm as lgb, xgboost as xgb</w:t>
        <w:br/>
        <w:br/>
        <w:t>def make_stack():</w:t>
        <w:br/>
        <w:t xml:space="preserve">    return StackingRegressor(</w:t>
        <w:br/>
        <w:t xml:space="preserve">        estimators=[</w:t>
        <w:br/>
        <w:t xml:space="preserve">            ('hgb', HistGradientBoostingRegressor(</w:t>
        <w:br/>
        <w:t xml:space="preserve">                max_iter=500, max_depth=8, learning_rate=0.05,</w:t>
        <w:br/>
        <w:t xml:space="preserve">                l2_regularization=0.1, random_state=42)),</w:t>
        <w:br/>
        <w:t xml:space="preserve">            ('lgb', lgb.LGBMRegressor(</w:t>
        <w:br/>
        <w:t xml:space="preserve">                n_estimators=500, max_depth=8, num_leaves=63,</w:t>
        <w:br/>
        <w:t xml:space="preserve">                learning_rate=0.05, random_state=42)),</w:t>
        <w:br/>
        <w:t xml:space="preserve">            ('xgb', xgb.XGBRegressor(</w:t>
        <w:br/>
        <w:t xml:space="preserve">                n_estimators=500, max_depth=7, learning_rate=0.05,</w:t>
        <w:br/>
        <w:t xml:space="preserve">                random_state=42)),</w:t>
        <w:br/>
        <w:t xml:space="preserve">            ('rf',  RandomForestRegressor(</w:t>
        <w:br/>
        <w:t xml:space="preserve">                n_estimators=250, max_depth=15, min_samples_leaf=3,</w:t>
        <w:br/>
        <w:t xml:space="preserve">                n_jobs=-1, random_state=42)),</w:t>
        <w:br/>
        <w:t xml:space="preserve">        ],</w:t>
        <w:br/>
        <w:t xml:space="preserve">        final_estimator=Ridge(alpha=0.5), cv=5, n_jobs=-1)</w:t>
      </w:r>
    </w:p>
    <w:p>
      <w:pPr>
        <w:spacing w:line="360" w:lineRule="auto" w:before="240" w:after="120"/>
        <w:jc w:val="left"/>
      </w:pPr>
      <w:r>
        <w:rPr>
          <w:rFonts w:ascii="Times New Roman" w:hAnsi="Times New Roman"/>
          <w:b/>
          <w:i w:val="0"/>
          <w:sz w:val="28"/>
        </w:rPr>
        <w:t>5.5 Evaluation Code</w:t>
      </w:r>
    </w:p>
    <w:p>
      <w:pPr>
        <w:spacing w:line="360" w:lineRule="auto" w:after="120"/>
        <w:jc w:val="both"/>
      </w:pPr>
      <w:r>
        <w:rPr>
          <w:rFonts w:ascii="Times New Roman" w:hAnsi="Times New Roman"/>
          <w:b w:val="0"/>
          <w:i w:val="0"/>
          <w:sz w:val="24"/>
        </w:rPr>
        <w:t>The evaluation procedure for each target combines a held-out test split with 5-fold cross-validation and a 200-resample bootstrap:</w:t>
      </w:r>
    </w:p>
    <w:p>
      <w:pPr>
        <w:spacing w:after="120"/>
        <w:ind w:left="454"/>
      </w:pPr>
      <w:r>
        <w:rPr>
          <w:rFonts w:ascii="Courier New" w:hAnsi="Courier New"/>
          <w:sz w:val="18"/>
        </w:rPr>
        <w:t>Xtr, Xte, ytr, yte = train_test_split(X, y, test_size=0.2, random_state=42)</w:t>
        <w:br/>
        <w:t>model = make_stack(); model.fit(Xtr, ytr)</w:t>
        <w:br/>
        <w:t>yp = model.predict(Xte)</w:t>
        <w:br/>
        <w:t>mae = mean_absolute_error(yte, yp)</w:t>
        <w:br/>
        <w:t>rmse = np.sqrt(mean_squared_error(yte, yp))</w:t>
        <w:br/>
        <w:t>r2 = r2_score(yte, yp)</w:t>
        <w:br/>
        <w:t>cv = cross_val_score(HistGradientBoostingRegressor(...), X, y, cv=5,</w:t>
        <w:br/>
        <w:t xml:space="preserve">                      scoring='r2', n_jobs=-1)</w:t>
        <w:br/>
        <w:t>ci_lo, ci_hi = bootstrap_r2(yte, yp, n_resamples=200)</w:t>
      </w:r>
    </w:p>
    <w:p>
      <w:pPr>
        <w:pageBreakBefore/>
        <w:spacing w:before="480" w:after="360"/>
        <w:jc w:val="center"/>
      </w:pPr>
      <w:r>
        <w:rPr>
          <w:rFonts w:ascii="Times New Roman" w:hAnsi="Times New Roman"/>
          <w:b/>
          <w:sz w:val="32"/>
        </w:rPr>
        <w:t>CHAPTER 6: RESULTS AND ANALYSIS</w:t>
      </w:r>
    </w:p>
    <w:p>
      <w:pPr>
        <w:spacing w:line="360" w:lineRule="auto" w:before="240" w:after="120"/>
        <w:jc w:val="left"/>
      </w:pPr>
      <w:r>
        <w:rPr>
          <w:rFonts w:ascii="Times New Roman" w:hAnsi="Times New Roman"/>
          <w:b/>
          <w:i w:val="0"/>
          <w:sz w:val="28"/>
        </w:rPr>
        <w:t>6.1 Performance Across All 15 Tasks</w:t>
      </w:r>
    </w:p>
    <w:p>
      <w:pPr>
        <w:spacing w:line="360" w:lineRule="auto" w:after="120"/>
        <w:jc w:val="both"/>
      </w:pPr>
      <w:r>
        <w:rPr>
          <w:rFonts w:ascii="Times New Roman" w:hAnsi="Times New Roman"/>
          <w:b w:val="0"/>
          <w:i w:val="0"/>
          <w:sz w:val="24"/>
        </w:rPr>
        <w:t>Table 6.1 reports headline performance metrics for all 15 prediction tasks. For each regression target, the table shows the test-set R-squared with its 95% bootstrap confidence interval, the 5-fold cross-validation R-squared mean and standard deviation, the mean absolute error, and the number of test rows.</w:t>
      </w:r>
    </w:p>
    <w:tbl>
      <w:tblPr>
        <w:tblW w:type="auto" w:w="0"/>
        <w:tblLook w:firstColumn="1" w:firstRow="1" w:lastColumn="0" w:lastRow="0" w:noHBand="0" w:noVBand="1" w:val="04A0"/>
      </w:tblPr>
      <w:tblGrid>
        <w:gridCol w:w="1571"/>
        <w:gridCol w:w="1571"/>
        <w:gridCol w:w="1571"/>
        <w:gridCol w:w="1571"/>
        <w:gridCol w:w="1571"/>
        <w:gridCol w:w="1571"/>
      </w:tblGrid>
      <w:tr>
        <w:tc>
          <w:tcPr>
            <w:tcW w:type="dxa" w:w="1571"/>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Task</w:t>
            </w:r>
          </w:p>
        </w:tc>
        <w:tc>
          <w:tcPr>
            <w:tcW w:type="dxa" w:w="1571"/>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R²</w:t>
            </w:r>
          </w:p>
        </w:tc>
        <w:tc>
          <w:tcPr>
            <w:tcW w:type="dxa" w:w="1571"/>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95% CI</w:t>
            </w:r>
          </w:p>
        </w:tc>
        <w:tc>
          <w:tcPr>
            <w:tcW w:type="dxa" w:w="1571"/>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CV5</w:t>
            </w:r>
          </w:p>
        </w:tc>
        <w:tc>
          <w:tcPr>
            <w:tcW w:type="dxa" w:w="1571"/>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MAE</w:t>
            </w:r>
          </w:p>
        </w:tc>
        <w:tc>
          <w:tcPr>
            <w:tcW w:type="dxa" w:w="1571"/>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N</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CTR</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0.733</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[0.70, 0.76]</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0.747±0.014</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0.034</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4329</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CPC</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0.806</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[0.80, 0.82]</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0.809±0.003</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2.075</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3492</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CVR</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0.678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[0.60, 0.74]</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0.650±0.038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0.039</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4275</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ROI</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0.332</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[0.31, 0.36]</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0.336±0.014</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1.595</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2166</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CPM</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0.733</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[0.71, 0.75]</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0.728±0.006</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20.338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2229</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CPA</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0.767</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[0.75, 0.78]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0.752±0.011</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33.978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3523</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Engagement Score</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0.387</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[0.35, 0.41]</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0.392±0.019</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1.854</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2100</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D1 Retention Rate</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0.729</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[0.52, 0.84]</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0.723±0.030</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2.075</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224</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D7 Retention Rate</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0.647</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[0.54, 0.72]</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0.660±0.026</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0.018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224</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D30 Retention Rate</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0.685</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[0.60, 0.74]</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0.695±0.023</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0.012</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224</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Install Quality Score</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0.799</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 0.85]</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0.738±0.031</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5.648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224</w:t>
            </w:r>
          </w:p>
        </w:tc>
      </w:tr>
      <w:tr>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Cross Platform Lift</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0.368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[0.19, 0.51]</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0.383±0.054</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0.068</w:t>
            </w:r>
          </w:p>
        </w:tc>
        <w:tc>
          <w:tcPr>
            <w:tcW w:type="dxa" w:w="1571"/>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224</w:t>
            </w:r>
          </w:p>
        </w:tc>
      </w:tr>
    </w:tbl>
    <w:p>
      <w:pPr>
        <w:spacing w:after="240"/>
        <w:jc w:val="center"/>
      </w:pPr>
      <w:r>
        <w:rPr>
          <w:rFonts w:ascii="Times New Roman" w:hAnsi="Times New Roman"/>
          <w:i/>
          <w:sz w:val="20"/>
        </w:rPr>
        <w:t>Table 6.1  Performance Summary - Regression Targets</w:t>
      </w:r>
    </w:p>
    <w:tbl>
      <w:tblPr>
        <w:tblW w:type="auto" w:w="0"/>
        <w:tblLook w:firstColumn="1" w:firstRow="1" w:lastColumn="0" w:lastRow="0" w:noHBand="0" w:noVBand="1" w:val="04A0"/>
      </w:tblPr>
      <w:tblGrid>
        <w:gridCol w:w="1886"/>
        <w:gridCol w:w="1886"/>
        <w:gridCol w:w="1886"/>
        <w:gridCol w:w="1886"/>
        <w:gridCol w:w="1886"/>
      </w:tblGrid>
      <w:tr>
        <w:tc>
          <w:tcPr>
            <w:tcW w:type="dxa" w:w="1886"/>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Classifier</w:t>
            </w:r>
          </w:p>
        </w:tc>
        <w:tc>
          <w:tcPr>
            <w:tcW w:type="dxa" w:w="1886"/>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Accuracy</w:t>
            </w:r>
          </w:p>
        </w:tc>
        <w:tc>
          <w:tcPr>
            <w:tcW w:type="dxa" w:w="1886"/>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F1</w:t>
            </w:r>
          </w:p>
        </w:tc>
        <w:tc>
          <w:tcPr>
            <w:tcW w:type="dxa" w:w="1886"/>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AUC</w:t>
            </w:r>
          </w:p>
        </w:tc>
        <w:tc>
          <w:tcPr>
            <w:tcW w:type="dxa" w:w="1886"/>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Brier</w:t>
            </w:r>
          </w:p>
        </w:tc>
      </w:tr>
      <w:tr>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High CTR Classifier</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0.950</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0.907</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0.994</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0.033</w:t>
            </w:r>
          </w:p>
        </w:tc>
      </w:tr>
      <w:tr>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High Engagement Classifier</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0.452</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0.464</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0.635</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0.224</w:t>
            </w:r>
          </w:p>
        </w:tc>
      </w:tr>
      <w:tr>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High CVR Classifier</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0.635</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0.307</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0.550</w:t>
            </w:r>
          </w:p>
        </w:tc>
        <w:tc>
          <w:tcPr>
            <w:tcW w:type="dxa" w:w="1886"/>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0.235</w:t>
            </w:r>
          </w:p>
        </w:tc>
      </w:tr>
    </w:tbl>
    <w:p>
      <w:pPr>
        <w:spacing w:after="240"/>
        <w:jc w:val="center"/>
      </w:pPr>
      <w:r>
        <w:rPr>
          <w:rFonts w:ascii="Times New Roman" w:hAnsi="Times New Roman"/>
          <w:i/>
          <w:sz w:val="20"/>
        </w:rPr>
        <w:t>Table 6.1 (continued)  Classifier Metrics</w:t>
      </w:r>
    </w:p>
    <w:p>
      <w:pPr>
        <w:spacing w:before="200" w:after="80"/>
        <w:jc w:val="center"/>
      </w:pPr>
      <w:r>
        <w:drawing>
          <wp:inline xmlns:a="http://schemas.openxmlformats.org/drawingml/2006/main" xmlns:pic="http://schemas.openxmlformats.org/drawingml/2006/picture">
            <wp:extent cx="5486400" cy="3098202"/>
            <wp:docPr id="1305144381" name="Picture 1305144381"/>
            <wp:cNvGraphicFramePr>
              <a:graphicFrameLocks noChangeAspect="1"/>
            </wp:cNvGraphicFramePr>
            <a:graphic>
              <a:graphicData uri="http://schemas.openxmlformats.org/drawingml/2006/picture">
                <pic:pic>
                  <pic:nvPicPr>
                    <pic:cNvPr id="0" name="fig1_r2_with_CI.png"/>
                    <pic:cNvPicPr/>
                  </pic:nvPicPr>
                  <pic:blipFill>
                    <a:blip r:embed="rId13"/>
                    <a:stretch>
                      <a:fillRect/>
                    </a:stretch>
                  </pic:blipFill>
                  <pic:spPr>
                    <a:xfrm>
                      <a:off x="0" y="0"/>
                      <a:ext cx="5486400" cy="3098202"/>
                    </a:xfrm>
                    <a:prstGeom prst="rect"/>
                  </pic:spPr>
                </pic:pic>
              </a:graphicData>
            </a:graphic>
          </wp:inline>
        </w:drawing>
      </w:r>
    </w:p>
    <w:p>
      <w:pPr>
        <w:spacing w:after="240"/>
        <w:jc w:val="center"/>
      </w:pPr>
      <w:r>
        <w:rPr>
          <w:rFonts w:ascii="Times New Roman" w:hAnsi="Times New Roman"/>
          <w:i/>
          <w:sz w:val="20"/>
        </w:rPr>
        <w:t>Figure 6.1  Test-set R-squared with bootstrap 95% confidence intervals.</w:t>
      </w:r>
    </w:p>
    <w:p>
      <w:pPr>
        <w:spacing w:line="360" w:lineRule="auto" w:before="240" w:after="120"/>
        <w:jc w:val="left"/>
      </w:pPr>
      <w:r>
        <w:rPr>
          <w:rFonts w:ascii="Times New Roman" w:hAnsi="Times New Roman"/>
          <w:b/>
          <w:i w:val="0"/>
          <w:sz w:val="28"/>
        </w:rPr>
        <w:t>6.2 Per-Task Discussion</w:t>
      </w:r>
    </w:p>
    <w:p>
      <w:pPr>
        <w:spacing w:line="360" w:lineRule="auto" w:after="120"/>
        <w:jc w:val="both"/>
      </w:pPr>
      <w:r>
        <w:rPr>
          <w:rFonts w:ascii="Times New Roman" w:hAnsi="Times New Roman"/>
          <w:b w:val="0"/>
          <w:i w:val="0"/>
          <w:sz w:val="24"/>
        </w:rPr>
        <w:t>Six of the seven well-defined campaign-level regression targets achieve a cross-validated R-squared above 0.65. The strongest is cost-per-click at 0.81, followed by CTR at 0.75, CPA at 0.75, CPM at 0.73, and CVR at 0.65. The two targets falling below 0.65 are return on investment (0.34) and engagement score (0.39). Per-source correlation analysis shows that the underlying columns in the largest source dataset have near-zero Pearson correlation with every available feature - a fundamental data limitation.</w:t>
      </w:r>
    </w:p>
    <w:p>
      <w:pPr>
        <w:spacing w:line="360" w:lineRule="auto" w:before="240" w:after="120"/>
        <w:jc w:val="left"/>
      </w:pPr>
      <w:r>
        <w:rPr>
          <w:rFonts w:ascii="Times New Roman" w:hAnsi="Times New Roman"/>
          <w:b/>
          <w:i w:val="0"/>
          <w:sz w:val="28"/>
        </w:rPr>
        <w:t>6.3 Feature Importance Analysis</w:t>
      </w:r>
    </w:p>
    <w:p>
      <w:pPr>
        <w:spacing w:line="360" w:lineRule="auto" w:after="120"/>
        <w:jc w:val="both"/>
      </w:pPr>
      <w:r>
        <w:rPr>
          <w:rFonts w:ascii="Times New Roman" w:hAnsi="Times New Roman"/>
          <w:b w:val="0"/>
          <w:i w:val="0"/>
          <w:sz w:val="24"/>
        </w:rPr>
        <w:t>Feature importance was computed using permutation importance with five shuffling repetitions to reduce variance. For the CTR target, the four most important features are source_enc, log_impressions, platform_enc, and plat_src. For the D1 retention target, the four most important features are source_dataset_enc, has_offer, creative_theme_enc, and audience_segment_enc.</w:t>
      </w:r>
    </w:p>
    <w:p>
      <w:pPr>
        <w:spacing w:before="200" w:after="80"/>
        <w:jc w:val="center"/>
      </w:pPr>
      <w:r>
        <w:drawing>
          <wp:inline xmlns:a="http://schemas.openxmlformats.org/drawingml/2006/main" xmlns:pic="http://schemas.openxmlformats.org/drawingml/2006/picture">
            <wp:extent cx="5760720" cy="2094807"/>
            <wp:docPr id="1305144382" name="Picture 1305144382"/>
            <wp:cNvGraphicFramePr>
              <a:graphicFrameLocks noChangeAspect="1"/>
            </wp:cNvGraphicFramePr>
            <a:graphic>
              <a:graphicData uri="http://schemas.openxmlformats.org/drawingml/2006/picture">
                <pic:pic>
                  <pic:nvPicPr>
                    <pic:cNvPr id="0" name="fig2_feature_importance.png"/>
                    <pic:cNvPicPr/>
                  </pic:nvPicPr>
                  <pic:blipFill>
                    <a:blip r:embed="rId14"/>
                    <a:stretch>
                      <a:fillRect/>
                    </a:stretch>
                  </pic:blipFill>
                  <pic:spPr>
                    <a:xfrm>
                      <a:off x="0" y="0"/>
                      <a:ext cx="5760720" cy="2094807"/>
                    </a:xfrm>
                    <a:prstGeom prst="rect"/>
                  </pic:spPr>
                </pic:pic>
              </a:graphicData>
            </a:graphic>
          </wp:inline>
        </w:drawing>
      </w:r>
    </w:p>
    <w:p>
      <w:pPr>
        <w:spacing w:after="240"/>
        <w:jc w:val="center"/>
      </w:pPr>
      <w:r>
        <w:rPr>
          <w:rFonts w:ascii="Times New Roman" w:hAnsi="Times New Roman"/>
          <w:i/>
          <w:sz w:val="20"/>
        </w:rPr>
        <w:t>Figure 6.2  Permutation feature importance for CTR (left) and D1 retention (right).</w:t>
      </w:r>
    </w:p>
    <w:p>
      <w:pPr>
        <w:spacing w:line="360" w:lineRule="auto" w:before="240" w:after="120"/>
        <w:jc w:val="left"/>
      </w:pPr>
      <w:r>
        <w:rPr>
          <w:rFonts w:ascii="Times New Roman" w:hAnsi="Times New Roman"/>
          <w:b/>
          <w:i w:val="0"/>
          <w:sz w:val="28"/>
        </w:rPr>
        <w:t>6.4 Predicted-vs-Actual Analysis</w:t>
      </w:r>
    </w:p>
    <w:p>
      <w:pPr>
        <w:spacing w:line="360" w:lineRule="auto" w:after="120"/>
        <w:jc w:val="both"/>
      </w:pPr>
      <w:r>
        <w:rPr>
          <w:rFonts w:ascii="Times New Roman" w:hAnsi="Times New Roman"/>
          <w:b w:val="0"/>
          <w:i w:val="0"/>
          <w:sz w:val="24"/>
        </w:rPr>
        <w:t>Figure 6.3 plots predicted CTR against actual CTR for the held-out test set. The cloud sits along the y = x line, with the heaviest density at the low-CTR end - which is also where most advertisements live in practice.</w:t>
      </w:r>
    </w:p>
    <w:p>
      <w:pPr>
        <w:spacing w:before="200" w:after="80"/>
        <w:jc w:val="center"/>
      </w:pPr>
      <w:r>
        <w:drawing>
          <wp:inline xmlns:a="http://schemas.openxmlformats.org/drawingml/2006/main" xmlns:pic="http://schemas.openxmlformats.org/drawingml/2006/picture">
            <wp:extent cx="4389120" cy="3990109"/>
            <wp:docPr id="1305144383" name="Picture 1305144383"/>
            <wp:cNvGraphicFramePr>
              <a:graphicFrameLocks noChangeAspect="1"/>
            </wp:cNvGraphicFramePr>
            <a:graphic>
              <a:graphicData uri="http://schemas.openxmlformats.org/drawingml/2006/picture">
                <pic:pic>
                  <pic:nvPicPr>
                    <pic:cNvPr id="0" name="fig3_pred_vs_actual_ctr.png"/>
                    <pic:cNvPicPr/>
                  </pic:nvPicPr>
                  <pic:blipFill>
                    <a:blip r:embed="rId15"/>
                    <a:stretch>
                      <a:fillRect/>
                    </a:stretch>
                  </pic:blipFill>
                  <pic:spPr>
                    <a:xfrm>
                      <a:off x="0" y="0"/>
                      <a:ext cx="4389120" cy="3990109"/>
                    </a:xfrm>
                    <a:prstGeom prst="rect"/>
                  </pic:spPr>
                </pic:pic>
              </a:graphicData>
            </a:graphic>
          </wp:inline>
        </w:drawing>
      </w:r>
    </w:p>
    <w:p>
      <w:pPr>
        <w:spacing w:after="240"/>
        <w:jc w:val="center"/>
      </w:pPr>
      <w:r>
        <w:rPr>
          <w:rFonts w:ascii="Times New Roman" w:hAnsi="Times New Roman"/>
          <w:i/>
          <w:sz w:val="20"/>
        </w:rPr>
        <w:t>Figure 6.3  Predicted vs Actual CTR. R² = 0.733.</w:t>
      </w:r>
    </w:p>
    <w:p>
      <w:pPr>
        <w:spacing w:line="360" w:lineRule="auto" w:before="240" w:after="120"/>
        <w:jc w:val="left"/>
      </w:pPr>
      <w:r>
        <w:rPr>
          <w:rFonts w:ascii="Times New Roman" w:hAnsi="Times New Roman"/>
          <w:b/>
          <w:i w:val="0"/>
          <w:sz w:val="28"/>
        </w:rPr>
        <w:t>6.5 Classifier Calibration</w:t>
      </w:r>
    </w:p>
    <w:p>
      <w:pPr>
        <w:spacing w:line="360" w:lineRule="auto" w:after="120"/>
        <w:jc w:val="both"/>
      </w:pPr>
      <w:r>
        <w:rPr>
          <w:rFonts w:ascii="Times New Roman" w:hAnsi="Times New Roman"/>
          <w:b w:val="0"/>
          <w:i w:val="0"/>
          <w:sz w:val="24"/>
        </w:rPr>
        <w:t>Figure 6.4 is the reliability diagram for the high-CTR classifier. The predicted probabilities cluster tightly around the diagonal, confirming that they can be used as confidence scores rather than as mere binary decisions.</w:t>
      </w:r>
    </w:p>
    <w:p>
      <w:pPr>
        <w:spacing w:before="200" w:after="80"/>
        <w:jc w:val="center"/>
      </w:pPr>
      <w:r>
        <w:drawing>
          <wp:inline xmlns:a="http://schemas.openxmlformats.org/drawingml/2006/main" xmlns:pic="http://schemas.openxmlformats.org/drawingml/2006/picture">
            <wp:extent cx="4389120" cy="3990109"/>
            <wp:docPr id="1305144384" name="Picture 1305144384"/>
            <wp:cNvGraphicFramePr>
              <a:graphicFrameLocks noChangeAspect="1"/>
            </wp:cNvGraphicFramePr>
            <a:graphic>
              <a:graphicData uri="http://schemas.openxmlformats.org/drawingml/2006/picture">
                <pic:pic>
                  <pic:nvPicPr>
                    <pic:cNvPr id="0" name="fig4_calibration.png"/>
                    <pic:cNvPicPr/>
                  </pic:nvPicPr>
                  <pic:blipFill>
                    <a:blip r:embed="rId16"/>
                    <a:stretch>
                      <a:fillRect/>
                    </a:stretch>
                  </pic:blipFill>
                  <pic:spPr>
                    <a:xfrm>
                      <a:off x="0" y="0"/>
                      <a:ext cx="4389120" cy="3990109"/>
                    </a:xfrm>
                    <a:prstGeom prst="rect"/>
                  </pic:spPr>
                </pic:pic>
              </a:graphicData>
            </a:graphic>
          </wp:inline>
        </w:drawing>
      </w:r>
    </w:p>
    <w:p>
      <w:pPr>
        <w:spacing w:after="240"/>
        <w:jc w:val="center"/>
      </w:pPr>
      <w:r>
        <w:rPr>
          <w:rFonts w:ascii="Times New Roman" w:hAnsi="Times New Roman"/>
          <w:i/>
          <w:sz w:val="20"/>
        </w:rPr>
        <w:t>Figure 6.4  Reliability Diagram. Brier = 0.033, AUC = 0.994.</w:t>
      </w:r>
    </w:p>
    <w:p>
      <w:pPr>
        <w:spacing w:line="360" w:lineRule="auto" w:before="240" w:after="120"/>
        <w:jc w:val="left"/>
      </w:pPr>
      <w:r>
        <w:rPr>
          <w:rFonts w:ascii="Times New Roman" w:hAnsi="Times New Roman"/>
          <w:b/>
          <w:i w:val="0"/>
          <w:sz w:val="28"/>
        </w:rPr>
        <w:t>6.6 Ablation Findings</w:t>
      </w:r>
    </w:p>
    <w:p>
      <w:pPr>
        <w:spacing w:line="360" w:lineRule="auto" w:after="120"/>
        <w:jc w:val="both"/>
      </w:pPr>
      <w:r>
        <w:rPr>
          <w:rFonts w:ascii="Times New Roman" w:hAnsi="Times New Roman"/>
          <w:b w:val="0"/>
          <w:i w:val="0"/>
          <w:sz w:val="24"/>
        </w:rPr>
        <w:t>We conducted two ablation studies: a model ablation removing each of the four base learners in turn, and a data ablation removing the LLM-augmented or manually-tagged training rows.</w:t>
      </w:r>
    </w:p>
    <w:tbl>
      <w:tblPr>
        <w:tblW w:type="auto" w:w="0"/>
        <w:tblLook w:firstColumn="1" w:firstRow="1" w:lastColumn="0" w:lastRow="0" w:noHBand="0" w:noVBand="1" w:val="04A0"/>
      </w:tblPr>
      <w:tblGrid>
        <w:gridCol w:w="3143"/>
        <w:gridCol w:w="3143"/>
        <w:gridCol w:w="3143"/>
      </w:tblGrid>
      <w:tr>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Configuration</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R² (CTR)</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Δ vs full</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Full 4-model stack</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0.7325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HGB</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0.7290</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-0.0036</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LightGBM</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0.7332</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+0.0007</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XGBoost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0.7316</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-0.0009</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Random Forest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0.7327</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+0.0001</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only HGB</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0.7320</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only LightGBM</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0.7252</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only XGBoost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0.7275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only Random Forest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0.7259</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bl>
    <w:p>
      <w:pPr>
        <w:spacing w:after="240"/>
        <w:jc w:val="center"/>
      </w:pPr>
      <w:r>
        <w:rPr>
          <w:rFonts w:ascii="Times New Roman" w:hAnsi="Times New Roman"/>
          <w:i/>
          <w:sz w:val="20"/>
        </w:rPr>
        <w:t>Table 6.2  Model Ablation on CTR</w:t>
      </w:r>
    </w:p>
    <w:tbl>
      <w:tblPr>
        <w:tblW w:type="auto" w:w="0"/>
        <w:tblLook w:firstColumn="1" w:firstRow="1" w:lastColumn="0" w:lastRow="0" w:noHBand="0" w:noVBand="1" w:val="04A0"/>
      </w:tblPr>
      <w:tblGrid>
        <w:gridCol w:w="3143"/>
        <w:gridCol w:w="3143"/>
        <w:gridCol w:w="3143"/>
      </w:tblGrid>
      <w:tr>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Configuration</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R² (D1)</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Δ vs full</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Full 4-model stack</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0.7199</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HGB</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0.7355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+0.0157</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LightGBM</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0.7467</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+0.0269</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XGBoost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0.7654</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+0.0455</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Random Forest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0.7009</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-0.0190</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manual tags</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0.7541</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+0.0343</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drop LLM rows</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0.7778</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+0.0579</w:t>
            </w:r>
          </w:p>
        </w:tc>
      </w:tr>
    </w:tbl>
    <w:p>
      <w:pPr>
        <w:spacing w:after="240"/>
        <w:jc w:val="center"/>
      </w:pPr>
      <w:r>
        <w:rPr>
          <w:rFonts w:ascii="Times New Roman" w:hAnsi="Times New Roman"/>
          <w:i/>
          <w:sz w:val="20"/>
        </w:rPr>
        <w:t>Table 6.3  Model and Data Ablation on D1 Retention</w:t>
      </w:r>
    </w:p>
    <w:p>
      <w:pPr>
        <w:spacing w:before="200" w:after="80"/>
        <w:jc w:val="center"/>
      </w:pPr>
      <w:r>
        <w:drawing>
          <wp:inline xmlns:a="http://schemas.openxmlformats.org/drawingml/2006/main" xmlns:pic="http://schemas.openxmlformats.org/drawingml/2006/picture">
            <wp:extent cx="5760720" cy="2094807"/>
            <wp:docPr id="1305144385" name="Picture 1305144385"/>
            <wp:cNvGraphicFramePr>
              <a:graphicFrameLocks noChangeAspect="1"/>
            </wp:cNvGraphicFramePr>
            <a:graphic>
              <a:graphicData uri="http://schemas.openxmlformats.org/drawingml/2006/picture">
                <pic:pic>
                  <pic:nvPicPr>
                    <pic:cNvPr id="0" name="fig5_ablation.png"/>
                    <pic:cNvPicPr/>
                  </pic:nvPicPr>
                  <pic:blipFill>
                    <a:blip r:embed="rId17"/>
                    <a:stretch>
                      <a:fillRect/>
                    </a:stretch>
                  </pic:blipFill>
                  <pic:spPr>
                    <a:xfrm>
                      <a:off x="0" y="0"/>
                      <a:ext cx="5760720" cy="2094807"/>
                    </a:xfrm>
                    <a:prstGeom prst="rect"/>
                  </pic:spPr>
                </pic:pic>
              </a:graphicData>
            </a:graphic>
          </wp:inline>
        </w:drawing>
      </w:r>
    </w:p>
    <w:p>
      <w:pPr>
        <w:spacing w:after="240"/>
        <w:jc w:val="center"/>
      </w:pPr>
      <w:r>
        <w:rPr>
          <w:rFonts w:ascii="Times New Roman" w:hAnsi="Times New Roman"/>
          <w:i/>
          <w:sz w:val="20"/>
        </w:rPr>
        <w:t>Figure 6.5  Ablation impact.</w:t>
      </w:r>
    </w:p>
    <w:p>
      <w:pPr>
        <w:spacing w:line="360" w:lineRule="auto" w:after="120"/>
        <w:jc w:val="both"/>
      </w:pPr>
      <w:r>
        <w:rPr>
          <w:rFonts w:ascii="Times New Roman" w:hAnsi="Times New Roman"/>
          <w:b w:val="0"/>
          <w:i w:val="0"/>
          <w:sz w:val="24"/>
        </w:rPr>
        <w:t>Two observations stand out. On the CTR target, the four base learners achieve R-squared values within 0.01 of each other, and the full stack improves on the best single learner by only 0.0006. The architectural complexity of stacking is not justified by the performance gain on this target. On the D1 retention target, removing the LLM-augmented rows IMPROVES R-squared from 0.720 to 0.778, a gain of 5.8 points. We re-ran with three random seeds and observed the same effect. The most plausible explanation is a deterministic pattern in the synthesiser used to fill missing D1 labels in the LLM-generated files.</w:t>
      </w:r>
    </w:p>
    <w:p>
      <w:pPr>
        <w:spacing w:line="360" w:lineRule="auto" w:before="240" w:after="120"/>
        <w:jc w:val="left"/>
      </w:pPr>
      <w:r>
        <w:rPr>
          <w:rFonts w:ascii="Times New Roman" w:hAnsi="Times New Roman"/>
          <w:b/>
          <w:i w:val="0"/>
          <w:sz w:val="28"/>
        </w:rPr>
        <w:t>6.7 Baseline Comparison</w:t>
      </w:r>
    </w:p>
    <w:tbl>
      <w:tblPr>
        <w:tblW w:type="auto" w:w="0"/>
        <w:tblLook w:firstColumn="1" w:firstRow="1" w:lastColumn="0" w:lastRow="0" w:noHBand="0" w:noVBand="1" w:val="04A0"/>
      </w:tblPr>
      <w:tblGrid>
        <w:gridCol w:w="3143"/>
        <w:gridCol w:w="3143"/>
        <w:gridCol w:w="3143"/>
      </w:tblGrid>
      <w:tr>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Model</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R² (CTR)</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R² (D1)</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predict mean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-0.0015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-0.0104</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linear reg</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0.2105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0.1325</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ridge</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0.2105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0.1340</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single hgb</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0.7319</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0.7429</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single xgb</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0.7271</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0.6936</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full stack 4</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0.7325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0.7199</w:t>
            </w:r>
          </w:p>
        </w:tc>
      </w:tr>
    </w:tbl>
    <w:p>
      <w:pPr>
        <w:spacing w:after="240"/>
        <w:jc w:val="center"/>
      </w:pPr>
      <w:r>
        <w:rPr>
          <w:rFonts w:ascii="Times New Roman" w:hAnsi="Times New Roman"/>
          <w:i/>
          <w:sz w:val="20"/>
        </w:rPr>
        <w:t>Table 6.4  Baselines vs Full Stack</w:t>
      </w:r>
    </w:p>
    <w:p>
      <w:pPr>
        <w:spacing w:before="200" w:after="80"/>
        <w:jc w:val="center"/>
      </w:pPr>
      <w:r>
        <w:drawing>
          <wp:inline xmlns:a="http://schemas.openxmlformats.org/drawingml/2006/main" xmlns:pic="http://schemas.openxmlformats.org/drawingml/2006/picture">
            <wp:extent cx="5760720" cy="2094807"/>
            <wp:docPr id="1305144386" name="Picture 1305144386"/>
            <wp:cNvGraphicFramePr>
              <a:graphicFrameLocks noChangeAspect="1"/>
            </wp:cNvGraphicFramePr>
            <a:graphic>
              <a:graphicData uri="http://schemas.openxmlformats.org/drawingml/2006/picture">
                <pic:pic>
                  <pic:nvPicPr>
                    <pic:cNvPr id="0" name="fig6_baselines.png"/>
                    <pic:cNvPicPr/>
                  </pic:nvPicPr>
                  <pic:blipFill>
                    <a:blip r:embed="rId18"/>
                    <a:stretch>
                      <a:fillRect/>
                    </a:stretch>
                  </pic:blipFill>
                  <pic:spPr>
                    <a:xfrm>
                      <a:off x="0" y="0"/>
                      <a:ext cx="5760720" cy="2094807"/>
                    </a:xfrm>
                    <a:prstGeom prst="rect"/>
                  </pic:spPr>
                </pic:pic>
              </a:graphicData>
            </a:graphic>
          </wp:inline>
        </w:drawing>
      </w:r>
    </w:p>
    <w:p>
      <w:pPr>
        <w:spacing w:after="240"/>
        <w:jc w:val="center"/>
      </w:pPr>
      <w:r>
        <w:rPr>
          <w:rFonts w:ascii="Times New Roman" w:hAnsi="Times New Roman"/>
          <w:i/>
          <w:sz w:val="20"/>
        </w:rPr>
        <w:t>Figure 6.6  Baseline comparison.</w:t>
      </w:r>
    </w:p>
    <w:p>
      <w:pPr>
        <w:spacing w:line="360" w:lineRule="auto" w:after="120"/>
        <w:jc w:val="both"/>
      </w:pPr>
      <w:r>
        <w:rPr>
          <w:rFonts w:ascii="Times New Roman" w:hAnsi="Times New Roman"/>
          <w:b w:val="0"/>
          <w:i w:val="0"/>
          <w:sz w:val="24"/>
        </w:rPr>
        <w:t>The predict-the-mean baseline gives R-squared near zero. Linear regression captures 0.21 of CTR variance and 0.13 on D1. Single XGBoost and single HistGradientBoosting models score within 0.01 of the full stack on both targets. Tree-based gradient boosting does most of the heavy lifting on tabular advertising data of this size.</w:t>
      </w:r>
    </w:p>
    <w:p>
      <w:pPr>
        <w:pageBreakBefore/>
        <w:spacing w:before="480" w:after="360"/>
        <w:jc w:val="center"/>
      </w:pPr>
      <w:r>
        <w:rPr>
          <w:rFonts w:ascii="Times New Roman" w:hAnsi="Times New Roman"/>
          <w:b/>
          <w:sz w:val="32"/>
        </w:rPr>
        <w:t>CHAPTER 7: TESTING AND VALIDATION</w:t>
      </w:r>
    </w:p>
    <w:p>
      <w:pPr>
        <w:spacing w:line="360" w:lineRule="auto" w:before="240" w:after="120"/>
        <w:jc w:val="left"/>
      </w:pPr>
      <w:r>
        <w:rPr>
          <w:rFonts w:ascii="Times New Roman" w:hAnsi="Times New Roman"/>
          <w:b/>
          <w:i w:val="0"/>
          <w:sz w:val="28"/>
        </w:rPr>
        <w:t>7.1 Five-Fold Cross-Validation</w:t>
      </w:r>
    </w:p>
    <w:p>
      <w:pPr>
        <w:spacing w:line="360" w:lineRule="auto" w:after="120"/>
        <w:jc w:val="both"/>
      </w:pPr>
      <w:r>
        <w:rPr>
          <w:rFonts w:ascii="Times New Roman" w:hAnsi="Times New Roman"/>
          <w:b w:val="0"/>
          <w:i w:val="0"/>
          <w:sz w:val="24"/>
        </w:rPr>
        <w:t>Five-fold cross-validation was performed on each of the 15 prediction targets. For all 15 targets, the cross-validation standard deviation was below 0.04, with most targets well below 0.02. This indicates that the model's performance is largely insensitive to the specific composition of the train/test split.</w:t>
      </w:r>
    </w:p>
    <w:p>
      <w:pPr>
        <w:spacing w:line="360" w:lineRule="auto" w:before="240" w:after="120"/>
        <w:jc w:val="left"/>
      </w:pPr>
      <w:r>
        <w:rPr>
          <w:rFonts w:ascii="Times New Roman" w:hAnsi="Times New Roman"/>
          <w:b/>
          <w:i w:val="0"/>
          <w:sz w:val="28"/>
        </w:rPr>
        <w:t>7.2 Bootstrap Confidence Intervals</w:t>
      </w:r>
    </w:p>
    <w:p>
      <w:pPr>
        <w:spacing w:line="360" w:lineRule="auto" w:after="120"/>
        <w:jc w:val="both"/>
      </w:pPr>
      <w:r>
        <w:rPr>
          <w:rFonts w:ascii="Times New Roman" w:hAnsi="Times New Roman"/>
          <w:b w:val="0"/>
          <w:i w:val="0"/>
          <w:sz w:val="24"/>
        </w:rPr>
        <w:t>Bootstrap confidence intervals were computed by resampling the test predictions with replacement 200 times. For each resample, R-squared was computed; the 2.5th and 97.5th percentiles of the resampled distribution were taken as the 95% confidence interval.</w:t>
      </w:r>
    </w:p>
    <w:p>
      <w:pPr>
        <w:spacing w:line="360" w:lineRule="auto" w:before="240" w:after="120"/>
        <w:jc w:val="left"/>
      </w:pPr>
      <w:r>
        <w:rPr>
          <w:rFonts w:ascii="Times New Roman" w:hAnsi="Times New Roman"/>
          <w:b/>
          <w:i w:val="0"/>
          <w:sz w:val="28"/>
        </w:rPr>
        <w:t>7.3 Leakage Audit Results</w:t>
      </w:r>
    </w:p>
    <w:p>
      <w:pPr>
        <w:spacing w:line="360" w:lineRule="auto" w:after="120"/>
        <w:jc w:val="both"/>
      </w:pPr>
      <w:r>
        <w:rPr>
          <w:rFonts w:ascii="Times New Roman" w:hAnsi="Times New Roman"/>
          <w:b w:val="0"/>
          <w:i w:val="0"/>
          <w:sz w:val="24"/>
        </w:rPr>
        <w:t>The leakage audit identified two cases. The first was the CPM target, where the inclusion of log_spend and log_impressions would allow the model to compute CPM via arithmetic. Both features were removed from the CPM feature set, after which platform encoding was also removed because it alone determined CPM. Final R-squared was 0.73. The second case was CPC, where the spend_per_click feature literally equals the target.</w:t>
      </w:r>
    </w:p>
    <w:p>
      <w:pPr>
        <w:spacing w:line="360" w:lineRule="auto" w:before="240" w:after="120"/>
        <w:jc w:val="left"/>
      </w:pPr>
      <w:r>
        <w:rPr>
          <w:rFonts w:ascii="Times New Roman" w:hAnsi="Times New Roman"/>
          <w:b/>
          <w:i w:val="0"/>
          <w:sz w:val="28"/>
        </w:rPr>
        <w:t>7.4 Robustness Checks</w:t>
      </w:r>
    </w:p>
    <w:p>
      <w:pPr>
        <w:spacing w:line="360" w:lineRule="auto" w:after="120"/>
        <w:jc w:val="both"/>
      </w:pPr>
      <w:r>
        <w:rPr>
          <w:rFonts w:ascii="Times New Roman" w:hAnsi="Times New Roman"/>
          <w:b w:val="0"/>
          <w:i w:val="0"/>
          <w:sz w:val="24"/>
        </w:rPr>
        <w:t>The entire training pipeline was re-run with three different random seeds (42, 7, and 1729). All headline R-squared values varied by less than 0.01 across seeds. Per-platform breakdown showed R-squared values across Facebook, Instagram, Google, Pinterest, and Twitter all within 0.05 of the overall R-squared, indicating the model generalises across platforms.</w:t>
      </w:r>
    </w:p>
    <w:p>
      <w:pPr>
        <w:pageBreakBefore/>
        <w:spacing w:before="480" w:after="360"/>
        <w:jc w:val="center"/>
      </w:pPr>
      <w:r>
        <w:rPr>
          <w:rFonts w:ascii="Times New Roman" w:hAnsi="Times New Roman"/>
          <w:b/>
          <w:sz w:val="32"/>
        </w:rPr>
        <w:t>CHAPTER 8: CONCLUSION AND FUTURE WORK</w:t>
      </w:r>
    </w:p>
    <w:p>
      <w:pPr>
        <w:spacing w:line="360" w:lineRule="auto" w:before="240" w:after="120"/>
        <w:jc w:val="left"/>
      </w:pPr>
      <w:r>
        <w:rPr>
          <w:rFonts w:ascii="Times New Roman" w:hAnsi="Times New Roman"/>
          <w:b/>
          <w:i w:val="0"/>
          <w:sz w:val="28"/>
        </w:rPr>
        <w:t>8.1 Summary of Contributions</w:t>
      </w:r>
    </w:p>
    <w:p>
      <w:pPr>
        <w:spacing w:line="360" w:lineRule="auto" w:after="120"/>
        <w:jc w:val="both"/>
      </w:pPr>
      <w:r>
        <w:rPr>
          <w:rFonts w:ascii="Times New Roman" w:hAnsi="Times New Roman"/>
          <w:b w:val="0"/>
          <w:i w:val="0"/>
          <w:sz w:val="24"/>
        </w:rPr>
        <w:t>This project has made four primary contributions. First, we assembled and released a unified training dataset that combines nine independently-collected Kaggle datasets with 120 manually-tagged competitor advertisements. Second, we trained a multi-task prediction framework comprising fifteen stacked ensembles. Third, we reported results with statistical rigour - every R-squared with 95% bootstrap CI, every regression target with 5-fold cross-validation, and the high-CTR classifier with AUC and Brier score. Fourth, we honestly disclosed two ablation findings that contradict our architectural choices.</w:t>
      </w:r>
    </w:p>
    <w:p>
      <w:pPr>
        <w:spacing w:line="360" w:lineRule="auto" w:before="240" w:after="120"/>
        <w:jc w:val="left"/>
      </w:pPr>
      <w:r>
        <w:rPr>
          <w:rFonts w:ascii="Times New Roman" w:hAnsi="Times New Roman"/>
          <w:b/>
          <w:i w:val="0"/>
          <w:sz w:val="28"/>
        </w:rPr>
        <w:t>8.2 Practical Impact</w:t>
      </w:r>
    </w:p>
    <w:p>
      <w:pPr>
        <w:spacing w:line="360" w:lineRule="auto" w:after="120"/>
        <w:jc w:val="both"/>
      </w:pPr>
      <w:r>
        <w:rPr>
          <w:rFonts w:ascii="Times New Roman" w:hAnsi="Times New Roman"/>
          <w:b w:val="0"/>
          <w:i w:val="0"/>
          <w:sz w:val="24"/>
        </w:rPr>
        <w:t>For performance-marketing teams at Indian D2C brands, the framework can rank candidate creatives by predicted CTR, CPC, CPA, and post-install retention. By identifying weak creatives before launch, teams can reallocate their initial budget more efficiently and reduce wasted spend.</w:t>
      </w:r>
    </w:p>
    <w:p>
      <w:pPr>
        <w:spacing w:line="360" w:lineRule="auto" w:before="240" w:after="120"/>
        <w:jc w:val="left"/>
      </w:pPr>
      <w:r>
        <w:rPr>
          <w:rFonts w:ascii="Times New Roman" w:hAnsi="Times New Roman"/>
          <w:b/>
          <w:i w:val="0"/>
          <w:sz w:val="28"/>
        </w:rPr>
        <w:t>8.3 Limitations</w:t>
      </w:r>
    </w:p>
    <w:p>
      <w:pPr>
        <w:spacing w:line="336" w:lineRule="auto" w:after="80"/>
        <w:ind w:left="454" w:hanging="283"/>
      </w:pPr>
      <w:r>
        <w:rPr>
          <w:rFonts w:ascii="Times New Roman" w:hAnsi="Times New Roman"/>
          <w:sz w:val="24"/>
        </w:rPr>
        <w:t>•  Source heterogeneity: six Kaggle vendors define 'impression' and 'click' differently. We encode source identity as a feature; residual confounding remains.</w:t>
      </w:r>
    </w:p>
    <w:p>
      <w:pPr>
        <w:spacing w:line="336" w:lineRule="auto" w:after="80"/>
        <w:ind w:left="454" w:hanging="283"/>
      </w:pPr>
      <w:r>
        <w:rPr>
          <w:rFonts w:ascii="Times New Roman" w:hAnsi="Times New Roman"/>
          <w:sz w:val="24"/>
        </w:rPr>
        <w:t>•  Synthetic retention labels: D7, D30 and cross-platform lift score are partially synthetic. A production deployment must replace these with measurement-partner data.</w:t>
      </w:r>
    </w:p>
    <w:p>
      <w:pPr>
        <w:spacing w:line="336" w:lineRule="auto" w:after="80"/>
        <w:ind w:left="454" w:hanging="283"/>
      </w:pPr>
      <w:r>
        <w:rPr>
          <w:rFonts w:ascii="Times New Roman" w:hAnsi="Times New Roman"/>
          <w:sz w:val="24"/>
        </w:rPr>
        <w:t>•  Manual tagging sample size: 120 advertisements diversifies the categorical feature space but is insufficient for brand-level inference.</w:t>
      </w:r>
    </w:p>
    <w:p>
      <w:pPr>
        <w:spacing w:line="336" w:lineRule="auto" w:after="80"/>
        <w:ind w:left="454" w:hanging="283"/>
      </w:pPr>
      <w:r>
        <w:rPr>
          <w:rFonts w:ascii="Times New Roman" w:hAnsi="Times New Roman"/>
          <w:sz w:val="24"/>
        </w:rPr>
        <w:t>•  ROI ceiling: ROI in source-06 has |r| &lt; 0.02 with every numeric feature. No algorithmic improvement can extract signal that is not present in the data.</w:t>
      </w:r>
    </w:p>
    <w:p>
      <w:pPr>
        <w:spacing w:line="360" w:lineRule="auto" w:before="240" w:after="120"/>
        <w:jc w:val="left"/>
      </w:pPr>
      <w:r>
        <w:rPr>
          <w:rFonts w:ascii="Times New Roman" w:hAnsi="Times New Roman"/>
          <w:b/>
          <w:i w:val="0"/>
          <w:sz w:val="28"/>
        </w:rPr>
        <w:t>8.4 Future Work</w:t>
      </w:r>
    </w:p>
    <w:p>
      <w:pPr>
        <w:spacing w:line="336" w:lineRule="auto" w:after="80"/>
        <w:ind w:left="454" w:hanging="283"/>
      </w:pPr>
      <w:r>
        <w:rPr>
          <w:rFonts w:ascii="Times New Roman" w:hAnsi="Times New Roman"/>
          <w:sz w:val="24"/>
        </w:rPr>
        <w:t>•  Expand the manual tagging exercise to several hundred advertisements per priority brand.</w:t>
      </w:r>
    </w:p>
    <w:p>
      <w:pPr>
        <w:spacing w:line="336" w:lineRule="auto" w:after="80"/>
        <w:ind w:left="454" w:hanging="283"/>
      </w:pPr>
      <w:r>
        <w:rPr>
          <w:rFonts w:ascii="Times New Roman" w:hAnsi="Times New Roman"/>
          <w:sz w:val="24"/>
        </w:rPr>
        <w:t>•  Replace the synthetic post-install retention block with real measurement-partner data.</w:t>
      </w:r>
    </w:p>
    <w:p>
      <w:pPr>
        <w:spacing w:line="336" w:lineRule="auto" w:after="80"/>
        <w:ind w:left="454" w:hanging="283"/>
      </w:pPr>
      <w:r>
        <w:rPr>
          <w:rFonts w:ascii="Times New Roman" w:hAnsi="Times New Roman"/>
          <w:sz w:val="24"/>
        </w:rPr>
        <w:t>•  Replace categorical theme labels with continuous semantic embeddings from a large language model such as BERT.</w:t>
      </w:r>
    </w:p>
    <w:p>
      <w:pPr>
        <w:spacing w:line="336" w:lineRule="auto" w:after="80"/>
        <w:ind w:left="454" w:hanging="283"/>
      </w:pPr>
      <w:r>
        <w:rPr>
          <w:rFonts w:ascii="Times New Roman" w:hAnsi="Times New Roman"/>
          <w:sz w:val="24"/>
        </w:rPr>
        <w:t>•  Incorporate online A/B testing with drift monitoring for production deployment.</w:t>
      </w:r>
    </w:p>
    <w:p>
      <w:pPr>
        <w:spacing w:line="336" w:lineRule="auto" w:after="80"/>
        <w:ind w:left="454" w:hanging="283"/>
      </w:pPr>
      <w:r>
        <w:rPr>
          <w:rFonts w:ascii="Times New Roman" w:hAnsi="Times New Roman"/>
          <w:sz w:val="24"/>
        </w:rPr>
        <w:t>•  Move from independent per-target ensembles to multi-task learning where the targets share a common representation.</w:t>
      </w:r>
    </w:p>
    <w:p>
      <w:pPr>
        <w:pageBreakBefore/>
        <w:spacing w:before="480" w:after="360"/>
        <w:jc w:val="center"/>
      </w:pPr>
      <w:r>
        <w:rPr>
          <w:rFonts w:ascii="Times New Roman" w:hAnsi="Times New Roman"/>
          <w:b/>
          <w:sz w:val="32"/>
        </w:rPr>
        <w:t>REFERENCES</w:t>
      </w:r>
    </w:p>
    <w:p>
      <w:pPr>
        <w:spacing w:line="288" w:lineRule="auto" w:after="80"/>
        <w:ind w:left="397" w:hanging="397"/>
      </w:pPr>
      <w:r>
        <w:rPr>
          <w:rFonts w:ascii="Times New Roman" w:hAnsi="Times New Roman"/>
          <w:sz w:val="22"/>
        </w:rPr>
        <w:t>[1]  Kaggle. Facebook Ad Campaign Dataset. https://www.kaggle.com/datasets</w:t>
      </w:r>
    </w:p>
    <w:p>
      <w:pPr>
        <w:spacing w:line="288" w:lineRule="auto" w:after="80"/>
        <w:ind w:left="397" w:hanging="397"/>
      </w:pPr>
      <w:r>
        <w:rPr>
          <w:rFonts w:ascii="Times New Roman" w:hAnsi="Times New Roman"/>
          <w:sz w:val="22"/>
        </w:rPr>
        <w:t>[2]  Kaggle. Social Media Advertising 300k Dataset. https://www.kaggle.com/datasets</w:t>
      </w:r>
    </w:p>
    <w:p>
      <w:pPr>
        <w:spacing w:line="288" w:lineRule="auto" w:after="80"/>
        <w:ind w:left="397" w:hanging="397"/>
      </w:pPr>
      <w:r>
        <w:rPr>
          <w:rFonts w:ascii="Times New Roman" w:hAnsi="Times New Roman"/>
          <w:sz w:val="22"/>
        </w:rPr>
        <w:t>[3]  Kaggle. Ad Click Prediction 10k Dataset. https://www.kaggle.com/datasets</w:t>
      </w:r>
    </w:p>
    <w:p>
      <w:pPr>
        <w:spacing w:line="288" w:lineRule="auto" w:after="80"/>
        <w:ind w:left="397" w:hanging="397"/>
      </w:pPr>
      <w:r>
        <w:rPr>
          <w:rFonts w:ascii="Times New Roman" w:hAnsi="Times New Roman"/>
          <w:sz w:val="22"/>
        </w:rPr>
        <w:t>[4]  Kaggle. Social Media Ad Optimization Dataset. https://www.kaggle.com/datasets</w:t>
      </w:r>
    </w:p>
    <w:p>
      <w:pPr>
        <w:spacing w:line="288" w:lineRule="auto" w:after="80"/>
        <w:ind w:left="397" w:hanging="397"/>
      </w:pPr>
      <w:r>
        <w:rPr>
          <w:rFonts w:ascii="Times New Roman" w:hAnsi="Times New Roman"/>
          <w:sz w:val="22"/>
        </w:rPr>
        <w:t>[5]  Kaggle. Full Ad Campaign Relational Database. https://www.kaggle.com/datasets</w:t>
      </w:r>
    </w:p>
    <w:p>
      <w:pPr>
        <w:spacing w:line="288" w:lineRule="auto" w:after="80"/>
        <w:ind w:left="397" w:hanging="397"/>
      </w:pPr>
      <w:r>
        <w:rPr>
          <w:rFonts w:ascii="Times New Roman" w:hAnsi="Times New Roman"/>
          <w:sz w:val="22"/>
        </w:rPr>
        <w:t>[6]  Kaggle. Marketing Campaign Performance 200k Dataset. https://www.kaggle.com/datasets</w:t>
      </w:r>
    </w:p>
    <w:p>
      <w:pPr>
        <w:spacing w:line="288" w:lineRule="auto" w:after="80"/>
        <w:ind w:left="397" w:hanging="397"/>
      </w:pPr>
      <w:r>
        <w:rPr>
          <w:rFonts w:ascii="Times New Roman" w:hAnsi="Times New Roman"/>
          <w:sz w:val="22"/>
        </w:rPr>
        <w:t>[7]  Meta Platforms, Inc. (2026). Meta Ad Library. https://facebook.com/ads/library</w:t>
      </w:r>
    </w:p>
    <w:p>
      <w:pPr>
        <w:spacing w:line="288" w:lineRule="auto" w:after="80"/>
        <w:ind w:left="397" w:hanging="397"/>
      </w:pPr>
      <w:r>
        <w:rPr>
          <w:rFonts w:ascii="Times New Roman" w:hAnsi="Times New Roman"/>
          <w:sz w:val="22"/>
        </w:rPr>
        <w:t>[8]  Google LLC. (2026). Google Ads Transparency Center. https://adstransparency.google.com</w:t>
      </w:r>
    </w:p>
    <w:p>
      <w:pPr>
        <w:spacing w:line="288" w:lineRule="auto" w:after="80"/>
        <w:ind w:left="397" w:hanging="397"/>
      </w:pPr>
      <w:r>
        <w:rPr>
          <w:rFonts w:ascii="Times New Roman" w:hAnsi="Times New Roman"/>
          <w:sz w:val="22"/>
        </w:rPr>
        <w:t>[9]  Friedman, J. H. (2001). Greedy function approximation: a gradient boosting machine. Annals of Statistics, 29(5), 1189-1232.</w:t>
      </w:r>
    </w:p>
    <w:p>
      <w:pPr>
        <w:spacing w:line="288" w:lineRule="auto" w:after="80"/>
        <w:ind w:left="397" w:hanging="397"/>
      </w:pPr>
      <w:r>
        <w:rPr>
          <w:rFonts w:ascii="Times New Roman" w:hAnsi="Times New Roman"/>
          <w:sz w:val="22"/>
        </w:rPr>
        <w:t>[10]  Ke, G., Meng, Q., Finley, T. et al. (2017). LightGBM: A Highly Efficient Gradient Boosting Decision Tree. NeurIPS 30.</w:t>
      </w:r>
    </w:p>
    <w:p>
      <w:pPr>
        <w:spacing w:line="288" w:lineRule="auto" w:after="80"/>
        <w:ind w:left="397" w:hanging="397"/>
      </w:pPr>
      <w:r>
        <w:rPr>
          <w:rFonts w:ascii="Times New Roman" w:hAnsi="Times New Roman"/>
          <w:sz w:val="22"/>
        </w:rPr>
        <w:t>[11]  Chen, T. and Guestrin, C. (2016). XGBoost: A Scalable Tree Boosting System. KDD '16, 785-794.</w:t>
      </w:r>
    </w:p>
    <w:p>
      <w:pPr>
        <w:spacing w:line="288" w:lineRule="auto" w:after="80"/>
        <w:ind w:left="397" w:hanging="397"/>
      </w:pPr>
      <w:r>
        <w:rPr>
          <w:rFonts w:ascii="Times New Roman" w:hAnsi="Times New Roman"/>
          <w:sz w:val="22"/>
        </w:rPr>
        <w:t>[12]  Pedregosa, F. et al. (2011). Scikit-learn: Machine Learning in Python. JMLR 12, 2825-2830.</w:t>
      </w:r>
    </w:p>
    <w:p>
      <w:pPr>
        <w:spacing w:line="288" w:lineRule="auto" w:after="80"/>
        <w:ind w:left="397" w:hanging="397"/>
      </w:pPr>
      <w:r>
        <w:rPr>
          <w:rFonts w:ascii="Times New Roman" w:hAnsi="Times New Roman"/>
          <w:sz w:val="22"/>
        </w:rPr>
        <w:t>[13]  Brier, G. W. (1950). Verification of forecasts expressed in terms of probability. Monthly Weather Review 78(1), 1-3.</w:t>
      </w:r>
    </w:p>
    <w:p>
      <w:pPr>
        <w:spacing w:line="288" w:lineRule="auto" w:after="80"/>
        <w:ind w:left="397" w:hanging="397"/>
      </w:pPr>
      <w:r>
        <w:rPr>
          <w:rFonts w:ascii="Times New Roman" w:hAnsi="Times New Roman"/>
          <w:sz w:val="22"/>
        </w:rPr>
        <w:t>[14]  Wolpert, D. H. (1992). Stacked generalization. Neural Networks, 5(2), 241-259.</w:t>
      </w:r>
    </w:p>
    <w:p>
      <w:pPr>
        <w:spacing w:line="288" w:lineRule="auto" w:after="80"/>
        <w:ind w:left="397" w:hanging="397"/>
      </w:pPr>
      <w:r>
        <w:rPr>
          <w:rFonts w:ascii="Times New Roman" w:hAnsi="Times New Roman"/>
          <w:sz w:val="22"/>
        </w:rPr>
        <w:t>[15]  Rendle, S. (2010). Factorization Machines. Proceedings of the 10th IEEE International Conference on Data Mining, 995-1000.</w:t>
      </w:r>
    </w:p>
    <w:p>
      <w:pPr>
        <w:spacing w:line="288" w:lineRule="auto" w:after="80"/>
        <w:ind w:left="397" w:hanging="397"/>
      </w:pPr>
      <w:r>
        <w:rPr>
          <w:rFonts w:ascii="Times New Roman" w:hAnsi="Times New Roman"/>
          <w:sz w:val="22"/>
        </w:rPr>
        <w:t>[16]  Juan, Y., Zhuang, Y., Chin, W.-S., and Lin, C.-J. (2016). Field-aware factorization machines for CTR prediction. RecSys '16, 43-50.</w:t>
      </w:r>
    </w:p>
    <w:p>
      <w:pPr>
        <w:spacing w:line="288" w:lineRule="auto" w:after="80"/>
        <w:ind w:left="397" w:hanging="397"/>
      </w:pPr>
      <w:r>
        <w:rPr>
          <w:rFonts w:ascii="Times New Roman" w:hAnsi="Times New Roman"/>
          <w:sz w:val="22"/>
        </w:rPr>
        <w:t>[17]  Cheng, H.-T. et al. (2016). Wide and deep learning for recommender systems. DLRS '16, 7-10.</w:t>
      </w:r>
    </w:p>
    <w:p>
      <w:pPr>
        <w:spacing w:line="288" w:lineRule="auto" w:after="80"/>
        <w:ind w:left="397" w:hanging="397"/>
      </w:pPr>
      <w:r>
        <w:rPr>
          <w:rFonts w:ascii="Times New Roman" w:hAnsi="Times New Roman"/>
          <w:sz w:val="22"/>
        </w:rPr>
        <w:t>[18]  Wang, R., Fu, B., Fu, G., and Wang, M. (2017). Deep &amp; Cross Network for Ad Click Predictions. ADKDD '17, 1-7.</w:t>
      </w:r>
    </w:p>
    <w:p>
      <w:pPr>
        <w:spacing w:line="288" w:lineRule="auto" w:after="80"/>
        <w:ind w:left="397" w:hanging="397"/>
      </w:pPr>
      <w:r>
        <w:rPr>
          <w:rFonts w:ascii="Times New Roman" w:hAnsi="Times New Roman"/>
          <w:sz w:val="22"/>
        </w:rPr>
        <w:t>[19]  Breiman, L. (2001). Random forests. Machine Learning, 45(1), 5-32.</w:t>
      </w:r>
    </w:p>
    <w:p>
      <w:pPr>
        <w:spacing w:line="288" w:lineRule="auto" w:after="80"/>
        <w:ind w:left="397" w:hanging="397"/>
      </w:pPr>
      <w:r>
        <w:rPr>
          <w:rFonts w:ascii="Times New Roman" w:hAnsi="Times New Roman"/>
          <w:sz w:val="22"/>
        </w:rPr>
        <w:t>[20]  Hoerl, A. E. and Kennard, R. W. (1970). Ridge regression: Biased estimation for nonorthogonal problems. Technometrics, 12(1), 55-67.</w:t>
      </w:r>
    </w:p>
    <w:p>
      <w:pPr>
        <w:spacing w:line="288" w:lineRule="auto" w:after="80"/>
        <w:ind w:left="397" w:hanging="397"/>
      </w:pPr>
      <w:r>
        <w:rPr>
          <w:rFonts w:ascii="Times New Roman" w:hAnsi="Times New Roman"/>
          <w:sz w:val="22"/>
        </w:rPr>
        <w:t>[21]  Efron, B. (1979). Bootstrap methods: Another look at the jackknife. The Annals of Statistics, 7(1), 1-26.</w:t>
      </w:r>
    </w:p>
    <w:p>
      <w:pPr>
        <w:spacing w:line="288" w:lineRule="auto" w:after="80"/>
        <w:ind w:left="397" w:hanging="397"/>
      </w:pPr>
      <w:r>
        <w:rPr>
          <w:rFonts w:ascii="Times New Roman" w:hAnsi="Times New Roman"/>
          <w:sz w:val="22"/>
        </w:rPr>
        <w:t>[22]  Shwartz-Ziv, R. and Armon, A. (2022). Tabular data: Deep learning is not all you need. Information Fusion, 81, 84-90.</w:t>
      </w:r>
    </w:p>
    <w:p>
      <w:pPr>
        <w:pageBreakBefore/>
        <w:spacing w:before="480" w:after="360"/>
        <w:jc w:val="center"/>
      </w:pPr>
      <w:r>
        <w:rPr>
          <w:rFonts w:ascii="Times New Roman" w:hAnsi="Times New Roman"/>
          <w:b/>
          <w:sz w:val="32"/>
        </w:rPr>
        <w:t>APPENDIX A: TEAM CONTRIBUTION</w:t>
      </w:r>
    </w:p>
    <w:tbl>
      <w:tblPr>
        <w:tblW w:type="auto" w:w="0"/>
        <w:tblLook w:firstColumn="1" w:firstRow="1" w:lastColumn="0" w:lastRow="0" w:noHBand="0" w:noVBand="1" w:val="04A0"/>
      </w:tblPr>
      <w:tblGrid>
        <w:gridCol w:w="3143"/>
        <w:gridCol w:w="3143"/>
        <w:gridCol w:w="3143"/>
      </w:tblGrid>
      <w:tr>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Member</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Role</w:t>
            </w:r>
          </w:p>
        </w:tc>
        <w:tc>
          <w:tcPr>
            <w:tcW w:type="dxa" w:w="3143"/>
            <w:tcBorders>
              <w:top w:val="single" w:sz="4" w:space="0" w:color="BFBFBF"/>
              <w:left w:val="single" w:sz="4" w:space="0" w:color="BFBFBF"/>
              <w:bottom w:val="single" w:sz="4" w:space="0" w:color="BFBFBF"/>
              <w:right w:val="single" w:sz="4" w:space="0" w:color="BFBFBF"/>
            </w:tcBorders>
            <w:shd w:val="clear" w:color="auto" w:fill="F2F2F2"/>
          </w:tcPr>
          <w:p>
            <w:r>
              <w:rPr>
                <w:rFonts w:ascii="Times New Roman" w:hAnsi="Times New Roman"/>
                <w:b/>
                <w:color w:val="404040"/>
                <w:sz w:val="22"/>
              </w:rPr>
              <w:t>Specific Contribution</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Deepanshu Jindal (2210990255)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Data Strategy &amp; Product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Curated 9 Kaggle sources from 30+ candidates; hand-tagged 120 competitor ads over 8 days; designed 20-brand coverage map; architected the canonical 12-column schema; caught 382 misaligned rows in source 1.</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Akashdeep Singla (2210991215) - Team Lead</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Model Development</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Built the 4-model stacked ensemble; designed the training pipeline; ran the leakage audit; chose hyperparameters; coordinated overall integration.</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Medha Anand Chomal (2210991914)</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Feature Engineering</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Designed the harmonisation pipeline; engineered 8 derived features; built the per-target leakage-prevention guard; defined the label encoding and missing-value strategies.</w:t>
            </w:r>
          </w:p>
        </w:tc>
      </w:tr>
      <w:tr>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Harsh Sinha (2210991625)</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Model Evaluation &amp; Validation</w:t>
            </w:r>
          </w:p>
        </w:tc>
        <w:tc>
          <w:tcPr>
            <w:tcW w:type="dxa" w:w="3143"/>
            <w:tcBorders>
              <w:top w:val="single" w:sz="4" w:space="0" w:color="D9D9D9"/>
              <w:left w:val="single" w:sz="4" w:space="0" w:color="D9D9D9"/>
              <w:bottom w:val="single" w:sz="4" w:space="0" w:color="D9D9D9"/>
              <w:right w:val="single" w:sz="4" w:space="0" w:color="D9D9D9"/>
            </w:tcBorders>
          </w:tcPr>
          <w:p>
            <w:r>
              <w:rPr>
                <w:rFonts w:ascii="Times New Roman" w:hAnsi="Times New Roman"/>
                <w:color w:val="404040"/>
                <w:sz w:val="20"/>
              </w:rPr>
              <w:t>Built the full evaluation protocol (CV, bootstrap CIs); wrote the ablation study script; built the baseline comparison; generated all 6 figures; discovered the LLM-data finding.</w:t>
            </w:r>
          </w:p>
        </w:tc>
      </w:tr>
    </w:tbl>
    <w:p>
      <w:pPr>
        <w:spacing w:after="240"/>
        <w:jc w:val="center"/>
      </w:pPr>
      <w:r>
        <w:rPr>
          <w:rFonts w:ascii="Times New Roman" w:hAnsi="Times New Roman"/>
          <w:i/>
          <w:sz w:val="20"/>
        </w:rPr>
        <w:t>Table A.1  Team Contribution Distribution</w:t>
      </w: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1F98A" w14:textId="77777777" w:rsidR="00041427" w:rsidRDefault="00041427">
      <w:pPr>
        <w:spacing w:line="240" w:lineRule="auto"/>
      </w:pPr>
      <w:r>
        <w:separator/>
      </w:r>
    </w:p>
  </w:endnote>
  <w:endnote w:type="continuationSeparator" w:id="0">
    <w:p w14:paraId="56332979" w14:textId="77777777" w:rsidR="00041427" w:rsidRDefault="000414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0270A" w14:textId="77777777" w:rsidR="00041427" w:rsidRDefault="00041427">
      <w:pPr>
        <w:spacing w:line="240" w:lineRule="auto"/>
      </w:pPr>
      <w:r>
        <w:separator/>
      </w:r>
    </w:p>
  </w:footnote>
  <w:footnote w:type="continuationSeparator" w:id="0">
    <w:p w14:paraId="40CC121B" w14:textId="77777777" w:rsidR="00041427" w:rsidRDefault="000414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4"/>
  </w:num>
  <w:num w:numId="2" w16cid:durableId="1552956632">
    <w:abstractNumId w:val="8"/>
  </w:num>
  <w:num w:numId="3" w16cid:durableId="891844765">
    <w:abstractNumId w:val="11"/>
  </w:num>
  <w:num w:numId="4" w16cid:durableId="406920987">
    <w:abstractNumId w:val="13"/>
  </w:num>
  <w:num w:numId="5" w16cid:durableId="1681278146">
    <w:abstractNumId w:val="3"/>
  </w:num>
  <w:num w:numId="6" w16cid:durableId="458108738">
    <w:abstractNumId w:val="6"/>
  </w:num>
  <w:num w:numId="7" w16cid:durableId="39013002">
    <w:abstractNumId w:val="5"/>
  </w:num>
  <w:num w:numId="8" w16cid:durableId="1284072195">
    <w:abstractNumId w:val="12"/>
  </w:num>
  <w:num w:numId="9" w16cid:durableId="667294033">
    <w:abstractNumId w:val="1"/>
  </w:num>
  <w:num w:numId="10" w16cid:durableId="1917082791">
    <w:abstractNumId w:val="7"/>
  </w:num>
  <w:num w:numId="11" w16cid:durableId="1353459324">
    <w:abstractNumId w:val="9"/>
  </w:num>
  <w:num w:numId="12" w16cid:durableId="47845988">
    <w:abstractNumId w:val="2"/>
  </w:num>
  <w:num w:numId="13" w16cid:durableId="1079906381">
    <w:abstractNumId w:val="0"/>
  </w:num>
  <w:num w:numId="14" w16cid:durableId="1153328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82D41"/>
    <w:rsid w:val="00985E93"/>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Ashish Kumar</cp:lastModifiedBy>
  <cp:revision>25</cp:revision>
  <dcterms:created xsi:type="dcterms:W3CDTF">2024-02-26T09:18:00Z</dcterms:created>
  <dcterms:modified xsi:type="dcterms:W3CDTF">2025-04-15T04:07:00Z</dcterms:modified>
</cp:coreProperties>
</file>