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6952"/>
      </w:tblGrid>
      <w:tr w:rsidR="00B350A9" w14:paraId="7750B1BE" w14:textId="77777777" w:rsidTr="00B350A9">
        <w:tc>
          <w:tcPr>
            <w:tcW w:w="2436" w:type="dxa"/>
          </w:tcPr>
          <w:p w14:paraId="40857C7D" w14:textId="77777777" w:rsidR="00B350A9" w:rsidRDefault="00B350A9" w:rsidP="00B350A9">
            <w:pPr>
              <w:spacing w:before="100" w:beforeAutospacing="1" w:after="100" w:afterAutospacing="1"/>
              <w:jc w:val="center"/>
              <w:outlineLvl w:val="1"/>
              <w:rPr>
                <w:rFonts w:ascii="Arial" w:eastAsia="Times New Roman" w:hAnsi="Arial" w:cs="Arial"/>
                <w:b/>
                <w:bCs/>
                <w:sz w:val="24"/>
                <w:szCs w:val="24"/>
              </w:rPr>
            </w:pPr>
            <w:r w:rsidRPr="00B350A9">
              <w:rPr>
                <w:rFonts w:ascii="Arial" w:eastAsia="Times New Roman" w:hAnsi="Arial" w:cs="Arial"/>
                <w:b/>
                <w:bCs/>
                <w:noProof/>
                <w:sz w:val="24"/>
                <w:szCs w:val="24"/>
              </w:rPr>
              <w:drawing>
                <wp:inline distT="0" distB="0" distL="0" distR="0" wp14:anchorId="3D1A8ED2" wp14:editId="3EE5E9A1">
                  <wp:extent cx="1009650" cy="838200"/>
                  <wp:effectExtent l="19050" t="0" r="0" b="0"/>
                  <wp:docPr id="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srcRect/>
                          <a:stretch>
                            <a:fillRect/>
                          </a:stretch>
                        </pic:blipFill>
                        <pic:spPr bwMode="auto">
                          <a:xfrm>
                            <a:off x="0" y="0"/>
                            <a:ext cx="1009650" cy="838200"/>
                          </a:xfrm>
                          <a:prstGeom prst="rect">
                            <a:avLst/>
                          </a:prstGeom>
                          <a:noFill/>
                          <a:ln w="9525">
                            <a:noFill/>
                            <a:miter lim="800000"/>
                            <a:headEnd/>
                            <a:tailEnd/>
                          </a:ln>
                        </pic:spPr>
                      </pic:pic>
                    </a:graphicData>
                  </a:graphic>
                </wp:inline>
              </w:drawing>
            </w:r>
          </w:p>
        </w:tc>
        <w:tc>
          <w:tcPr>
            <w:tcW w:w="7140" w:type="dxa"/>
          </w:tcPr>
          <w:p w14:paraId="5C059DA7" w14:textId="77777777" w:rsidR="00B350A9" w:rsidRDefault="00B350A9" w:rsidP="00B350A9">
            <w:pPr>
              <w:jc w:val="center"/>
              <w:rPr>
                <w:rFonts w:ascii="Arial" w:eastAsia="Times New Roman" w:hAnsi="Arial" w:cs="Arial"/>
                <w:b/>
                <w:kern w:val="36"/>
                <w:sz w:val="24"/>
                <w:szCs w:val="24"/>
              </w:rPr>
            </w:pPr>
          </w:p>
          <w:p w14:paraId="5E7DEC21"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CENTRE FOR DISTANCE AND ONLINE EDUCATION</w:t>
            </w:r>
          </w:p>
          <w:p w14:paraId="1FD88D60"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ANNA UNIVERSITY, CHENNAI – 600025</w:t>
            </w:r>
          </w:p>
          <w:p w14:paraId="51B4581E" w14:textId="77777777" w:rsidR="00814D48" w:rsidRDefault="00814D48" w:rsidP="00B350A9">
            <w:pPr>
              <w:jc w:val="center"/>
              <w:rPr>
                <w:rFonts w:ascii="Arial" w:eastAsia="Times New Roman" w:hAnsi="Arial" w:cs="Arial"/>
                <w:b/>
                <w:sz w:val="24"/>
                <w:szCs w:val="24"/>
              </w:rPr>
            </w:pPr>
            <w:r>
              <w:rPr>
                <w:rFonts w:ascii="Arial" w:eastAsia="Times New Roman" w:hAnsi="Arial" w:cs="Arial"/>
                <w:b/>
                <w:sz w:val="24"/>
                <w:szCs w:val="24"/>
              </w:rPr>
              <w:t xml:space="preserve">Contact: </w:t>
            </w:r>
            <w:r w:rsidR="00B350A9" w:rsidRPr="00B350A9">
              <w:rPr>
                <w:rFonts w:ascii="Arial" w:eastAsia="Times New Roman" w:hAnsi="Arial" w:cs="Arial"/>
                <w:b/>
                <w:sz w:val="24"/>
                <w:szCs w:val="24"/>
              </w:rPr>
              <w:t>044 22357210 / 8838169895</w:t>
            </w:r>
          </w:p>
          <w:p w14:paraId="0EA5523D" w14:textId="77777777" w:rsidR="00B350A9" w:rsidRDefault="00814D48" w:rsidP="00B350A9">
            <w:pPr>
              <w:jc w:val="center"/>
              <w:rPr>
                <w:rFonts w:eastAsia="Times New Roman"/>
              </w:rPr>
            </w:pPr>
            <w:r>
              <w:rPr>
                <w:rFonts w:ascii="Arial" w:eastAsia="Times New Roman" w:hAnsi="Arial" w:cs="Arial"/>
                <w:b/>
                <w:sz w:val="24"/>
                <w:szCs w:val="24"/>
              </w:rPr>
              <w:t>Email: onlinecde@annauniv.edu</w:t>
            </w:r>
          </w:p>
        </w:tc>
      </w:tr>
    </w:tbl>
    <w:p w14:paraId="6DBFC014" w14:textId="77777777" w:rsidR="00B350A9" w:rsidRDefault="0049239F" w:rsidP="00B350A9">
      <w:pPr>
        <w:jc w:val="center"/>
        <w:rPr>
          <w:rFonts w:ascii="Arial" w:eastAsia="Times New Roman" w:hAnsi="Arial" w:cs="Arial"/>
          <w:b/>
          <w:sz w:val="24"/>
          <w:szCs w:val="24"/>
        </w:rPr>
      </w:pPr>
      <w:r>
        <w:rPr>
          <w:rFonts w:ascii="Arial" w:eastAsia="Times New Roman" w:hAnsi="Arial" w:cs="Arial"/>
          <w:b/>
          <w:sz w:val="24"/>
          <w:szCs w:val="24"/>
        </w:rPr>
        <w:t>______________________________________________________________________</w:t>
      </w:r>
    </w:p>
    <w:p w14:paraId="7038BB6B" w14:textId="77777777" w:rsidR="00B350A9" w:rsidRPr="00B350A9" w:rsidRDefault="00B350A9" w:rsidP="00B350A9">
      <w:pPr>
        <w:jc w:val="center"/>
        <w:rPr>
          <w:rFonts w:ascii="Arial" w:eastAsia="Times New Roman" w:hAnsi="Arial" w:cs="Arial"/>
          <w:b/>
          <w:sz w:val="24"/>
          <w:szCs w:val="24"/>
          <w:u w:val="single"/>
        </w:rPr>
      </w:pPr>
      <w:r w:rsidRPr="00B350A9">
        <w:rPr>
          <w:rFonts w:ascii="Arial" w:eastAsia="Times New Roman" w:hAnsi="Arial" w:cs="Arial"/>
          <w:b/>
          <w:sz w:val="24"/>
          <w:szCs w:val="24"/>
          <w:u w:val="single"/>
        </w:rPr>
        <w:t xml:space="preserve">PROJECT </w:t>
      </w:r>
      <w:proofErr w:type="gramStart"/>
      <w:r w:rsidRPr="00B350A9">
        <w:rPr>
          <w:rFonts w:ascii="Arial" w:eastAsia="Times New Roman" w:hAnsi="Arial" w:cs="Arial"/>
          <w:b/>
          <w:sz w:val="24"/>
          <w:szCs w:val="24"/>
          <w:u w:val="single"/>
        </w:rPr>
        <w:t>PROPOSAL(</w:t>
      </w:r>
      <w:proofErr w:type="gramEnd"/>
      <w:r w:rsidRPr="00B350A9">
        <w:rPr>
          <w:rFonts w:ascii="Arial" w:eastAsia="Times New Roman" w:hAnsi="Arial" w:cs="Arial"/>
          <w:b/>
          <w:sz w:val="24"/>
          <w:szCs w:val="24"/>
          <w:u w:val="single"/>
        </w:rPr>
        <w:t xml:space="preserve">CY24 – </w:t>
      </w:r>
      <w:r w:rsidR="00AB78C9">
        <w:rPr>
          <w:rFonts w:ascii="Arial" w:eastAsia="Times New Roman" w:hAnsi="Arial" w:cs="Arial"/>
          <w:b/>
          <w:sz w:val="24"/>
          <w:szCs w:val="24"/>
          <w:u w:val="single"/>
        </w:rPr>
        <w:t xml:space="preserve">BA/GM </w:t>
      </w:r>
      <w:r w:rsidRPr="00B350A9">
        <w:rPr>
          <w:rFonts w:ascii="Arial" w:eastAsia="Times New Roman" w:hAnsi="Arial" w:cs="Arial"/>
          <w:b/>
          <w:sz w:val="24"/>
          <w:szCs w:val="24"/>
          <w:u w:val="single"/>
        </w:rPr>
        <w:t>Batch)</w:t>
      </w:r>
    </w:p>
    <w:p w14:paraId="4B7AF753" w14:textId="77777777" w:rsidR="00B350A9" w:rsidRPr="00B350A9" w:rsidRDefault="00B350A9" w:rsidP="00B350A9">
      <w:pPr>
        <w:spacing w:before="100" w:beforeAutospacing="1" w:after="100" w:afterAutospacing="1" w:line="240" w:lineRule="auto"/>
        <w:jc w:val="center"/>
        <w:outlineLvl w:val="1"/>
        <w:rPr>
          <w:rFonts w:ascii="Arial" w:eastAsia="Times New Roman" w:hAnsi="Arial" w:cs="Arial"/>
          <w:b/>
          <w:bCs/>
          <w:sz w:val="24"/>
          <w:szCs w:val="24"/>
        </w:rPr>
      </w:pPr>
    </w:p>
    <w:p w14:paraId="476F03F1" w14:textId="36B941CA" w:rsidR="00B350A9" w:rsidRPr="00B350A9" w:rsidRDefault="00B350A9" w:rsidP="00B350A9">
      <w:pPr>
        <w:spacing w:before="100" w:beforeAutospacing="1" w:after="100" w:afterAutospacing="1" w:line="480" w:lineRule="auto"/>
        <w:outlineLvl w:val="2"/>
        <w:rPr>
          <w:rFonts w:ascii="Arial" w:eastAsia="Times New Roman" w:hAnsi="Arial" w:cs="Arial"/>
          <w:b/>
          <w:bCs/>
          <w:sz w:val="24"/>
          <w:szCs w:val="24"/>
        </w:rPr>
      </w:pPr>
      <w:r w:rsidRPr="00B350A9">
        <w:rPr>
          <w:rFonts w:ascii="Arial" w:eastAsia="Times New Roman" w:hAnsi="Arial" w:cs="Arial"/>
          <w:b/>
          <w:bCs/>
          <w:sz w:val="24"/>
          <w:szCs w:val="24"/>
        </w:rPr>
        <w:t>Title of the Project</w:t>
      </w:r>
      <w:r>
        <w:rPr>
          <w:rFonts w:ascii="Arial" w:eastAsia="Times New Roman" w:hAnsi="Arial" w:cs="Arial"/>
          <w:b/>
          <w:bCs/>
          <w:sz w:val="24"/>
          <w:szCs w:val="24"/>
        </w:rPr>
        <w:tab/>
      </w:r>
      <w:r w:rsidRPr="00B350A9">
        <w:rPr>
          <w:rFonts w:ascii="Arial" w:eastAsia="Times New Roman" w:hAnsi="Arial" w:cs="Arial"/>
          <w:b/>
          <w:bCs/>
          <w:sz w:val="24"/>
          <w:szCs w:val="24"/>
        </w:rPr>
        <w:t xml:space="preserve">: </w:t>
      </w:r>
      <w:r w:rsidR="006E4217">
        <w:rPr>
          <w:rFonts w:ascii="Times New Roman" w:hAnsi="Times New Roman"/>
          <w:sz w:val="24"/>
        </w:rPr>
        <w:t xml:space="preserve"> </w:t>
      </w:r>
      <w:r w:rsidR="008A3C13">
        <w:rPr>
          <w:rFonts w:ascii="Times New Roman" w:hAnsi="Times New Roman"/>
          <w:sz w:val="24"/>
        </w:rPr>
        <w:t>AI-Driven Transformation in Banking GRC: Implications on Human Behavioral Adaptation</w:t>
      </w:r>
    </w:p>
    <w:p w14:paraId="08F717C2" w14:textId="19DF6457"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Student’s Name</w:t>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proofErr w:type="spellStart"/>
      <w:r w:rsidR="00562AE4">
        <w:rPr>
          <w:rFonts w:ascii="Arial" w:eastAsia="Times New Roman" w:hAnsi="Arial" w:cs="Arial"/>
          <w:b/>
          <w:bCs/>
          <w:sz w:val="24"/>
          <w:szCs w:val="24"/>
        </w:rPr>
        <w:t>Narentheran</w:t>
      </w:r>
      <w:proofErr w:type="spellEnd"/>
      <w:r w:rsidR="00562AE4">
        <w:rPr>
          <w:rFonts w:ascii="Arial" w:eastAsia="Times New Roman" w:hAnsi="Arial" w:cs="Arial"/>
          <w:b/>
          <w:bCs/>
          <w:sz w:val="24"/>
          <w:szCs w:val="24"/>
        </w:rPr>
        <w:t xml:space="preserve"> S</w:t>
      </w:r>
    </w:p>
    <w:p w14:paraId="0A5733D6" w14:textId="4D78BDD1"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Roll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r w:rsidR="00562AE4" w:rsidRPr="00562AE4">
        <w:rPr>
          <w:rFonts w:ascii="Arial" w:eastAsia="Times New Roman" w:hAnsi="Arial" w:cs="Arial"/>
          <w:b/>
          <w:bCs/>
          <w:sz w:val="24"/>
          <w:szCs w:val="24"/>
        </w:rPr>
        <w:t>2406OBA0034</w:t>
      </w:r>
    </w:p>
    <w:p w14:paraId="4E6C61B9" w14:textId="721AA367"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Reg.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69124100089</w:t>
      </w:r>
    </w:p>
    <w:p w14:paraId="2EEDCCE7" w14:textId="77777777" w:rsidR="00145105" w:rsidRDefault="00145105" w:rsidP="0049239F">
      <w:pPr>
        <w:spacing w:before="100" w:beforeAutospacing="1" w:after="100" w:afterAutospacing="1" w:line="240" w:lineRule="auto"/>
        <w:outlineLvl w:val="1"/>
        <w:rPr>
          <w:rFonts w:ascii="Arial" w:eastAsia="Times New Roman" w:hAnsi="Arial" w:cs="Arial"/>
          <w:b/>
          <w:bCs/>
          <w:sz w:val="24"/>
          <w:szCs w:val="24"/>
        </w:rPr>
      </w:pPr>
    </w:p>
    <w:p w14:paraId="73DA7376" w14:textId="77777777" w:rsidR="0049239F" w:rsidRPr="0049239F" w:rsidRDefault="00B350A9" w:rsidP="0049239F">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1. NEED FOR THE STUDY</w:t>
      </w:r>
      <w:r w:rsidR="0049239F">
        <w:rPr>
          <w:rFonts w:ascii="Arial" w:eastAsia="Times New Roman" w:hAnsi="Arial" w:cs="Arial"/>
          <w:b/>
          <w:bCs/>
          <w:sz w:val="24"/>
          <w:szCs w:val="24"/>
        </w:rPr>
        <w:t xml:space="preserve">: </w:t>
      </w:r>
    </w:p>
    <w:p w14:paraId="1E8C62E4" w14:textId="2EBE255F" w:rsidR="00B350A9" w:rsidRPr="00B350A9" w:rsidRDefault="00B350A9" w:rsidP="00B350A9">
      <w:pPr>
        <w:spacing w:after="0" w:line="240" w:lineRule="auto"/>
        <w:rPr>
          <w:rFonts w:ascii="Arial" w:eastAsia="Times New Roman" w:hAnsi="Arial" w:cs="Arial"/>
          <w:sz w:val="24"/>
          <w:szCs w:val="24"/>
        </w:rPr>
      </w:pPr>
      <w:r>
        <w:rPr>
          <w:rFonts w:ascii="Times New Roman" w:hAnsi="Times New Roman"/>
          <w:sz w:val="24"/>
        </w:rPr>
        <w:t>The global banking sector is undergoing a significant transformation as Artificial Intelligence (AI) and Agentic AI are increasingly integrated into Governance, Risk, and Compliance (GRC) functions. Regulatory bodies worldwide are actively shaping frameworks around AI adoption in financial services, including the Digital Operational Resilience Act (DORA) in the European Union. While AI promises enhanced efficiency in compliance monitoring, risk assessment, and regulatory reporting, there is limited empirical research examining how these technological shifts are reshaping GRC practices on the ground - and, critically, how the people working in GRC are adapting to them. This study addresses this gap by first empirically analyzing publicly available data, questionnaires, and expert interviews on AI-driven changes in banking GRC, and then deriving human behavioral adaptation implications by grounding those findings in behavioral-science literature, with workforce management as a supporting dimension.</w:t>
      </w:r>
    </w:p>
    <w:p w14:paraId="0ABA8366" w14:textId="77777777" w:rsidR="0049239F" w:rsidRDefault="0049239F" w:rsidP="00B350A9">
      <w:pPr>
        <w:spacing w:before="100" w:beforeAutospacing="1" w:after="100" w:afterAutospacing="1" w:line="240" w:lineRule="auto"/>
        <w:outlineLvl w:val="1"/>
        <w:rPr>
          <w:rFonts w:ascii="Arial" w:eastAsia="Times New Roman" w:hAnsi="Arial" w:cs="Arial"/>
          <w:b/>
          <w:bCs/>
          <w:sz w:val="24"/>
          <w:szCs w:val="24"/>
        </w:rPr>
      </w:pPr>
    </w:p>
    <w:p w14:paraId="304F86DE"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75F5CFE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lastRenderedPageBreak/>
        <w:t>2(a). PRIMARY OBJECTIVE</w:t>
      </w:r>
      <w:r w:rsidR="0049239F">
        <w:rPr>
          <w:rFonts w:ascii="Arial" w:eastAsia="Times New Roman" w:hAnsi="Arial" w:cs="Arial"/>
          <w:b/>
          <w:bCs/>
          <w:sz w:val="24"/>
          <w:szCs w:val="24"/>
        </w:rPr>
        <w:t>:</w:t>
      </w:r>
    </w:p>
    <w:p w14:paraId="7236E321" w14:textId="3518CD72"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r>
        <w:rPr>
          <w:rFonts w:ascii="Times New Roman" w:hAnsi="Times New Roman"/>
          <w:sz w:val="24"/>
        </w:rPr>
        <w:t>To empirically analyze, using publicly available data, questionnaires, and industry-expert interviews, how AI is transforming Governance, Risk, and Compliance (GRC) in banking - and to derive, through behavioral-science literature, how the GRC workforce is behaviorally adapting to that transformation.</w:t>
      </w:r>
    </w:p>
    <w:p w14:paraId="3EB46AFD" w14:textId="77777777" w:rsid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2(b). SECONDARY OBJECTIVES</w:t>
      </w:r>
    </w:p>
    <w:p w14:paraId="2A794B72" w14:textId="71890023"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w:t>
      </w:r>
      <w:proofErr w:type="spellStart"/>
      <w:r>
        <w:rPr>
          <w:rFonts w:ascii="Arial" w:eastAsia="Times New Roman" w:hAnsi="Arial" w:cs="Arial"/>
          <w:b/>
          <w:bCs/>
          <w:sz w:val="24"/>
          <w:szCs w:val="24"/>
        </w:rPr>
        <w:t>i</w:t>
      </w:r>
      <w:proofErr w:type="spellEnd"/>
      <w:r>
        <w:rPr>
          <w:rFonts w:ascii="Arial" w:eastAsia="Times New Roman" w:hAnsi="Arial" w:cs="Arial"/>
          <w:b/>
          <w:bCs/>
          <w:sz w:val="24"/>
          <w:szCs w:val="24"/>
        </w:rPr>
        <w:t>)</w:t>
      </w:r>
      <w:r>
        <w:rPr>
          <w:rFonts w:ascii="Times New Roman" w:hAnsi="Times New Roman"/>
          <w:sz w:val="24"/>
        </w:rPr>
        <w:t xml:space="preserve"> To identify the key AI and Agentic AI technologies adopted in banking GRC functions and quantify their adoption trends using publicly available data.</w:t>
      </w:r>
    </w:p>
    <w:p w14:paraId="0A501E99" w14:textId="53103373"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(ii)</w:t>
      </w:r>
      <w:r>
        <w:rPr>
          <w:rFonts w:ascii="Times New Roman" w:hAnsi="Times New Roman"/>
          <w:sz w:val="24"/>
        </w:rPr>
        <w:t xml:space="preserve"> To assess how AI and Agentic AI integration is altering the operational landscape of GRC - including changes in compliance workflows, risk-assessment methodologies, governance structures, and regulatory frameworks across the global banking sector</w:t>
      </w:r>
      <w:r w:rsidR="00A8564D">
        <w:rPr>
          <w:rFonts w:ascii="Times New Roman" w:hAnsi="Times New Roman"/>
          <w:sz w:val="24"/>
        </w:rPr>
        <w:t xml:space="preserve"> using data analysis</w:t>
      </w:r>
      <w:r>
        <w:rPr>
          <w:rFonts w:ascii="Times New Roman" w:hAnsi="Times New Roman"/>
          <w:sz w:val="24"/>
        </w:rPr>
        <w:t>.</w:t>
      </w:r>
    </w:p>
    <w:p w14:paraId="3EB28051" w14:textId="77777777"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(iii)</w:t>
      </w:r>
      <w:r>
        <w:rPr>
          <w:rFonts w:ascii="Times New Roman" w:hAnsi="Times New Roman"/>
          <w:sz w:val="24"/>
        </w:rPr>
        <w:t xml:space="preserve"> To derive, through literature review and behavioral-science frameworks, the human behavioral adaptation to these AI-driven GRC shifts (trust in AI, resistance to change, decision-making dynamics, and role and skill evolution), with workforce management as a supporting, reduced-weight dimension.</w:t>
      </w:r>
    </w:p>
    <w:p w14:paraId="60F167C2" w14:textId="77777777" w:rsidR="003C083A" w:rsidRPr="00B350A9" w:rsidRDefault="003C083A" w:rsidP="00B350A9">
      <w:pPr>
        <w:spacing w:before="100" w:beforeAutospacing="1" w:after="100" w:afterAutospacing="1" w:line="240" w:lineRule="auto"/>
        <w:outlineLvl w:val="1"/>
        <w:rPr>
          <w:rFonts w:ascii="Arial" w:eastAsia="Times New Roman" w:hAnsi="Arial" w:cs="Arial"/>
          <w:b/>
          <w:bCs/>
          <w:sz w:val="24"/>
          <w:szCs w:val="24"/>
        </w:rPr>
      </w:pPr>
    </w:p>
    <w:p w14:paraId="2826707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3. METHODOLOGY</w:t>
      </w:r>
    </w:p>
    <w:p w14:paraId="60635B87" w14:textId="2F92974C" w:rsidR="00437AE7" w:rsidRDefault="00145105" w:rsidP="00145105">
      <w:pPr>
        <w:spacing w:after="0" w:line="240" w:lineRule="auto"/>
        <w:rPr>
          <w:rFonts w:ascii="Times New Roman" w:hAnsi="Times New Roman"/>
          <w:sz w:val="24"/>
        </w:rPr>
      </w:pPr>
      <w:r>
        <w:rPr>
          <w:rFonts w:ascii="Times New Roman" w:hAnsi="Times New Roman"/>
          <w:sz w:val="24"/>
        </w:rPr>
        <w:t>This study adopts a mixed-methods design: an empirical data analysis of how AI is transforming banking GRC, whose output then feeds a focused literature review to conclude on human behavioral adaptation.</w:t>
      </w:r>
      <w:r>
        <w:rPr>
          <w:rFonts w:ascii="Times New Roman" w:hAnsi="Times New Roman"/>
          <w:sz w:val="24"/>
        </w:rPr>
        <w:br/>
        <w:t>a. Research Design: Mixed-methods, sequential explanatory - quantitative and qualitative empirical analysis first, followed by a behavioral-science literature review that interprets the empirical output.</w:t>
      </w:r>
      <w:r>
        <w:rPr>
          <w:rFonts w:ascii="Times New Roman" w:hAnsi="Times New Roman"/>
          <w:sz w:val="24"/>
        </w:rPr>
        <w:br/>
        <w:t>b. Research Approach: Primarily inductive - deriving behavioral-adaptation conclusions from observed data patterns, then triangulating against established behavioral theory (Technology Acceptance Model, Diffusion of Innovations, Change Management).</w:t>
      </w:r>
      <w:r>
        <w:rPr>
          <w:rFonts w:ascii="Times New Roman" w:hAnsi="Times New Roman"/>
          <w:sz w:val="24"/>
        </w:rPr>
        <w:br/>
        <w:t>c. Data Sources: (1) Public data - regulatory filings, DORA/FSB/Basel publications, global-bank annual reports, AI-adoption surveys, patent filings, and banking-GRC job postings; (2) Primary data - structured questionnaires to GRC practitioners and semi-structured interviews with industry experts.</w:t>
      </w:r>
      <w:r>
        <w:rPr>
          <w:rFonts w:ascii="Times New Roman" w:hAnsi="Times New Roman"/>
          <w:sz w:val="24"/>
        </w:rPr>
        <w:br/>
        <w:t>d. Sampling Method: Purposive sampling of GRC professionals across risk, compliance, and governance roles in banking; snowball sampling via expert referrals for interviews; stratified by role and tenure where possible.</w:t>
      </w:r>
      <w:r>
        <w:rPr>
          <w:rFonts w:ascii="Times New Roman" w:hAnsi="Times New Roman"/>
          <w:sz w:val="24"/>
        </w:rPr>
        <w:br/>
        <w:t>e. Data Collection: Online questionnaire (Likert-scale and open-ended items); recorded expert interviews; systematic extraction from public documents into a structured dataset.</w:t>
      </w:r>
      <w:r>
        <w:rPr>
          <w:rFonts w:ascii="Times New Roman" w:hAnsi="Times New Roman"/>
          <w:sz w:val="24"/>
        </w:rPr>
        <w:br/>
        <w:t xml:space="preserve">f. Data Analysis Tools: Descriptive and inferential statistics (Excel/SPSS/Python) for questionnaire and adoption-trend data; thematic and sentiment analysis (NVivo/Python NLP) for interview and open-text data; cross-tabulation of adoption intensity against behavioral and skill </w:t>
      </w:r>
      <w:r>
        <w:rPr>
          <w:rFonts w:ascii="Times New Roman" w:hAnsi="Times New Roman"/>
          <w:sz w:val="24"/>
        </w:rPr>
        <w:lastRenderedPageBreak/>
        <w:t>signals; the combined output is then interpreted through the behavioral-science literature review to conclude on human behavioral adaptation.</w:t>
      </w:r>
    </w:p>
    <w:p w14:paraId="25C31441" w14:textId="77777777" w:rsidR="00A8564D" w:rsidRDefault="00A8564D" w:rsidP="00145105">
      <w:pPr>
        <w:spacing w:after="0" w:line="240" w:lineRule="auto"/>
        <w:rPr>
          <w:rFonts w:ascii="Times New Roman" w:hAnsi="Times New Roman"/>
          <w:sz w:val="24"/>
        </w:rPr>
      </w:pPr>
    </w:p>
    <w:p w14:paraId="65B664A4" w14:textId="5EBB2E12" w:rsidR="00145105" w:rsidRPr="00437AE7" w:rsidRDefault="00437AE7" w:rsidP="00145105">
      <w:pPr>
        <w:spacing w:after="0" w:line="240" w:lineRule="auto"/>
        <w:rPr>
          <w:rFonts w:ascii="Times New Roman" w:hAnsi="Times New Roman"/>
          <w:sz w:val="24"/>
        </w:rPr>
      </w:pPr>
      <w:r>
        <w:rPr>
          <w:rFonts w:ascii="Times New Roman" w:hAnsi="Times New Roman"/>
          <w:sz w:val="24"/>
        </w:rPr>
        <w:t>How the analysis derives human behavioral adaptation:</w:t>
      </w:r>
      <w:r>
        <w:rPr>
          <w:rFonts w:ascii="Times New Roman" w:hAnsi="Times New Roman"/>
          <w:sz w:val="24"/>
        </w:rPr>
        <w:br/>
        <w:t>• Job-posting and skills-trend analysis (GRC roles over time) → role redefinition and reskilling as structural workforce adaptation.</w:t>
      </w:r>
      <w:r>
        <w:rPr>
          <w:rFonts w:ascii="Times New Roman" w:hAnsi="Times New Roman"/>
          <w:sz w:val="24"/>
        </w:rPr>
        <w:br/>
        <w:t>• Thematic and sentiment analysis of interviews and open-ended responses → trust in AI and resistance to change (mapped to the Technology Acceptance Model).</w:t>
      </w:r>
      <w:r>
        <w:rPr>
          <w:rFonts w:ascii="Times New Roman" w:hAnsi="Times New Roman"/>
          <w:sz w:val="24"/>
        </w:rPr>
        <w:br/>
        <w:t>• Likert-scale statistical analysis → quantified acceptance versus resistance, segmented by role and tenure.</w:t>
      </w:r>
      <w:r>
        <w:rPr>
          <w:rFonts w:ascii="Times New Roman" w:hAnsi="Times New Roman"/>
          <w:sz w:val="24"/>
        </w:rPr>
        <w:br/>
        <w:t>• Adoption-curve analysis → practitioners' position on Rogers' innovation-adoption curve.</w:t>
      </w:r>
      <w:r>
        <w:rPr>
          <w:rFonts w:ascii="Times New Roman" w:hAnsi="Times New Roman"/>
          <w:sz w:val="24"/>
        </w:rPr>
        <w:br/>
        <w:t>• Content analysis of regulatory filings and annual reports → 'human-in-the-loop' accountability norms.</w:t>
      </w:r>
      <w:r>
        <w:rPr>
          <w:rFonts w:ascii="Times New Roman" w:hAnsi="Times New Roman"/>
          <w:sz w:val="24"/>
        </w:rPr>
        <w:br/>
        <w:t>• Cross-tabulation (adoption intensity × behavioral signal) → the keystone link: rising AI penetration in a GRC function corresponds to a measurable behavioral or skill response, interpreted through behavioral theory.</w:t>
      </w:r>
    </w:p>
    <w:p w14:paraId="213FE3BD"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2B107C50"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327DDACF"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2140178F"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4. EXPECTED DELIVERABLES</w:t>
      </w:r>
    </w:p>
    <w:p w14:paraId="32D4930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 An empirical analysis report on AI adoption trends in global banking GRC</w:t>
      </w:r>
      <w:r>
        <w:rPr>
          <w:rFonts w:ascii="Times New Roman" w:hAnsi="Times New Roman"/>
          <w:sz w:val="24"/>
        </w:rPr>
        <w:br/>
        <w:t>• A mapping of AI and Agentic AI technologies to specific GRC function transformations</w:t>
      </w:r>
      <w:r>
        <w:rPr>
          <w:rFonts w:ascii="Times New Roman" w:hAnsi="Times New Roman"/>
          <w:sz w:val="24"/>
        </w:rPr>
        <w:br/>
        <w:t>• A derived framework linking AI-driven GRC shifts to human behavioral adaptation patterns</w:t>
      </w:r>
      <w:r>
        <w:rPr>
          <w:rFonts w:ascii="Times New Roman" w:hAnsi="Times New Roman"/>
          <w:sz w:val="24"/>
        </w:rPr>
        <w:br/>
        <w:t>• Evidence-based recommendations for banks on managing the human dimension of AI integration in GRC</w:t>
      </w:r>
      <w:r>
        <w:rPr>
          <w:rFonts w:ascii="Times New Roman" w:hAnsi="Times New Roman"/>
          <w:sz w:val="24"/>
        </w:rPr>
        <w:br/>
        <w:t>• Final research dissertation/report</w:t>
      </w:r>
    </w:p>
    <w:p w14:paraId="201A4C37"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2BEAA270"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63666EF6"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5. REFERENCES</w:t>
      </w:r>
    </w:p>
    <w:p w14:paraId="6BBBD01F" w14:textId="720B3980"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1. Odedina, E. (2025). Redefining Governance, Risk and Compliance (GRC) in the Digital Age: Integrating AI-Driven Risk Management Frameworks. ResearchGate. https://www.researchgate.net/profile/Eniola-Odedina/publication/392194337</w:t>
      </w:r>
      <w:r>
        <w:rPr>
          <w:rFonts w:ascii="Times New Roman" w:hAnsi="Times New Roman"/>
          <w:sz w:val="24"/>
        </w:rPr>
        <w:br/>
        <w:t>2. AI in Regulatory Compliance and Banking Technology (2025). IEEE Xplore, Document 11465937. https://ieeexplore.ieee.org/document/11465937</w:t>
      </w:r>
      <w:r>
        <w:rPr>
          <w:rFonts w:ascii="Times New Roman" w:hAnsi="Times New Roman"/>
          <w:sz w:val="24"/>
        </w:rPr>
        <w:br/>
        <w:t>3. AI-Driven Transformation in Banking GRC. SSRN, Abstract 6003655. https://papers.ssrn.com/sol3/papers.cfm?abstract_id=6003655</w:t>
      </w:r>
      <w:r>
        <w:rPr>
          <w:rFonts w:ascii="Times New Roman" w:hAnsi="Times New Roman"/>
          <w:sz w:val="24"/>
        </w:rPr>
        <w:br/>
        <w:t>4. European Union - Digital Operational Resilience Act (DORA), Regulation (EU) 2022/2554.</w:t>
      </w:r>
      <w:r>
        <w:rPr>
          <w:rFonts w:ascii="Times New Roman" w:hAnsi="Times New Roman"/>
          <w:sz w:val="24"/>
        </w:rPr>
        <w:br/>
      </w:r>
      <w:r>
        <w:rPr>
          <w:rFonts w:ascii="Times New Roman" w:hAnsi="Times New Roman"/>
          <w:sz w:val="24"/>
        </w:rPr>
        <w:lastRenderedPageBreak/>
        <w:t>5. Financial Stability Board (2017). Artificial Intelligence and Machine Learning in Financial Services.</w:t>
      </w:r>
      <w:r>
        <w:rPr>
          <w:rFonts w:ascii="Times New Roman" w:hAnsi="Times New Roman"/>
          <w:sz w:val="24"/>
        </w:rPr>
        <w:br/>
        <w:t>6. Basel Committee on Banking Supervision. Implications of Fintech Developments for Banks and Supervisors.</w:t>
      </w:r>
      <w:r>
        <w:rPr>
          <w:rFonts w:ascii="Times New Roman" w:hAnsi="Times New Roman"/>
          <w:sz w:val="24"/>
        </w:rPr>
        <w:br/>
        <w:t>7. Davis, F.D. (1989). Perceived Usefulness, Perceived Ease of Use, and User Acceptance of Information Technology. MIS Quarterly.</w:t>
      </w:r>
      <w:r>
        <w:rPr>
          <w:rFonts w:ascii="Times New Roman" w:hAnsi="Times New Roman"/>
          <w:sz w:val="24"/>
        </w:rPr>
        <w:br/>
        <w:t>8. Kotter, J.P. (1996). Leading Change. Harvard Business School Press.</w:t>
      </w:r>
      <w:r>
        <w:rPr>
          <w:rFonts w:ascii="Times New Roman" w:hAnsi="Times New Roman"/>
          <w:sz w:val="24"/>
        </w:rPr>
        <w:br/>
        <w:t>9. Rogers, E.M. (2003). Diffusion of Innovations (5th ed.).</w:t>
      </w:r>
    </w:p>
    <w:p w14:paraId="1F2C1FAA"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7AC76D88"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4FC20420"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61251411" w14:textId="77777777" w:rsidR="00B350A9" w:rsidRPr="00814D48" w:rsidRDefault="00B350A9" w:rsidP="00B350A9">
      <w:pPr>
        <w:spacing w:before="100" w:beforeAutospacing="1" w:after="100" w:afterAutospacing="1" w:line="240" w:lineRule="auto"/>
        <w:outlineLvl w:val="1"/>
        <w:rPr>
          <w:rFonts w:ascii="Arial" w:eastAsia="Times New Roman" w:hAnsi="Arial" w:cs="Arial"/>
          <w:sz w:val="24"/>
          <w:szCs w:val="24"/>
        </w:rPr>
      </w:pPr>
      <w:r w:rsidRPr="00B350A9">
        <w:rPr>
          <w:rFonts w:ascii="Arial" w:eastAsia="Times New Roman" w:hAnsi="Arial" w:cs="Arial"/>
          <w:b/>
          <w:bCs/>
          <w:sz w:val="24"/>
          <w:szCs w:val="24"/>
        </w:rPr>
        <w:t>6. COMPANY PROJECT</w:t>
      </w:r>
      <w:r w:rsidR="00814D48">
        <w:rPr>
          <w:rFonts w:ascii="Arial" w:eastAsia="Times New Roman" w:hAnsi="Arial" w:cs="Arial"/>
          <w:b/>
          <w:bCs/>
          <w:sz w:val="24"/>
          <w:szCs w:val="24"/>
        </w:rPr>
        <w:t xml:space="preserve">- </w:t>
      </w:r>
      <w:r w:rsidR="002873DB">
        <w:rPr>
          <w:rFonts w:ascii="Arial" w:eastAsia="Times New Roman" w:hAnsi="Arial" w:cs="Arial"/>
          <w:sz w:val="24"/>
          <w:szCs w:val="24"/>
        </w:rPr>
        <w:t>Indicate</w:t>
      </w:r>
      <w:r w:rsidR="00814D48" w:rsidRPr="00814D48">
        <w:rPr>
          <w:rFonts w:ascii="Arial" w:eastAsia="Times New Roman" w:hAnsi="Arial" w:cs="Arial"/>
          <w:sz w:val="24"/>
          <w:szCs w:val="24"/>
        </w:rPr>
        <w:t xml:space="preserve">, </w:t>
      </w:r>
      <w:r w:rsidR="00814D48" w:rsidRPr="002873DB">
        <w:rPr>
          <w:rFonts w:ascii="Arial" w:eastAsia="Times New Roman" w:hAnsi="Arial" w:cs="Arial"/>
          <w:b/>
          <w:bCs/>
          <w:sz w:val="24"/>
          <w:szCs w:val="24"/>
        </w:rPr>
        <w:t xml:space="preserve">Yes </w:t>
      </w:r>
      <w:r w:rsidR="00814D48" w:rsidRPr="00814D48">
        <w:rPr>
          <w:rFonts w:ascii="Arial" w:eastAsia="Times New Roman" w:hAnsi="Arial" w:cs="Arial"/>
          <w:sz w:val="24"/>
          <w:szCs w:val="24"/>
        </w:rPr>
        <w:t>&amp; Upload Company permission letter</w:t>
      </w:r>
    </w:p>
    <w:p w14:paraId="667FC536" w14:textId="77777777" w:rsidR="00814D48" w:rsidRPr="00814D48" w:rsidRDefault="00814D48" w:rsidP="00B350A9">
      <w:pPr>
        <w:spacing w:before="100" w:beforeAutospacing="1" w:after="100" w:afterAutospacing="1" w:line="240" w:lineRule="auto"/>
        <w:outlineLvl w:val="1"/>
        <w:rPr>
          <w:rFonts w:ascii="Arial" w:eastAsia="Times New Roman" w:hAnsi="Arial" w:cs="Arial"/>
          <w:sz w:val="24"/>
          <w:szCs w:val="24"/>
        </w:rPr>
      </w:pPr>
      <w:r w:rsidRPr="00814D48">
        <w:rPr>
          <w:rFonts w:ascii="Arial" w:eastAsia="Times New Roman" w:hAnsi="Arial" w:cs="Arial"/>
          <w:sz w:val="24"/>
          <w:szCs w:val="24"/>
        </w:rPr>
        <w:t>(Only for company project)</w:t>
      </w:r>
    </w:p>
    <w:p w14:paraId="4EBD9E2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No</w:t>
      </w:r>
    </w:p>
    <w:p w14:paraId="5B6A2453"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12006749" w14:textId="4F6F8401" w:rsidR="00885DFA" w:rsidRPr="00B350A9" w:rsidRDefault="00885DFA"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 xml:space="preserve">7. </w:t>
      </w:r>
      <w:r w:rsidRPr="00885DFA">
        <w:rPr>
          <w:rFonts w:ascii="Arial" w:hAnsi="Arial" w:cs="Arial"/>
          <w:b/>
          <w:sz w:val="24"/>
          <w:szCs w:val="24"/>
        </w:rPr>
        <w:t>PROJECT PROPOSAL</w:t>
      </w:r>
      <w:r>
        <w:rPr>
          <w:rFonts w:ascii="Arial" w:hAnsi="Arial" w:cs="Arial"/>
          <w:b/>
          <w:sz w:val="24"/>
          <w:szCs w:val="24"/>
        </w:rPr>
        <w:t xml:space="preserve"> - GUIDE APPROVAL STATUS –</w:t>
      </w:r>
      <w:r w:rsidR="002873DB">
        <w:rPr>
          <w:rFonts w:ascii="Arial" w:hAnsi="Arial" w:cs="Arial"/>
          <w:bCs/>
          <w:sz w:val="24"/>
          <w:szCs w:val="24"/>
        </w:rPr>
        <w:t>Indicate</w:t>
      </w:r>
      <w:r w:rsidR="00814D48" w:rsidRPr="00814D48">
        <w:rPr>
          <w:rFonts w:ascii="Arial" w:hAnsi="Arial" w:cs="Arial"/>
          <w:bCs/>
          <w:sz w:val="24"/>
          <w:szCs w:val="24"/>
        </w:rPr>
        <w:t xml:space="preserve">, </w:t>
      </w:r>
      <w:r w:rsidRPr="00814D48">
        <w:rPr>
          <w:rFonts w:ascii="Arial" w:hAnsi="Arial" w:cs="Arial"/>
          <w:b/>
          <w:sz w:val="24"/>
          <w:szCs w:val="24"/>
        </w:rPr>
        <w:t>YES/NO</w:t>
      </w:r>
      <w:r w:rsidRPr="00814D48">
        <w:rPr>
          <w:rFonts w:ascii="Arial" w:hAnsi="Arial" w:cs="Arial"/>
          <w:bCs/>
          <w:sz w:val="24"/>
          <w:szCs w:val="24"/>
        </w:rPr>
        <w:t>:</w:t>
      </w:r>
      <w:r w:rsidR="001B0EFB">
        <w:rPr>
          <w:rFonts w:ascii="Arial" w:hAnsi="Arial" w:cs="Arial"/>
          <w:bCs/>
          <w:sz w:val="24"/>
          <w:szCs w:val="24"/>
        </w:rPr>
        <w:t xml:space="preserve"> YES</w:t>
      </w:r>
    </w:p>
    <w:p w14:paraId="34871AE9" w14:textId="77777777" w:rsidR="00885DFA" w:rsidRDefault="00885DFA" w:rsidP="00B350A9">
      <w:pPr>
        <w:spacing w:before="100" w:beforeAutospacing="1" w:after="100" w:afterAutospacing="1" w:line="240" w:lineRule="auto"/>
        <w:rPr>
          <w:rFonts w:ascii="Arial" w:eastAsia="Times New Roman" w:hAnsi="Arial" w:cs="Arial"/>
          <w:b/>
          <w:bCs/>
          <w:sz w:val="24"/>
          <w:szCs w:val="24"/>
        </w:rPr>
      </w:pPr>
    </w:p>
    <w:p w14:paraId="3E2029BF" w14:textId="77777777" w:rsidR="00145105" w:rsidRDefault="00145105" w:rsidP="00885DFA">
      <w:pPr>
        <w:spacing w:before="100" w:beforeAutospacing="1" w:after="100" w:afterAutospacing="1" w:line="240" w:lineRule="auto"/>
        <w:jc w:val="right"/>
        <w:rPr>
          <w:rFonts w:ascii="Arial" w:eastAsia="Times New Roman" w:hAnsi="Arial" w:cs="Arial"/>
          <w:b/>
          <w:bCs/>
          <w:sz w:val="24"/>
          <w:szCs w:val="24"/>
        </w:rPr>
      </w:pPr>
    </w:p>
    <w:p w14:paraId="1743A58F" w14:textId="44A02231" w:rsidR="00125278" w:rsidRDefault="00125278" w:rsidP="00125278">
      <w:pPr>
        <w:spacing w:before="100" w:beforeAutospacing="1" w:after="100" w:afterAutospacing="1" w:line="240" w:lineRule="auto"/>
        <w:jc w:val="center"/>
        <w:rPr>
          <w:rFonts w:ascii="Arial" w:eastAsia="Times New Roman" w:hAnsi="Arial" w:cs="Arial"/>
          <w:b/>
          <w:bCs/>
          <w:sz w:val="24"/>
          <w:szCs w:val="24"/>
        </w:rPr>
      </w:pPr>
      <w:r>
        <w:rPr>
          <w:rFonts w:ascii="Arial" w:eastAsia="Times New Roman" w:hAnsi="Arial" w:cs="Arial"/>
          <w:b/>
          <w:bCs/>
          <w:sz w:val="24"/>
          <w:szCs w:val="24"/>
        </w:rPr>
        <w:t xml:space="preserve">                                                                                                    </w:t>
      </w:r>
      <w:r>
        <w:rPr>
          <w:rFonts w:ascii="Arial" w:eastAsia="Times New Roman" w:hAnsi="Arial" w:cs="Arial"/>
          <w:b/>
          <w:bCs/>
          <w:noProof/>
          <w:sz w:val="24"/>
          <w:szCs w:val="24"/>
        </w:rPr>
        <w:drawing>
          <wp:inline distT="0" distB="0" distL="0" distR="0" wp14:anchorId="2BF67FE2" wp14:editId="4483E2CB">
            <wp:extent cx="1365898" cy="441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4605" cy="450416"/>
                    </a:xfrm>
                    <a:prstGeom prst="rect">
                      <a:avLst/>
                    </a:prstGeom>
                  </pic:spPr>
                </pic:pic>
              </a:graphicData>
            </a:graphic>
          </wp:inline>
        </w:drawing>
      </w:r>
    </w:p>
    <w:p w14:paraId="72EE5AB4" w14:textId="33A9E1AE" w:rsidR="00B350A9" w:rsidRDefault="00B350A9" w:rsidP="00885DFA">
      <w:pPr>
        <w:spacing w:before="100" w:beforeAutospacing="1" w:after="100" w:afterAutospacing="1" w:line="240" w:lineRule="auto"/>
        <w:jc w:val="right"/>
        <w:rPr>
          <w:rFonts w:ascii="Arial" w:eastAsia="Times New Roman" w:hAnsi="Arial" w:cs="Arial"/>
          <w:b/>
          <w:bCs/>
          <w:sz w:val="24"/>
          <w:szCs w:val="24"/>
        </w:rPr>
      </w:pPr>
      <w:r w:rsidRPr="00B350A9">
        <w:rPr>
          <w:rFonts w:ascii="Arial" w:eastAsia="Times New Roman" w:hAnsi="Arial" w:cs="Arial"/>
          <w:b/>
          <w:bCs/>
          <w:sz w:val="24"/>
          <w:szCs w:val="24"/>
        </w:rPr>
        <w:t>(Signature of Student)</w:t>
      </w:r>
    </w:p>
    <w:sectPr w:rsidR="00B350A9" w:rsidSect="00E90D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022A8"/>
    <w:multiLevelType w:val="multilevel"/>
    <w:tmpl w:val="312E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F4B0E"/>
    <w:multiLevelType w:val="multilevel"/>
    <w:tmpl w:val="4510C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A9"/>
    <w:rsid w:val="0009481E"/>
    <w:rsid w:val="00125278"/>
    <w:rsid w:val="001311E5"/>
    <w:rsid w:val="00145105"/>
    <w:rsid w:val="00153DBE"/>
    <w:rsid w:val="0019331D"/>
    <w:rsid w:val="001B0EFB"/>
    <w:rsid w:val="002873DB"/>
    <w:rsid w:val="003C083A"/>
    <w:rsid w:val="003D161A"/>
    <w:rsid w:val="00415409"/>
    <w:rsid w:val="00437AE7"/>
    <w:rsid w:val="0049239F"/>
    <w:rsid w:val="00562AE4"/>
    <w:rsid w:val="005F3B31"/>
    <w:rsid w:val="006C4327"/>
    <w:rsid w:val="006E4217"/>
    <w:rsid w:val="007F59F8"/>
    <w:rsid w:val="00814D48"/>
    <w:rsid w:val="00843A9E"/>
    <w:rsid w:val="00885DFA"/>
    <w:rsid w:val="008A3C13"/>
    <w:rsid w:val="00993F97"/>
    <w:rsid w:val="00A10FA7"/>
    <w:rsid w:val="00A8564D"/>
    <w:rsid w:val="00AB78C9"/>
    <w:rsid w:val="00AD653E"/>
    <w:rsid w:val="00B350A9"/>
    <w:rsid w:val="00C365F2"/>
    <w:rsid w:val="00D62511"/>
    <w:rsid w:val="00E1788F"/>
    <w:rsid w:val="00E90D79"/>
    <w:rsid w:val="00EB7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7198"/>
  <w15:docId w15:val="{9BFD3BD3-51CD-4E0B-A13A-5CBDBC5D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79"/>
  </w:style>
  <w:style w:type="paragraph" w:styleId="Heading1">
    <w:name w:val="heading 1"/>
    <w:basedOn w:val="Normal"/>
    <w:link w:val="Heading1Char"/>
    <w:uiPriority w:val="9"/>
    <w:qFormat/>
    <w:rsid w:val="00B350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5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5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0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5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50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50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50A9"/>
    <w:rPr>
      <w:b/>
      <w:bCs/>
    </w:rPr>
  </w:style>
  <w:style w:type="character" w:styleId="Emphasis">
    <w:name w:val="Emphasis"/>
    <w:basedOn w:val="DefaultParagraphFont"/>
    <w:uiPriority w:val="20"/>
    <w:qFormat/>
    <w:rsid w:val="00B350A9"/>
    <w:rPr>
      <w:i/>
      <w:iCs/>
    </w:rPr>
  </w:style>
  <w:style w:type="paragraph" w:styleId="BalloonText">
    <w:name w:val="Balloon Text"/>
    <w:basedOn w:val="Normal"/>
    <w:link w:val="BalloonTextChar"/>
    <w:uiPriority w:val="99"/>
    <w:semiHidden/>
    <w:unhideWhenUsed/>
    <w:rsid w:val="00B350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A9"/>
    <w:rPr>
      <w:rFonts w:ascii="Tahoma" w:hAnsi="Tahoma" w:cs="Tahoma"/>
      <w:sz w:val="16"/>
      <w:szCs w:val="16"/>
    </w:rPr>
  </w:style>
  <w:style w:type="table" w:styleId="TableGrid">
    <w:name w:val="Table Grid"/>
    <w:basedOn w:val="TableNormal"/>
    <w:uiPriority w:val="59"/>
    <w:rsid w:val="00B350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145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07171">
      <w:bodyDiv w:val="1"/>
      <w:marLeft w:val="0"/>
      <w:marRight w:val="0"/>
      <w:marTop w:val="0"/>
      <w:marBottom w:val="0"/>
      <w:divBdr>
        <w:top w:val="none" w:sz="0" w:space="0" w:color="auto"/>
        <w:left w:val="none" w:sz="0" w:space="0" w:color="auto"/>
        <w:bottom w:val="none" w:sz="0" w:space="0" w:color="auto"/>
        <w:right w:val="none" w:sz="0" w:space="0" w:color="auto"/>
      </w:divBdr>
    </w:div>
    <w:div w:id="219438190">
      <w:bodyDiv w:val="1"/>
      <w:marLeft w:val="0"/>
      <w:marRight w:val="0"/>
      <w:marTop w:val="0"/>
      <w:marBottom w:val="0"/>
      <w:divBdr>
        <w:top w:val="none" w:sz="0" w:space="0" w:color="auto"/>
        <w:left w:val="none" w:sz="0" w:space="0" w:color="auto"/>
        <w:bottom w:val="none" w:sz="0" w:space="0" w:color="auto"/>
        <w:right w:val="none" w:sz="0" w:space="0" w:color="auto"/>
      </w:divBdr>
    </w:div>
    <w:div w:id="61861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 Dreamer</cp:lastModifiedBy>
  <cp:revision>7</cp:revision>
  <cp:lastPrinted>2026-06-19T10:21:00Z</cp:lastPrinted>
  <dcterms:created xsi:type="dcterms:W3CDTF">2026-07-05T04:18:00Z</dcterms:created>
  <dcterms:modified xsi:type="dcterms:W3CDTF">2026-07-17T05:07:00Z</dcterms:modified>
</cp:coreProperties>
</file>