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6952"/>
      </w:tblGrid>
      <w:tr w:rsidR="00B350A9" w14:paraId="7750B1BE" w14:textId="77777777" w:rsidTr="00B350A9">
        <w:tc>
          <w:tcPr>
            <w:tcW w:w="2436" w:type="dxa"/>
          </w:tcPr>
          <w:p w14:paraId="40857C7D" w14:textId="77777777" w:rsidR="00B350A9" w:rsidRDefault="00B350A9" w:rsidP="00B350A9">
            <w:pPr>
              <w:spacing w:before="100" w:beforeAutospacing="1" w:after="100" w:afterAutospacing="1"/>
              <w:jc w:val="center"/>
              <w:outlineLvl w:val="1"/>
              <w:rPr>
                <w:rFonts w:ascii="Arial" w:eastAsia="Times New Roman" w:hAnsi="Arial" w:cs="Arial"/>
                <w:b/>
                <w:bCs/>
                <w:sz w:val="24"/>
                <w:szCs w:val="24"/>
              </w:rPr>
            </w:pPr>
            <w:r w:rsidRPr="00B350A9">
              <w:rPr>
                <w:rFonts w:ascii="Arial" w:eastAsia="Times New Roman" w:hAnsi="Arial" w:cs="Arial"/>
                <w:b/>
                <w:bCs/>
                <w:noProof/>
                <w:sz w:val="24"/>
                <w:szCs w:val="24"/>
              </w:rPr>
              <w:drawing>
                <wp:inline distT="0" distB="0" distL="0" distR="0" wp14:anchorId="3D1A8ED2" wp14:editId="3EE5E9A1">
                  <wp:extent cx="1009650" cy="838200"/>
                  <wp:effectExtent l="19050" t="0" r="0" b="0"/>
                  <wp:docPr id="1"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
                          <a:srcRect/>
                          <a:stretch>
                            <a:fillRect/>
                          </a:stretch>
                        </pic:blipFill>
                        <pic:spPr bwMode="auto">
                          <a:xfrm>
                            <a:off x="0" y="0"/>
                            <a:ext cx="1009650" cy="838200"/>
                          </a:xfrm>
                          <a:prstGeom prst="rect">
                            <a:avLst/>
                          </a:prstGeom>
                          <a:noFill/>
                          <a:ln w="9525">
                            <a:noFill/>
                            <a:miter lim="800000"/>
                            <a:headEnd/>
                            <a:tailEnd/>
                          </a:ln>
                        </pic:spPr>
                      </pic:pic>
                    </a:graphicData>
                  </a:graphic>
                </wp:inline>
              </w:drawing>
            </w:r>
          </w:p>
        </w:tc>
        <w:tc>
          <w:tcPr>
            <w:tcW w:w="7140" w:type="dxa"/>
          </w:tcPr>
          <w:p w14:paraId="5C059DA7" w14:textId="77777777" w:rsidR="00B350A9" w:rsidRDefault="00B350A9" w:rsidP="00B350A9">
            <w:pPr>
              <w:jc w:val="center"/>
              <w:rPr>
                <w:rFonts w:ascii="Arial" w:eastAsia="Times New Roman" w:hAnsi="Arial" w:cs="Arial"/>
                <w:b/>
                <w:kern w:val="36"/>
                <w:sz w:val="24"/>
                <w:szCs w:val="24"/>
              </w:rPr>
            </w:pPr>
          </w:p>
          <w:p w14:paraId="5E7DEC21" w14:textId="77777777" w:rsidR="00B350A9" w:rsidRPr="00B350A9" w:rsidRDefault="00B350A9" w:rsidP="00B350A9">
            <w:pPr>
              <w:jc w:val="center"/>
              <w:rPr>
                <w:rFonts w:ascii="Arial" w:eastAsia="Times New Roman" w:hAnsi="Arial" w:cs="Arial"/>
                <w:b/>
                <w:kern w:val="36"/>
                <w:sz w:val="28"/>
                <w:szCs w:val="24"/>
              </w:rPr>
            </w:pPr>
            <w:r w:rsidRPr="00B350A9">
              <w:rPr>
                <w:rFonts w:ascii="Arial" w:eastAsia="Times New Roman" w:hAnsi="Arial" w:cs="Arial"/>
                <w:b/>
                <w:kern w:val="36"/>
                <w:sz w:val="28"/>
                <w:szCs w:val="24"/>
              </w:rPr>
              <w:t>CENTRE FOR DISTANCE AND ONLINE EDUCATION</w:t>
            </w:r>
          </w:p>
          <w:p w14:paraId="1FD88D60" w14:textId="77777777" w:rsidR="00B350A9" w:rsidRPr="00B350A9" w:rsidRDefault="00B350A9" w:rsidP="00B350A9">
            <w:pPr>
              <w:jc w:val="center"/>
              <w:rPr>
                <w:rFonts w:ascii="Arial" w:eastAsia="Times New Roman" w:hAnsi="Arial" w:cs="Arial"/>
                <w:b/>
                <w:kern w:val="36"/>
                <w:sz w:val="28"/>
                <w:szCs w:val="24"/>
              </w:rPr>
            </w:pPr>
            <w:r w:rsidRPr="00B350A9">
              <w:rPr>
                <w:rFonts w:ascii="Arial" w:eastAsia="Times New Roman" w:hAnsi="Arial" w:cs="Arial"/>
                <w:b/>
                <w:kern w:val="36"/>
                <w:sz w:val="28"/>
                <w:szCs w:val="24"/>
              </w:rPr>
              <w:t>ANNA UNIVERSITY, CHENNAI – 600025</w:t>
            </w:r>
          </w:p>
          <w:p w14:paraId="51B4581E" w14:textId="77777777" w:rsidR="00814D48" w:rsidRDefault="00814D48" w:rsidP="00B350A9">
            <w:pPr>
              <w:jc w:val="center"/>
              <w:rPr>
                <w:rFonts w:ascii="Arial" w:eastAsia="Times New Roman" w:hAnsi="Arial" w:cs="Arial"/>
                <w:b/>
                <w:sz w:val="24"/>
                <w:szCs w:val="24"/>
              </w:rPr>
            </w:pPr>
            <w:r>
              <w:rPr>
                <w:rFonts w:ascii="Arial" w:eastAsia="Times New Roman" w:hAnsi="Arial" w:cs="Arial"/>
                <w:b/>
                <w:sz w:val="24"/>
                <w:szCs w:val="24"/>
              </w:rPr>
              <w:t xml:space="preserve">Contact: </w:t>
            </w:r>
            <w:r w:rsidR="00B350A9" w:rsidRPr="00B350A9">
              <w:rPr>
                <w:rFonts w:ascii="Arial" w:eastAsia="Times New Roman" w:hAnsi="Arial" w:cs="Arial"/>
                <w:b/>
                <w:sz w:val="24"/>
                <w:szCs w:val="24"/>
              </w:rPr>
              <w:t>044 22357210 / 8838169895</w:t>
            </w:r>
          </w:p>
          <w:p w14:paraId="0EA5523D" w14:textId="77777777" w:rsidR="00B350A9" w:rsidRDefault="00814D48" w:rsidP="00B350A9">
            <w:pPr>
              <w:jc w:val="center"/>
              <w:rPr>
                <w:rFonts w:eastAsia="Times New Roman"/>
              </w:rPr>
            </w:pPr>
            <w:r>
              <w:rPr>
                <w:rFonts w:ascii="Arial" w:eastAsia="Times New Roman" w:hAnsi="Arial" w:cs="Arial"/>
                <w:b/>
                <w:sz w:val="24"/>
                <w:szCs w:val="24"/>
              </w:rPr>
              <w:t>Email: onlinecde@annauniv.edu</w:t>
            </w:r>
          </w:p>
        </w:tc>
      </w:tr>
    </w:tbl>
    <w:p w14:paraId="6DBFC014" w14:textId="77777777" w:rsidR="00B350A9" w:rsidRDefault="0049239F" w:rsidP="00B350A9">
      <w:pPr>
        <w:jc w:val="center"/>
        <w:rPr>
          <w:rFonts w:ascii="Arial" w:eastAsia="Times New Roman" w:hAnsi="Arial" w:cs="Arial"/>
          <w:b/>
          <w:sz w:val="24"/>
          <w:szCs w:val="24"/>
        </w:rPr>
      </w:pPr>
      <w:r>
        <w:rPr>
          <w:rFonts w:ascii="Arial" w:eastAsia="Times New Roman" w:hAnsi="Arial" w:cs="Arial"/>
          <w:b/>
          <w:sz w:val="24"/>
          <w:szCs w:val="24"/>
        </w:rPr>
        <w:t>______________________________________________________________________</w:t>
      </w:r>
    </w:p>
    <w:p w14:paraId="7038BB6B" w14:textId="77777777" w:rsidR="00B350A9" w:rsidRPr="00B350A9" w:rsidRDefault="00B350A9" w:rsidP="00B350A9">
      <w:pPr>
        <w:jc w:val="center"/>
        <w:rPr>
          <w:rFonts w:ascii="Arial" w:eastAsia="Times New Roman" w:hAnsi="Arial" w:cs="Arial"/>
          <w:b/>
          <w:sz w:val="24"/>
          <w:szCs w:val="24"/>
          <w:u w:val="single"/>
        </w:rPr>
      </w:pPr>
      <w:r w:rsidRPr="00B350A9">
        <w:rPr>
          <w:rFonts w:ascii="Arial" w:eastAsia="Times New Roman" w:hAnsi="Arial" w:cs="Arial"/>
          <w:b/>
          <w:sz w:val="24"/>
          <w:szCs w:val="24"/>
          <w:u w:val="single"/>
        </w:rPr>
        <w:t xml:space="preserve">PROJECT </w:t>
      </w:r>
      <w:proofErr w:type="gramStart"/>
      <w:r w:rsidRPr="00B350A9">
        <w:rPr>
          <w:rFonts w:ascii="Arial" w:eastAsia="Times New Roman" w:hAnsi="Arial" w:cs="Arial"/>
          <w:b/>
          <w:sz w:val="24"/>
          <w:szCs w:val="24"/>
          <w:u w:val="single"/>
        </w:rPr>
        <w:t>PROPOSAL(</w:t>
      </w:r>
      <w:proofErr w:type="gramEnd"/>
      <w:r w:rsidRPr="00B350A9">
        <w:rPr>
          <w:rFonts w:ascii="Arial" w:eastAsia="Times New Roman" w:hAnsi="Arial" w:cs="Arial"/>
          <w:b/>
          <w:sz w:val="24"/>
          <w:szCs w:val="24"/>
          <w:u w:val="single"/>
        </w:rPr>
        <w:t xml:space="preserve">CY24 – </w:t>
      </w:r>
      <w:r w:rsidR="00AB78C9">
        <w:rPr>
          <w:rFonts w:ascii="Arial" w:eastAsia="Times New Roman" w:hAnsi="Arial" w:cs="Arial"/>
          <w:b/>
          <w:sz w:val="24"/>
          <w:szCs w:val="24"/>
          <w:u w:val="single"/>
        </w:rPr>
        <w:t xml:space="preserve">BA/GM </w:t>
      </w:r>
      <w:r w:rsidRPr="00B350A9">
        <w:rPr>
          <w:rFonts w:ascii="Arial" w:eastAsia="Times New Roman" w:hAnsi="Arial" w:cs="Arial"/>
          <w:b/>
          <w:sz w:val="24"/>
          <w:szCs w:val="24"/>
          <w:u w:val="single"/>
        </w:rPr>
        <w:t>Batch)</w:t>
      </w:r>
    </w:p>
    <w:p w14:paraId="4B7AF753" w14:textId="77777777" w:rsidR="00B350A9" w:rsidRPr="00B350A9" w:rsidRDefault="00B350A9" w:rsidP="00B350A9">
      <w:pPr>
        <w:spacing w:before="100" w:beforeAutospacing="1" w:after="100" w:afterAutospacing="1" w:line="240" w:lineRule="auto"/>
        <w:jc w:val="center"/>
        <w:outlineLvl w:val="1"/>
        <w:rPr>
          <w:rFonts w:ascii="Arial" w:eastAsia="Times New Roman" w:hAnsi="Arial" w:cs="Arial"/>
          <w:b/>
          <w:bCs/>
          <w:sz w:val="24"/>
          <w:szCs w:val="24"/>
        </w:rPr>
      </w:pPr>
    </w:p>
    <w:p w14:paraId="476F03F1" w14:textId="36B941CA" w:rsidR="00B350A9" w:rsidRPr="00B350A9" w:rsidRDefault="00B350A9" w:rsidP="00B350A9">
      <w:pPr>
        <w:spacing w:before="100" w:beforeAutospacing="1" w:after="100" w:afterAutospacing="1" w:line="480" w:lineRule="auto"/>
        <w:outlineLvl w:val="2"/>
        <w:rPr>
          <w:rFonts w:ascii="Arial" w:eastAsia="Times New Roman" w:hAnsi="Arial" w:cs="Arial"/>
          <w:b/>
          <w:bCs/>
          <w:sz w:val="24"/>
          <w:szCs w:val="24"/>
        </w:rPr>
      </w:pPr>
      <w:r w:rsidRPr="00B350A9">
        <w:rPr>
          <w:rFonts w:ascii="Arial" w:eastAsia="Times New Roman" w:hAnsi="Arial" w:cs="Arial"/>
          <w:b/>
          <w:bCs/>
          <w:sz w:val="24"/>
          <w:szCs w:val="24"/>
        </w:rPr>
        <w:t>Title of the Project</w:t>
      </w:r>
      <w:r>
        <w:rPr>
          <w:rFonts w:ascii="Arial" w:eastAsia="Times New Roman" w:hAnsi="Arial" w:cs="Arial"/>
          <w:b/>
          <w:bCs/>
          <w:sz w:val="24"/>
          <w:szCs w:val="24"/>
        </w:rPr>
        <w:tab/>
      </w:r>
      <w:r w:rsidRPr="00B350A9">
        <w:rPr>
          <w:rFonts w:ascii="Arial" w:eastAsia="Times New Roman" w:hAnsi="Arial" w:cs="Arial"/>
          <w:b/>
          <w:bCs/>
          <w:sz w:val="24"/>
          <w:szCs w:val="24"/>
        </w:rPr>
        <w:t xml:space="preserve">: </w:t>
      </w:r>
      <w:r w:rsidR="006E4217">
        <w:rPr>
          <w:rFonts w:ascii="Times New Roman" w:hAnsi="Times New Roman"/>
          <w:sz w:val="24"/>
        </w:rPr>
        <w:t xml:space="preserve"> </w:t>
      </w:r>
      <w:r w:rsidR="008A3C13">
        <w:rPr>
          <w:rFonts w:ascii="Times New Roman" w:hAnsi="Times New Roman"/>
          <w:sz w:val="24"/>
        </w:rPr>
        <w:t xml:space="preserve">AI-Driven Transformation in Banking GRC: Implications </w:t>
      </w:r>
      <w:r w:rsidR="008A3C13">
        <w:rPr>
          <w:rFonts w:ascii="Times New Roman" w:hAnsi="Times New Roman"/>
          <w:sz w:val="24"/>
        </w:rPr>
        <w:t xml:space="preserve">on </w:t>
      </w:r>
      <w:r w:rsidR="008A3C13">
        <w:rPr>
          <w:rFonts w:ascii="Times New Roman" w:hAnsi="Times New Roman"/>
          <w:sz w:val="24"/>
        </w:rPr>
        <w:t>Human Behavioral Adaptation</w:t>
      </w:r>
    </w:p>
    <w:p w14:paraId="08F717C2" w14:textId="19DF6457"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Student’s Name</w:t>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w:t>
      </w:r>
      <w:proofErr w:type="spellStart"/>
      <w:r w:rsidR="00562AE4">
        <w:rPr>
          <w:rFonts w:ascii="Arial" w:eastAsia="Times New Roman" w:hAnsi="Arial" w:cs="Arial"/>
          <w:b/>
          <w:bCs/>
          <w:sz w:val="24"/>
          <w:szCs w:val="24"/>
        </w:rPr>
        <w:t>Narentheran</w:t>
      </w:r>
      <w:proofErr w:type="spellEnd"/>
      <w:r w:rsidR="00562AE4">
        <w:rPr>
          <w:rFonts w:ascii="Arial" w:eastAsia="Times New Roman" w:hAnsi="Arial" w:cs="Arial"/>
          <w:b/>
          <w:bCs/>
          <w:sz w:val="24"/>
          <w:szCs w:val="24"/>
        </w:rPr>
        <w:t xml:space="preserve"> S</w:t>
      </w:r>
    </w:p>
    <w:p w14:paraId="0A5733D6" w14:textId="4D78BDD1"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Roll No.</w:t>
      </w:r>
      <w:r>
        <w:rPr>
          <w:rFonts w:ascii="Arial" w:eastAsia="Times New Roman" w:hAnsi="Arial" w:cs="Arial"/>
          <w:b/>
          <w:bCs/>
          <w:sz w:val="24"/>
          <w:szCs w:val="24"/>
        </w:rPr>
        <w:tab/>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w:t>
      </w:r>
      <w:r w:rsidR="00562AE4" w:rsidRPr="00562AE4">
        <w:rPr>
          <w:rFonts w:ascii="Arial" w:eastAsia="Times New Roman" w:hAnsi="Arial" w:cs="Arial"/>
          <w:b/>
          <w:bCs/>
          <w:sz w:val="24"/>
          <w:szCs w:val="24"/>
        </w:rPr>
        <w:t>2406OBA0034</w:t>
      </w:r>
    </w:p>
    <w:p w14:paraId="4E6C61B9" w14:textId="721AA367"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Reg. No.</w:t>
      </w:r>
      <w:r>
        <w:rPr>
          <w:rFonts w:ascii="Arial" w:eastAsia="Times New Roman" w:hAnsi="Arial" w:cs="Arial"/>
          <w:b/>
          <w:bCs/>
          <w:sz w:val="24"/>
          <w:szCs w:val="24"/>
        </w:rPr>
        <w:tab/>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69124100089</w:t>
      </w:r>
    </w:p>
    <w:p w14:paraId="2EEDCCE7" w14:textId="77777777" w:rsidR="00145105" w:rsidRDefault="00145105" w:rsidP="0049239F">
      <w:pPr>
        <w:spacing w:before="100" w:beforeAutospacing="1" w:after="100" w:afterAutospacing="1" w:line="240" w:lineRule="auto"/>
        <w:outlineLvl w:val="1"/>
        <w:rPr>
          <w:rFonts w:ascii="Arial" w:eastAsia="Times New Roman" w:hAnsi="Arial" w:cs="Arial"/>
          <w:b/>
          <w:bCs/>
          <w:sz w:val="24"/>
          <w:szCs w:val="24"/>
        </w:rPr>
      </w:pPr>
    </w:p>
    <w:p w14:paraId="73DA7376" w14:textId="77777777" w:rsidR="0049239F" w:rsidRPr="0049239F" w:rsidRDefault="00B350A9" w:rsidP="0049239F">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1. NEED FOR THE STUDY</w:t>
      </w:r>
      <w:r w:rsidR="0049239F">
        <w:rPr>
          <w:rFonts w:ascii="Arial" w:eastAsia="Times New Roman" w:hAnsi="Arial" w:cs="Arial"/>
          <w:b/>
          <w:bCs/>
          <w:sz w:val="24"/>
          <w:szCs w:val="24"/>
        </w:rPr>
        <w:t xml:space="preserve">: </w:t>
      </w:r>
    </w:p>
    <w:p w14:paraId="1E8C62E4" w14:textId="2EBE255F" w:rsidR="00B350A9" w:rsidRPr="00B350A9" w:rsidRDefault="00B350A9" w:rsidP="00B350A9">
      <w:pPr>
        <w:spacing w:after="0" w:line="240" w:lineRule="auto"/>
        <w:rPr>
          <w:rFonts w:ascii="Arial" w:eastAsia="Times New Roman" w:hAnsi="Arial" w:cs="Arial"/>
          <w:sz w:val="24"/>
          <w:szCs w:val="24"/>
        </w:rPr>
      </w:pPr>
      <w:r>
        <w:rPr>
          <w:rFonts w:ascii="Times New Roman" w:hAnsi="Times New Roman"/>
          <w:sz w:val="24"/>
        </w:rPr>
        <w:t xml:space="preserve">The global banking sector is undergoing a significant transformation as Artificial Intelligence (AI) is increasingly integrated into Governance, Risk, and Compliance (GRC) functions. Regulatory bodies worldwide are actively shaping frameworks around AI adoption in financial services, including the Digital Operational Resilience Act (DORA) in the European Union. While AI and Agentic AI promise enhanced efficiency in compliance monitoring, risk assessment, and regulatory reporting, there is limited empirical research examining how these technological shifts are reshaping GRC practices on the ground. Furthermore, the downstream effects on workforce management </w:t>
      </w:r>
      <w:r w:rsidR="00562AE4">
        <w:rPr>
          <w:rFonts w:ascii="Times New Roman" w:hAnsi="Times New Roman"/>
          <w:sz w:val="24"/>
        </w:rPr>
        <w:t>-</w:t>
      </w:r>
      <w:r>
        <w:rPr>
          <w:rFonts w:ascii="Times New Roman" w:hAnsi="Times New Roman"/>
          <w:sz w:val="24"/>
        </w:rPr>
        <w:t xml:space="preserve"> including role redefinition, skill displacement, and employee behavioral adaptation </w:t>
      </w:r>
      <w:r w:rsidR="00562AE4">
        <w:rPr>
          <w:rFonts w:ascii="Times New Roman" w:hAnsi="Times New Roman"/>
          <w:sz w:val="24"/>
        </w:rPr>
        <w:t>-</w:t>
      </w:r>
      <w:r>
        <w:rPr>
          <w:rFonts w:ascii="Times New Roman" w:hAnsi="Times New Roman"/>
          <w:sz w:val="24"/>
        </w:rPr>
        <w:t xml:space="preserve"> remain underexplored. This study addresses this gap by first empirically analyzing publicly available data on AI-driven changes in banking GRC, and then deriving workforce and behavioral implications through literature review grounded in behavioral science.</w:t>
      </w:r>
    </w:p>
    <w:p w14:paraId="0ABA8366" w14:textId="77777777" w:rsidR="0049239F" w:rsidRDefault="0049239F" w:rsidP="00B350A9">
      <w:pPr>
        <w:spacing w:before="100" w:beforeAutospacing="1" w:after="100" w:afterAutospacing="1" w:line="240" w:lineRule="auto"/>
        <w:outlineLvl w:val="1"/>
        <w:rPr>
          <w:rFonts w:ascii="Arial" w:eastAsia="Times New Roman" w:hAnsi="Arial" w:cs="Arial"/>
          <w:b/>
          <w:bCs/>
          <w:sz w:val="24"/>
          <w:szCs w:val="24"/>
        </w:rPr>
      </w:pPr>
    </w:p>
    <w:p w14:paraId="304F86DE" w14:textId="77777777" w:rsidR="00145105" w:rsidRDefault="00145105" w:rsidP="00B350A9">
      <w:pPr>
        <w:spacing w:before="100" w:beforeAutospacing="1" w:after="100" w:afterAutospacing="1" w:line="240" w:lineRule="auto"/>
        <w:outlineLvl w:val="1"/>
        <w:rPr>
          <w:rFonts w:ascii="Arial" w:eastAsia="Times New Roman" w:hAnsi="Arial" w:cs="Arial"/>
          <w:b/>
          <w:bCs/>
          <w:sz w:val="24"/>
          <w:szCs w:val="24"/>
        </w:rPr>
      </w:pPr>
    </w:p>
    <w:p w14:paraId="75F5CFEE"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lastRenderedPageBreak/>
        <w:t>2(a). PRIMARY OBJECTIVE</w:t>
      </w:r>
      <w:r w:rsidR="0049239F">
        <w:rPr>
          <w:rFonts w:ascii="Arial" w:eastAsia="Times New Roman" w:hAnsi="Arial" w:cs="Arial"/>
          <w:b/>
          <w:bCs/>
          <w:sz w:val="24"/>
          <w:szCs w:val="24"/>
        </w:rPr>
        <w:t>:</w:t>
      </w:r>
    </w:p>
    <w:p w14:paraId="7236E321" w14:textId="3518CD72"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r>
        <w:rPr>
          <w:rFonts w:ascii="Times New Roman" w:hAnsi="Times New Roman"/>
          <w:sz w:val="24"/>
        </w:rPr>
        <w:t xml:space="preserve">To empirically investigate, using publicly available data, how AI is transforming Governance, Risk, and Compliance (GRC) approaches in global banking </w:t>
      </w:r>
      <w:r w:rsidR="00562AE4">
        <w:rPr>
          <w:rFonts w:ascii="Times New Roman" w:hAnsi="Times New Roman"/>
          <w:sz w:val="24"/>
        </w:rPr>
        <w:t>-</w:t>
      </w:r>
      <w:r>
        <w:rPr>
          <w:rFonts w:ascii="Times New Roman" w:hAnsi="Times New Roman"/>
          <w:sz w:val="24"/>
        </w:rPr>
        <w:t xml:space="preserve"> examining the nature of technological shifts, their impact on existing GRC platforms and practices </w:t>
      </w:r>
      <w:r w:rsidR="00562AE4">
        <w:rPr>
          <w:rFonts w:ascii="Times New Roman" w:hAnsi="Times New Roman"/>
          <w:sz w:val="24"/>
        </w:rPr>
        <w:t>-</w:t>
      </w:r>
      <w:r>
        <w:rPr>
          <w:rFonts w:ascii="Times New Roman" w:hAnsi="Times New Roman"/>
          <w:sz w:val="24"/>
        </w:rPr>
        <w:t xml:space="preserve"> and to subsequently derive implications for workforce management practices and employee behavioral adaptation by integrating the empirical findings with behavioral science literature.</w:t>
      </w:r>
    </w:p>
    <w:p w14:paraId="3EB46AFD" w14:textId="77777777" w:rsid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2(b). SECONDARY OBJECTIVES</w:t>
      </w:r>
    </w:p>
    <w:p w14:paraId="2A794B72" w14:textId="77777777" w:rsidR="002873DB" w:rsidRDefault="002873DB"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w:t>
      </w:r>
      <w:proofErr w:type="spellStart"/>
      <w:r>
        <w:rPr>
          <w:rFonts w:ascii="Arial" w:eastAsia="Times New Roman" w:hAnsi="Arial" w:cs="Arial"/>
          <w:b/>
          <w:bCs/>
          <w:sz w:val="24"/>
          <w:szCs w:val="24"/>
        </w:rPr>
        <w:t>i</w:t>
      </w:r>
      <w:proofErr w:type="spellEnd"/>
      <w:r>
        <w:rPr>
          <w:rFonts w:ascii="Arial" w:eastAsia="Times New Roman" w:hAnsi="Arial" w:cs="Arial"/>
          <w:b/>
          <w:bCs/>
          <w:sz w:val="24"/>
          <w:szCs w:val="24"/>
        </w:rPr>
        <w:t>)</w:t>
      </w:r>
      <w:r>
        <w:rPr>
          <w:rFonts w:ascii="Times New Roman" w:hAnsi="Times New Roman"/>
          <w:sz w:val="24"/>
        </w:rPr>
        <w:t xml:space="preserve"> To identify and analyze the key AI technologies being adopted in banking GRC functions (e.g., NLP for regulatory monitoring, ML for risk scoring, automated compliance reporting) and quantify their adoption trends using publicly available data.</w:t>
      </w:r>
    </w:p>
    <w:p w14:paraId="0A501E99" w14:textId="75A72529" w:rsidR="002873DB" w:rsidRDefault="002873DB"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(ii)</w:t>
      </w:r>
      <w:r>
        <w:rPr>
          <w:rFonts w:ascii="Times New Roman" w:hAnsi="Times New Roman"/>
          <w:sz w:val="24"/>
        </w:rPr>
        <w:t xml:space="preserve"> To assess how AI and Agentic AI integration is altering the operational landscape of GRC </w:t>
      </w:r>
      <w:r w:rsidR="00562AE4">
        <w:rPr>
          <w:rFonts w:ascii="Times New Roman" w:hAnsi="Times New Roman"/>
          <w:sz w:val="24"/>
        </w:rPr>
        <w:t>-</w:t>
      </w:r>
      <w:r>
        <w:rPr>
          <w:rFonts w:ascii="Times New Roman" w:hAnsi="Times New Roman"/>
          <w:sz w:val="24"/>
        </w:rPr>
        <w:t>including changes in compliance workflows, risk assessment methodologies, governance structures, and regulatory frameworks across the global banking sector.</w:t>
      </w:r>
    </w:p>
    <w:p w14:paraId="3EB28051" w14:textId="77777777" w:rsidR="002873DB" w:rsidRDefault="002873DB"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(iii)</w:t>
      </w:r>
      <w:r>
        <w:rPr>
          <w:rFonts w:ascii="Times New Roman" w:hAnsi="Times New Roman"/>
          <w:sz w:val="24"/>
        </w:rPr>
        <w:t xml:space="preserve"> To derive, through literature review and behavioral science frameworks, the implications of these AI-driven GRC shifts on workforce management (role evolution, reskilling needs, employment patterns) and employee behavioral responses (resistance to change, trust in AI, decision-making dynamics).</w:t>
      </w:r>
    </w:p>
    <w:p w14:paraId="60F167C2" w14:textId="77777777" w:rsidR="003C083A" w:rsidRPr="00B350A9" w:rsidRDefault="003C083A" w:rsidP="00B350A9">
      <w:pPr>
        <w:spacing w:before="100" w:beforeAutospacing="1" w:after="100" w:afterAutospacing="1" w:line="240" w:lineRule="auto"/>
        <w:outlineLvl w:val="1"/>
        <w:rPr>
          <w:rFonts w:ascii="Arial" w:eastAsia="Times New Roman" w:hAnsi="Arial" w:cs="Arial"/>
          <w:b/>
          <w:bCs/>
          <w:sz w:val="24"/>
          <w:szCs w:val="24"/>
        </w:rPr>
      </w:pPr>
    </w:p>
    <w:p w14:paraId="2826707E"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3. METHODOLOGIES</w:t>
      </w:r>
    </w:p>
    <w:p w14:paraId="60635B87" w14:textId="77777777" w:rsidR="00437AE7" w:rsidRDefault="00145105" w:rsidP="00145105">
      <w:pPr>
        <w:spacing w:after="0" w:line="240" w:lineRule="auto"/>
        <w:rPr>
          <w:rFonts w:ascii="Times New Roman" w:hAnsi="Times New Roman"/>
          <w:sz w:val="24"/>
        </w:rPr>
      </w:pPr>
      <w:r>
        <w:rPr>
          <w:rFonts w:ascii="Times New Roman" w:hAnsi="Times New Roman"/>
          <w:sz w:val="24"/>
        </w:rPr>
        <w:t>This study adopts a mixed-methods approach:</w:t>
      </w:r>
      <w:r>
        <w:rPr>
          <w:rFonts w:ascii="Times New Roman" w:hAnsi="Times New Roman"/>
          <w:sz w:val="24"/>
        </w:rPr>
        <w:br/>
        <w:t xml:space="preserve">• Empirical Data Analysis: Collection and analysis of publicly available data </w:t>
      </w:r>
      <w:r w:rsidR="00562AE4">
        <w:rPr>
          <w:rFonts w:ascii="Times New Roman" w:hAnsi="Times New Roman"/>
          <w:sz w:val="24"/>
        </w:rPr>
        <w:t xml:space="preserve">- </w:t>
      </w:r>
      <w:r>
        <w:rPr>
          <w:rFonts w:ascii="Times New Roman" w:hAnsi="Times New Roman"/>
          <w:sz w:val="24"/>
        </w:rPr>
        <w:t xml:space="preserve">including regulatory filings, industry reports, annual reports of global banks, AI adoption surveys, patent filings, and job market data </w:t>
      </w:r>
      <w:r w:rsidR="00562AE4">
        <w:rPr>
          <w:rFonts w:ascii="Times New Roman" w:hAnsi="Times New Roman"/>
          <w:sz w:val="24"/>
        </w:rPr>
        <w:t>-</w:t>
      </w:r>
      <w:r>
        <w:rPr>
          <w:rFonts w:ascii="Times New Roman" w:hAnsi="Times New Roman"/>
          <w:sz w:val="24"/>
        </w:rPr>
        <w:t xml:space="preserve"> to map AI adoption trends in GRC.</w:t>
      </w:r>
    </w:p>
    <w:p w14:paraId="65B664A4" w14:textId="5EBB2E12" w:rsidR="00145105" w:rsidRPr="00437AE7" w:rsidRDefault="00437AE7" w:rsidP="00145105">
      <w:pPr>
        <w:spacing w:after="0" w:line="240" w:lineRule="auto"/>
        <w:rPr>
          <w:rFonts w:ascii="Times New Roman" w:hAnsi="Times New Roman"/>
          <w:sz w:val="24"/>
        </w:rPr>
      </w:pPr>
      <w:r>
        <w:rPr>
          <w:rFonts w:ascii="Times New Roman" w:hAnsi="Times New Roman"/>
          <w:sz w:val="24"/>
        </w:rPr>
        <w:t>• Interview, questioners and discussion with the people from the industry to enhance the data analysis.</w:t>
      </w:r>
      <w:r w:rsidR="00145105">
        <w:rPr>
          <w:rFonts w:ascii="Times New Roman" w:hAnsi="Times New Roman"/>
          <w:sz w:val="24"/>
        </w:rPr>
        <w:br/>
        <w:t>• Literature Review: Systematic review of academic literature on behavioral science (Technology Acceptance Model, Change Management Theory, Organizational Behavior) and workforce management to build a theoretical framework.</w:t>
      </w:r>
      <w:r w:rsidR="00145105">
        <w:rPr>
          <w:rFonts w:ascii="Times New Roman" w:hAnsi="Times New Roman"/>
          <w:sz w:val="24"/>
        </w:rPr>
        <w:br/>
        <w:t xml:space="preserve">• Derived Analysis: Integrating empirical findings with behavioral science literature to draw conclusions about workforce and behavioral impact </w:t>
      </w:r>
      <w:r w:rsidR="00562AE4">
        <w:rPr>
          <w:rFonts w:ascii="Times New Roman" w:hAnsi="Times New Roman"/>
          <w:sz w:val="24"/>
        </w:rPr>
        <w:t>-</w:t>
      </w:r>
      <w:r w:rsidR="00145105">
        <w:rPr>
          <w:rFonts w:ascii="Times New Roman" w:hAnsi="Times New Roman"/>
          <w:sz w:val="24"/>
        </w:rPr>
        <w:t xml:space="preserve"> contemplating from the data what behavioral science and workforce management theory predict regarding human adaptation to AI-driven GRC transformation.</w:t>
      </w:r>
    </w:p>
    <w:p w14:paraId="213FE3BD"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2B107C50"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327DDACF" w14:textId="77777777" w:rsidR="00145105" w:rsidRDefault="00145105" w:rsidP="00B350A9">
      <w:pPr>
        <w:spacing w:before="100" w:beforeAutospacing="1" w:after="100" w:afterAutospacing="1" w:line="240" w:lineRule="auto"/>
        <w:outlineLvl w:val="1"/>
        <w:rPr>
          <w:rFonts w:ascii="Arial" w:eastAsia="Times New Roman" w:hAnsi="Arial" w:cs="Arial"/>
          <w:b/>
          <w:bCs/>
          <w:sz w:val="24"/>
          <w:szCs w:val="24"/>
        </w:rPr>
      </w:pPr>
    </w:p>
    <w:p w14:paraId="2140178F"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lastRenderedPageBreak/>
        <w:t>4. EXPECTED DELIVERABLES</w:t>
      </w:r>
    </w:p>
    <w:p w14:paraId="32D4930E" w14:textId="77777777"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 A comprehensive empirical analysis report on AI adoption trends in global banking GRC</w:t>
      </w:r>
      <w:r>
        <w:rPr>
          <w:rFonts w:ascii="Times New Roman" w:hAnsi="Times New Roman"/>
          <w:sz w:val="24"/>
        </w:rPr>
        <w:br/>
        <w:t>• A mapping of AI and Agentic AI technologies to specific GRC function transformations</w:t>
      </w:r>
      <w:r>
        <w:rPr>
          <w:rFonts w:ascii="Times New Roman" w:hAnsi="Times New Roman"/>
          <w:sz w:val="24"/>
        </w:rPr>
        <w:br/>
        <w:t>• A derived framework linking AI-driven GRC shifts to workforce management implications and employee behavioral adaptation patterns</w:t>
      </w:r>
      <w:r>
        <w:rPr>
          <w:rFonts w:ascii="Times New Roman" w:hAnsi="Times New Roman"/>
          <w:sz w:val="24"/>
        </w:rPr>
        <w:br/>
        <w:t>• Evidence-based recommendations for banks on managing the human dimension of AI integration in GRC</w:t>
      </w:r>
      <w:r>
        <w:rPr>
          <w:rFonts w:ascii="Times New Roman" w:hAnsi="Times New Roman"/>
          <w:sz w:val="24"/>
        </w:rPr>
        <w:br/>
        <w:t>• Final research dissertation/report</w:t>
      </w:r>
    </w:p>
    <w:p w14:paraId="201A4C37"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2BEAA270"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63666EF6"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5. REFERENCES</w:t>
      </w:r>
    </w:p>
    <w:p w14:paraId="6BBBD01F" w14:textId="720B3980"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 xml:space="preserve">1. European Union </w:t>
      </w:r>
      <w:r w:rsidR="00562AE4">
        <w:rPr>
          <w:rFonts w:ascii="Times New Roman" w:hAnsi="Times New Roman"/>
          <w:sz w:val="24"/>
        </w:rPr>
        <w:t>-</w:t>
      </w:r>
      <w:r>
        <w:rPr>
          <w:rFonts w:ascii="Times New Roman" w:hAnsi="Times New Roman"/>
          <w:sz w:val="24"/>
        </w:rPr>
        <w:t xml:space="preserve"> Digital Operational Resilience Act (DORA) Regulation (EU) 2022/2554</w:t>
      </w:r>
      <w:r>
        <w:rPr>
          <w:rFonts w:ascii="Times New Roman" w:hAnsi="Times New Roman"/>
          <w:sz w:val="24"/>
        </w:rPr>
        <w:br/>
        <w:t xml:space="preserve">2. Financial Stability Board </w:t>
      </w:r>
      <w:r w:rsidR="00562AE4">
        <w:rPr>
          <w:rFonts w:ascii="Times New Roman" w:hAnsi="Times New Roman"/>
          <w:sz w:val="24"/>
        </w:rPr>
        <w:t xml:space="preserve">- </w:t>
      </w:r>
      <w:r>
        <w:rPr>
          <w:rFonts w:ascii="Times New Roman" w:hAnsi="Times New Roman"/>
          <w:sz w:val="24"/>
        </w:rPr>
        <w:t>Artificial Intelligence and Machine Learning in Financial Services (2017)</w:t>
      </w:r>
      <w:r>
        <w:rPr>
          <w:rFonts w:ascii="Times New Roman" w:hAnsi="Times New Roman"/>
          <w:sz w:val="24"/>
        </w:rPr>
        <w:br/>
        <w:t xml:space="preserve">3. Basel Committee on Banking Supervision </w:t>
      </w:r>
      <w:r w:rsidR="00562AE4">
        <w:rPr>
          <w:rFonts w:ascii="Times New Roman" w:hAnsi="Times New Roman"/>
          <w:sz w:val="24"/>
        </w:rPr>
        <w:t>-</w:t>
      </w:r>
      <w:r>
        <w:rPr>
          <w:rFonts w:ascii="Times New Roman" w:hAnsi="Times New Roman"/>
          <w:sz w:val="24"/>
        </w:rPr>
        <w:t xml:space="preserve"> Implications of Fintech Developments for Banks and Supervisors</w:t>
      </w:r>
      <w:r>
        <w:rPr>
          <w:rFonts w:ascii="Times New Roman" w:hAnsi="Times New Roman"/>
          <w:sz w:val="24"/>
        </w:rPr>
        <w:br/>
        <w:t xml:space="preserve">4. Davis, F.D. (1989) </w:t>
      </w:r>
      <w:r w:rsidR="00125278">
        <w:rPr>
          <w:rFonts w:ascii="Times New Roman" w:hAnsi="Times New Roman"/>
          <w:sz w:val="24"/>
        </w:rPr>
        <w:t>-</w:t>
      </w:r>
      <w:r>
        <w:rPr>
          <w:rFonts w:ascii="Times New Roman" w:hAnsi="Times New Roman"/>
          <w:sz w:val="24"/>
        </w:rPr>
        <w:t xml:space="preserve"> Perceived Usefulness, Perceived Ease of Use, and User Acceptance of Information Technology, MIS Quarterly</w:t>
      </w:r>
      <w:r>
        <w:rPr>
          <w:rFonts w:ascii="Times New Roman" w:hAnsi="Times New Roman"/>
          <w:sz w:val="24"/>
        </w:rPr>
        <w:br/>
        <w:t xml:space="preserve">5. Kotter, J.P. (1996) </w:t>
      </w:r>
      <w:r w:rsidR="00125278">
        <w:rPr>
          <w:rFonts w:ascii="Times New Roman" w:hAnsi="Times New Roman"/>
          <w:sz w:val="24"/>
        </w:rPr>
        <w:t>-</w:t>
      </w:r>
      <w:r>
        <w:rPr>
          <w:rFonts w:ascii="Times New Roman" w:hAnsi="Times New Roman"/>
          <w:sz w:val="24"/>
        </w:rPr>
        <w:t xml:space="preserve"> Leading Change, Harvard Business School Press</w:t>
      </w:r>
      <w:r>
        <w:rPr>
          <w:rFonts w:ascii="Times New Roman" w:hAnsi="Times New Roman"/>
          <w:sz w:val="24"/>
        </w:rPr>
        <w:br/>
        <w:t xml:space="preserve">6. Rogers, E.M. (2003) </w:t>
      </w:r>
      <w:r w:rsidR="00125278">
        <w:rPr>
          <w:rFonts w:ascii="Times New Roman" w:hAnsi="Times New Roman"/>
          <w:sz w:val="24"/>
        </w:rPr>
        <w:t xml:space="preserve">- </w:t>
      </w:r>
      <w:r>
        <w:rPr>
          <w:rFonts w:ascii="Times New Roman" w:hAnsi="Times New Roman"/>
          <w:sz w:val="24"/>
        </w:rPr>
        <w:t>Diffusion of Innovations, 5th Edition</w:t>
      </w:r>
      <w:r>
        <w:rPr>
          <w:rFonts w:ascii="Times New Roman" w:hAnsi="Times New Roman"/>
          <w:sz w:val="24"/>
        </w:rPr>
        <w:br/>
        <w:t>7. IEEE/ACM Publications on AI in Regulatory Compliance and Banking Technology</w:t>
      </w:r>
      <w:r>
        <w:rPr>
          <w:rFonts w:ascii="Times New Roman" w:hAnsi="Times New Roman"/>
          <w:sz w:val="24"/>
        </w:rPr>
        <w:br/>
        <w:t>8. Industry Reports on AI in Banking GRC (publicly available white papers and surveys)</w:t>
      </w:r>
    </w:p>
    <w:p w14:paraId="1F2C1FAA"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7AC76D88"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4FC20420" w14:textId="77777777" w:rsidR="00885DFA" w:rsidRDefault="00885DFA" w:rsidP="00B350A9">
      <w:pPr>
        <w:spacing w:before="100" w:beforeAutospacing="1" w:after="100" w:afterAutospacing="1" w:line="240" w:lineRule="auto"/>
        <w:outlineLvl w:val="1"/>
        <w:rPr>
          <w:rFonts w:ascii="Arial" w:eastAsia="Times New Roman" w:hAnsi="Arial" w:cs="Arial"/>
          <w:b/>
          <w:bCs/>
          <w:sz w:val="24"/>
          <w:szCs w:val="24"/>
        </w:rPr>
      </w:pPr>
    </w:p>
    <w:p w14:paraId="61251411" w14:textId="77777777" w:rsidR="00B350A9" w:rsidRPr="00814D48" w:rsidRDefault="00B350A9" w:rsidP="00B350A9">
      <w:pPr>
        <w:spacing w:before="100" w:beforeAutospacing="1" w:after="100" w:afterAutospacing="1" w:line="240" w:lineRule="auto"/>
        <w:outlineLvl w:val="1"/>
        <w:rPr>
          <w:rFonts w:ascii="Arial" w:eastAsia="Times New Roman" w:hAnsi="Arial" w:cs="Arial"/>
          <w:sz w:val="24"/>
          <w:szCs w:val="24"/>
        </w:rPr>
      </w:pPr>
      <w:r w:rsidRPr="00B350A9">
        <w:rPr>
          <w:rFonts w:ascii="Arial" w:eastAsia="Times New Roman" w:hAnsi="Arial" w:cs="Arial"/>
          <w:b/>
          <w:bCs/>
          <w:sz w:val="24"/>
          <w:szCs w:val="24"/>
        </w:rPr>
        <w:t>6. COMPANY PROJECT</w:t>
      </w:r>
      <w:r w:rsidR="00814D48">
        <w:rPr>
          <w:rFonts w:ascii="Arial" w:eastAsia="Times New Roman" w:hAnsi="Arial" w:cs="Arial"/>
          <w:b/>
          <w:bCs/>
          <w:sz w:val="24"/>
          <w:szCs w:val="24"/>
        </w:rPr>
        <w:t xml:space="preserve">- </w:t>
      </w:r>
      <w:r w:rsidR="002873DB">
        <w:rPr>
          <w:rFonts w:ascii="Arial" w:eastAsia="Times New Roman" w:hAnsi="Arial" w:cs="Arial"/>
          <w:sz w:val="24"/>
          <w:szCs w:val="24"/>
        </w:rPr>
        <w:t>Indicate</w:t>
      </w:r>
      <w:r w:rsidR="00814D48" w:rsidRPr="00814D48">
        <w:rPr>
          <w:rFonts w:ascii="Arial" w:eastAsia="Times New Roman" w:hAnsi="Arial" w:cs="Arial"/>
          <w:sz w:val="24"/>
          <w:szCs w:val="24"/>
        </w:rPr>
        <w:t xml:space="preserve">, </w:t>
      </w:r>
      <w:r w:rsidR="00814D48" w:rsidRPr="002873DB">
        <w:rPr>
          <w:rFonts w:ascii="Arial" w:eastAsia="Times New Roman" w:hAnsi="Arial" w:cs="Arial"/>
          <w:b/>
          <w:bCs/>
          <w:sz w:val="24"/>
          <w:szCs w:val="24"/>
        </w:rPr>
        <w:t xml:space="preserve">Yes </w:t>
      </w:r>
      <w:r w:rsidR="00814D48" w:rsidRPr="00814D48">
        <w:rPr>
          <w:rFonts w:ascii="Arial" w:eastAsia="Times New Roman" w:hAnsi="Arial" w:cs="Arial"/>
          <w:sz w:val="24"/>
          <w:szCs w:val="24"/>
        </w:rPr>
        <w:t>&amp; Upload Company permission letter</w:t>
      </w:r>
    </w:p>
    <w:p w14:paraId="667FC536" w14:textId="77777777" w:rsidR="00814D48" w:rsidRPr="00814D48" w:rsidRDefault="00814D48" w:rsidP="00B350A9">
      <w:pPr>
        <w:spacing w:before="100" w:beforeAutospacing="1" w:after="100" w:afterAutospacing="1" w:line="240" w:lineRule="auto"/>
        <w:outlineLvl w:val="1"/>
        <w:rPr>
          <w:rFonts w:ascii="Arial" w:eastAsia="Times New Roman" w:hAnsi="Arial" w:cs="Arial"/>
          <w:sz w:val="24"/>
          <w:szCs w:val="24"/>
        </w:rPr>
      </w:pPr>
      <w:r w:rsidRPr="00814D48">
        <w:rPr>
          <w:rFonts w:ascii="Arial" w:eastAsia="Times New Roman" w:hAnsi="Arial" w:cs="Arial"/>
          <w:sz w:val="24"/>
          <w:szCs w:val="24"/>
        </w:rPr>
        <w:t>(Only for company project)</w:t>
      </w:r>
    </w:p>
    <w:p w14:paraId="4EBD9E2E" w14:textId="77777777"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No</w:t>
      </w:r>
    </w:p>
    <w:p w14:paraId="5B6A2453" w14:textId="77777777" w:rsidR="00885DFA" w:rsidRDefault="00885DFA" w:rsidP="00B350A9">
      <w:pPr>
        <w:spacing w:before="100" w:beforeAutospacing="1" w:after="100" w:afterAutospacing="1" w:line="240" w:lineRule="auto"/>
        <w:outlineLvl w:val="1"/>
        <w:rPr>
          <w:rFonts w:ascii="Arial" w:eastAsia="Times New Roman" w:hAnsi="Arial" w:cs="Arial"/>
          <w:b/>
          <w:bCs/>
          <w:sz w:val="24"/>
          <w:szCs w:val="24"/>
        </w:rPr>
      </w:pPr>
    </w:p>
    <w:p w14:paraId="12006749" w14:textId="4F6F8401" w:rsidR="00885DFA" w:rsidRPr="00B350A9" w:rsidRDefault="00885DFA"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 xml:space="preserve">7. </w:t>
      </w:r>
      <w:r w:rsidRPr="00885DFA">
        <w:rPr>
          <w:rFonts w:ascii="Arial" w:hAnsi="Arial" w:cs="Arial"/>
          <w:b/>
          <w:sz w:val="24"/>
          <w:szCs w:val="24"/>
        </w:rPr>
        <w:t>PROJECT PROPOSAL</w:t>
      </w:r>
      <w:r>
        <w:rPr>
          <w:rFonts w:ascii="Arial" w:hAnsi="Arial" w:cs="Arial"/>
          <w:b/>
          <w:sz w:val="24"/>
          <w:szCs w:val="24"/>
        </w:rPr>
        <w:t xml:space="preserve"> - GUIDE APPROVAL STATUS –</w:t>
      </w:r>
      <w:r w:rsidR="002873DB">
        <w:rPr>
          <w:rFonts w:ascii="Arial" w:hAnsi="Arial" w:cs="Arial"/>
          <w:bCs/>
          <w:sz w:val="24"/>
          <w:szCs w:val="24"/>
        </w:rPr>
        <w:t>Indicate</w:t>
      </w:r>
      <w:r w:rsidR="00814D48" w:rsidRPr="00814D48">
        <w:rPr>
          <w:rFonts w:ascii="Arial" w:hAnsi="Arial" w:cs="Arial"/>
          <w:bCs/>
          <w:sz w:val="24"/>
          <w:szCs w:val="24"/>
        </w:rPr>
        <w:t xml:space="preserve">, </w:t>
      </w:r>
      <w:r w:rsidRPr="00814D48">
        <w:rPr>
          <w:rFonts w:ascii="Arial" w:hAnsi="Arial" w:cs="Arial"/>
          <w:b/>
          <w:sz w:val="24"/>
          <w:szCs w:val="24"/>
        </w:rPr>
        <w:t>YES/NO</w:t>
      </w:r>
      <w:r w:rsidRPr="00814D48">
        <w:rPr>
          <w:rFonts w:ascii="Arial" w:hAnsi="Arial" w:cs="Arial"/>
          <w:bCs/>
          <w:sz w:val="24"/>
          <w:szCs w:val="24"/>
        </w:rPr>
        <w:t>:</w:t>
      </w:r>
      <w:r w:rsidR="001B0EFB">
        <w:rPr>
          <w:rFonts w:ascii="Arial" w:hAnsi="Arial" w:cs="Arial"/>
          <w:bCs/>
          <w:sz w:val="24"/>
          <w:szCs w:val="24"/>
        </w:rPr>
        <w:t xml:space="preserve"> YES</w:t>
      </w:r>
    </w:p>
    <w:p w14:paraId="34871AE9" w14:textId="77777777" w:rsidR="00885DFA" w:rsidRDefault="00885DFA" w:rsidP="00B350A9">
      <w:pPr>
        <w:spacing w:before="100" w:beforeAutospacing="1" w:after="100" w:afterAutospacing="1" w:line="240" w:lineRule="auto"/>
        <w:rPr>
          <w:rFonts w:ascii="Arial" w:eastAsia="Times New Roman" w:hAnsi="Arial" w:cs="Arial"/>
          <w:b/>
          <w:bCs/>
          <w:sz w:val="24"/>
          <w:szCs w:val="24"/>
        </w:rPr>
      </w:pPr>
    </w:p>
    <w:p w14:paraId="3E2029BF" w14:textId="77777777" w:rsidR="00145105" w:rsidRDefault="00145105" w:rsidP="00885DFA">
      <w:pPr>
        <w:spacing w:before="100" w:beforeAutospacing="1" w:after="100" w:afterAutospacing="1" w:line="240" w:lineRule="auto"/>
        <w:jc w:val="right"/>
        <w:rPr>
          <w:rFonts w:ascii="Arial" w:eastAsia="Times New Roman" w:hAnsi="Arial" w:cs="Arial"/>
          <w:b/>
          <w:bCs/>
          <w:sz w:val="24"/>
          <w:szCs w:val="24"/>
        </w:rPr>
      </w:pPr>
    </w:p>
    <w:p w14:paraId="1743A58F" w14:textId="44A02231" w:rsidR="00125278" w:rsidRDefault="00125278" w:rsidP="00125278">
      <w:pPr>
        <w:spacing w:before="100" w:beforeAutospacing="1" w:after="100" w:afterAutospacing="1" w:line="240" w:lineRule="auto"/>
        <w:jc w:val="center"/>
        <w:rPr>
          <w:rFonts w:ascii="Arial" w:eastAsia="Times New Roman" w:hAnsi="Arial" w:cs="Arial"/>
          <w:b/>
          <w:bCs/>
          <w:sz w:val="24"/>
          <w:szCs w:val="24"/>
        </w:rPr>
      </w:pPr>
      <w:r>
        <w:rPr>
          <w:rFonts w:ascii="Arial" w:eastAsia="Times New Roman" w:hAnsi="Arial" w:cs="Arial"/>
          <w:b/>
          <w:bCs/>
          <w:sz w:val="24"/>
          <w:szCs w:val="24"/>
        </w:rPr>
        <w:t xml:space="preserve">                                                                                                    </w:t>
      </w:r>
      <w:r>
        <w:rPr>
          <w:rFonts w:ascii="Arial" w:eastAsia="Times New Roman" w:hAnsi="Arial" w:cs="Arial"/>
          <w:b/>
          <w:bCs/>
          <w:noProof/>
          <w:sz w:val="24"/>
          <w:szCs w:val="24"/>
        </w:rPr>
        <w:drawing>
          <wp:inline distT="0" distB="0" distL="0" distR="0" wp14:anchorId="2BF67FE2" wp14:editId="4483E2CB">
            <wp:extent cx="1365898" cy="441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4605" cy="450416"/>
                    </a:xfrm>
                    <a:prstGeom prst="rect">
                      <a:avLst/>
                    </a:prstGeom>
                  </pic:spPr>
                </pic:pic>
              </a:graphicData>
            </a:graphic>
          </wp:inline>
        </w:drawing>
      </w:r>
    </w:p>
    <w:p w14:paraId="72EE5AB4" w14:textId="33A9E1AE" w:rsidR="00B350A9" w:rsidRDefault="00B350A9" w:rsidP="00885DFA">
      <w:pPr>
        <w:spacing w:before="100" w:beforeAutospacing="1" w:after="100" w:afterAutospacing="1" w:line="240" w:lineRule="auto"/>
        <w:jc w:val="right"/>
        <w:rPr>
          <w:rFonts w:ascii="Arial" w:eastAsia="Times New Roman" w:hAnsi="Arial" w:cs="Arial"/>
          <w:b/>
          <w:bCs/>
          <w:sz w:val="24"/>
          <w:szCs w:val="24"/>
        </w:rPr>
      </w:pPr>
      <w:r w:rsidRPr="00B350A9">
        <w:rPr>
          <w:rFonts w:ascii="Arial" w:eastAsia="Times New Roman" w:hAnsi="Arial" w:cs="Arial"/>
          <w:b/>
          <w:bCs/>
          <w:sz w:val="24"/>
          <w:szCs w:val="24"/>
        </w:rPr>
        <w:t>(Signature of Student)</w:t>
      </w:r>
    </w:p>
    <w:sectPr w:rsidR="00B350A9" w:rsidSect="00E90D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022A8"/>
    <w:multiLevelType w:val="multilevel"/>
    <w:tmpl w:val="312E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F4B0E"/>
    <w:multiLevelType w:val="multilevel"/>
    <w:tmpl w:val="4510C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A9"/>
    <w:rsid w:val="0009481E"/>
    <w:rsid w:val="00125278"/>
    <w:rsid w:val="001311E5"/>
    <w:rsid w:val="00145105"/>
    <w:rsid w:val="00153DBE"/>
    <w:rsid w:val="0019331D"/>
    <w:rsid w:val="001B0EFB"/>
    <w:rsid w:val="002873DB"/>
    <w:rsid w:val="003C083A"/>
    <w:rsid w:val="003D161A"/>
    <w:rsid w:val="00415409"/>
    <w:rsid w:val="00437AE7"/>
    <w:rsid w:val="0049239F"/>
    <w:rsid w:val="00562AE4"/>
    <w:rsid w:val="005F3B31"/>
    <w:rsid w:val="006C4327"/>
    <w:rsid w:val="006E4217"/>
    <w:rsid w:val="007F59F8"/>
    <w:rsid w:val="00814D48"/>
    <w:rsid w:val="00843A9E"/>
    <w:rsid w:val="00885DFA"/>
    <w:rsid w:val="008A3C13"/>
    <w:rsid w:val="00993F97"/>
    <w:rsid w:val="00A10FA7"/>
    <w:rsid w:val="00AB78C9"/>
    <w:rsid w:val="00AD653E"/>
    <w:rsid w:val="00B350A9"/>
    <w:rsid w:val="00C365F2"/>
    <w:rsid w:val="00D62511"/>
    <w:rsid w:val="00E1788F"/>
    <w:rsid w:val="00E90D79"/>
    <w:rsid w:val="00EB7E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7198"/>
  <w15:docId w15:val="{9BFD3BD3-51CD-4E0B-A13A-5CBDBC5D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79"/>
  </w:style>
  <w:style w:type="paragraph" w:styleId="Heading1">
    <w:name w:val="heading 1"/>
    <w:basedOn w:val="Normal"/>
    <w:link w:val="Heading1Char"/>
    <w:uiPriority w:val="9"/>
    <w:qFormat/>
    <w:rsid w:val="00B350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50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5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0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50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50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50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50A9"/>
    <w:rPr>
      <w:b/>
      <w:bCs/>
    </w:rPr>
  </w:style>
  <w:style w:type="character" w:styleId="Emphasis">
    <w:name w:val="Emphasis"/>
    <w:basedOn w:val="DefaultParagraphFont"/>
    <w:uiPriority w:val="20"/>
    <w:qFormat/>
    <w:rsid w:val="00B350A9"/>
    <w:rPr>
      <w:i/>
      <w:iCs/>
    </w:rPr>
  </w:style>
  <w:style w:type="paragraph" w:styleId="BalloonText">
    <w:name w:val="Balloon Text"/>
    <w:basedOn w:val="Normal"/>
    <w:link w:val="BalloonTextChar"/>
    <w:uiPriority w:val="99"/>
    <w:semiHidden/>
    <w:unhideWhenUsed/>
    <w:rsid w:val="00B350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0A9"/>
    <w:rPr>
      <w:rFonts w:ascii="Tahoma" w:hAnsi="Tahoma" w:cs="Tahoma"/>
      <w:sz w:val="16"/>
      <w:szCs w:val="16"/>
    </w:rPr>
  </w:style>
  <w:style w:type="table" w:styleId="TableGrid">
    <w:name w:val="Table Grid"/>
    <w:basedOn w:val="TableNormal"/>
    <w:uiPriority w:val="59"/>
    <w:rsid w:val="00B350A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1451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07171">
      <w:bodyDiv w:val="1"/>
      <w:marLeft w:val="0"/>
      <w:marRight w:val="0"/>
      <w:marTop w:val="0"/>
      <w:marBottom w:val="0"/>
      <w:divBdr>
        <w:top w:val="none" w:sz="0" w:space="0" w:color="auto"/>
        <w:left w:val="none" w:sz="0" w:space="0" w:color="auto"/>
        <w:bottom w:val="none" w:sz="0" w:space="0" w:color="auto"/>
        <w:right w:val="none" w:sz="0" w:space="0" w:color="auto"/>
      </w:divBdr>
    </w:div>
    <w:div w:id="219438190">
      <w:bodyDiv w:val="1"/>
      <w:marLeft w:val="0"/>
      <w:marRight w:val="0"/>
      <w:marTop w:val="0"/>
      <w:marBottom w:val="0"/>
      <w:divBdr>
        <w:top w:val="none" w:sz="0" w:space="0" w:color="auto"/>
        <w:left w:val="none" w:sz="0" w:space="0" w:color="auto"/>
        <w:bottom w:val="none" w:sz="0" w:space="0" w:color="auto"/>
        <w:right w:val="none" w:sz="0" w:space="0" w:color="auto"/>
      </w:divBdr>
    </w:div>
    <w:div w:id="61861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4</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 Dreamer</cp:lastModifiedBy>
  <cp:revision>6</cp:revision>
  <cp:lastPrinted>2026-06-19T10:21:00Z</cp:lastPrinted>
  <dcterms:created xsi:type="dcterms:W3CDTF">2026-07-05T04:18:00Z</dcterms:created>
  <dcterms:modified xsi:type="dcterms:W3CDTF">2026-07-17T04:36:00Z</dcterms:modified>
</cp:coreProperties>
</file>