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0CE" w:rsidRDefault="00FB30CE"/>
    <w:tbl>
      <w:tblPr>
        <w:tblStyle w:val="TableGrid"/>
        <w:tblpPr w:leftFromText="180" w:rightFromText="180" w:vertAnchor="text" w:horzAnchor="margin" w:tblpY="-2032"/>
        <w:tblW w:w="9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07"/>
        <w:gridCol w:w="7709"/>
      </w:tblGrid>
      <w:tr w:rsidR="00FB30CE" w:rsidTr="00FB30CE">
        <w:trPr>
          <w:trHeight w:val="1079"/>
        </w:trPr>
        <w:tc>
          <w:tcPr>
            <w:tcW w:w="1807" w:type="dxa"/>
          </w:tcPr>
          <w:p w:rsidR="00FB30CE" w:rsidRDefault="00FB30CE" w:rsidP="00FB30CE">
            <w:r>
              <w:rPr>
                <w:noProof/>
              </w:rPr>
              <w:drawing>
                <wp:anchor distT="0" distB="0" distL="114300" distR="114300" simplePos="0" relativeHeight="251659264" behindDoc="0" locked="0" layoutInCell="1" allowOverlap="1">
                  <wp:simplePos x="0" y="0"/>
                  <wp:positionH relativeFrom="column">
                    <wp:posOffset>47625</wp:posOffset>
                  </wp:positionH>
                  <wp:positionV relativeFrom="paragraph">
                    <wp:posOffset>212090</wp:posOffset>
                  </wp:positionV>
                  <wp:extent cx="990600" cy="771525"/>
                  <wp:effectExtent l="19050" t="0" r="0" b="0"/>
                  <wp:wrapSquare wrapText="bothSides"/>
                  <wp:docPr id="4" name="Picture 1" descr="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1"/>
                          <pic:cNvPicPr>
                            <a:picLocks noChangeAspect="1" noChangeArrowheads="1"/>
                          </pic:cNvPicPr>
                        </pic:nvPicPr>
                        <pic:blipFill>
                          <a:blip r:embed="rId5">
                            <a:lum bright="6000"/>
                          </a:blip>
                          <a:srcRect/>
                          <a:stretch>
                            <a:fillRect/>
                          </a:stretch>
                        </pic:blipFill>
                        <pic:spPr bwMode="auto">
                          <a:xfrm>
                            <a:off x="0" y="0"/>
                            <a:ext cx="990600" cy="771525"/>
                          </a:xfrm>
                          <a:prstGeom prst="rect">
                            <a:avLst/>
                          </a:prstGeom>
                          <a:noFill/>
                          <a:ln w="9525">
                            <a:noFill/>
                            <a:miter lim="800000"/>
                            <a:headEnd/>
                            <a:tailEnd/>
                          </a:ln>
                        </pic:spPr>
                      </pic:pic>
                    </a:graphicData>
                  </a:graphic>
                </wp:anchor>
              </w:drawing>
            </w:r>
          </w:p>
          <w:p w:rsidR="00FB30CE" w:rsidRDefault="00FB30CE" w:rsidP="00FB30CE"/>
        </w:tc>
        <w:tc>
          <w:tcPr>
            <w:tcW w:w="7709" w:type="dxa"/>
          </w:tcPr>
          <w:p w:rsidR="00FB30CE" w:rsidRDefault="00FB30CE" w:rsidP="00FB30CE">
            <w:pPr>
              <w:jc w:val="center"/>
              <w:rPr>
                <w:b/>
              </w:rPr>
            </w:pPr>
          </w:p>
          <w:p w:rsidR="002638E4" w:rsidRDefault="00FB30CE" w:rsidP="00FB30CE">
            <w:pPr>
              <w:jc w:val="center"/>
              <w:rPr>
                <w:rFonts w:ascii="Times New Roman" w:hAnsi="Times New Roman" w:cs="Times New Roman"/>
                <w:b/>
                <w:sz w:val="32"/>
                <w:szCs w:val="32"/>
              </w:rPr>
            </w:pPr>
            <w:r w:rsidRPr="00B3455A">
              <w:rPr>
                <w:rFonts w:ascii="Times New Roman" w:hAnsi="Times New Roman" w:cs="Times New Roman"/>
                <w:b/>
                <w:sz w:val="32"/>
                <w:szCs w:val="32"/>
              </w:rPr>
              <w:t>CENTRE FOR DISTANCE</w:t>
            </w:r>
            <w:r w:rsidR="002638E4">
              <w:rPr>
                <w:rFonts w:ascii="Times New Roman" w:hAnsi="Times New Roman" w:cs="Times New Roman"/>
                <w:b/>
                <w:sz w:val="32"/>
                <w:szCs w:val="32"/>
              </w:rPr>
              <w:t xml:space="preserve"> </w:t>
            </w:r>
          </w:p>
          <w:p w:rsidR="002638E4" w:rsidRDefault="002638E4" w:rsidP="00FB30CE">
            <w:pPr>
              <w:jc w:val="center"/>
              <w:rPr>
                <w:rFonts w:ascii="Times New Roman" w:hAnsi="Times New Roman" w:cs="Times New Roman"/>
                <w:b/>
                <w:sz w:val="32"/>
                <w:szCs w:val="32"/>
              </w:rPr>
            </w:pPr>
            <w:r>
              <w:rPr>
                <w:rFonts w:ascii="Times New Roman" w:hAnsi="Times New Roman" w:cs="Times New Roman"/>
                <w:b/>
                <w:sz w:val="32"/>
                <w:szCs w:val="32"/>
              </w:rPr>
              <w:t xml:space="preserve">AND </w:t>
            </w:r>
          </w:p>
          <w:p w:rsidR="00FB30CE" w:rsidRPr="00B3455A" w:rsidRDefault="002638E4" w:rsidP="00FB30CE">
            <w:pPr>
              <w:jc w:val="center"/>
              <w:rPr>
                <w:rFonts w:ascii="Times New Roman" w:hAnsi="Times New Roman" w:cs="Times New Roman"/>
                <w:b/>
                <w:sz w:val="32"/>
                <w:szCs w:val="32"/>
              </w:rPr>
            </w:pPr>
            <w:r>
              <w:rPr>
                <w:rFonts w:ascii="Times New Roman" w:hAnsi="Times New Roman" w:cs="Times New Roman"/>
                <w:b/>
                <w:sz w:val="32"/>
                <w:szCs w:val="32"/>
              </w:rPr>
              <w:t>ONLINE</w:t>
            </w:r>
            <w:r w:rsidR="00FB30CE" w:rsidRPr="00B3455A">
              <w:rPr>
                <w:rFonts w:ascii="Times New Roman" w:hAnsi="Times New Roman" w:cs="Times New Roman"/>
                <w:b/>
                <w:sz w:val="32"/>
                <w:szCs w:val="32"/>
              </w:rPr>
              <w:t xml:space="preserve"> EDUCATION</w:t>
            </w:r>
          </w:p>
          <w:p w:rsidR="00FB30CE" w:rsidRPr="00B3455A" w:rsidRDefault="00FB30CE" w:rsidP="00FB30CE">
            <w:pPr>
              <w:jc w:val="center"/>
              <w:rPr>
                <w:rFonts w:ascii="Times New Roman" w:hAnsi="Times New Roman" w:cs="Times New Roman"/>
                <w:b/>
                <w:sz w:val="32"/>
                <w:szCs w:val="32"/>
              </w:rPr>
            </w:pPr>
            <w:r w:rsidRPr="00B3455A">
              <w:rPr>
                <w:rFonts w:ascii="Times New Roman" w:hAnsi="Times New Roman" w:cs="Times New Roman"/>
                <w:b/>
                <w:sz w:val="32"/>
                <w:szCs w:val="32"/>
              </w:rPr>
              <w:t>ANNA UNIVERSITY,</w:t>
            </w:r>
          </w:p>
          <w:p w:rsidR="00FB30CE" w:rsidRDefault="00FB30CE" w:rsidP="00FB30CE">
            <w:pPr>
              <w:jc w:val="center"/>
            </w:pPr>
            <w:r w:rsidRPr="00B3455A">
              <w:rPr>
                <w:rFonts w:ascii="Times New Roman" w:hAnsi="Times New Roman" w:cs="Times New Roman"/>
                <w:b/>
                <w:sz w:val="32"/>
                <w:szCs w:val="32"/>
              </w:rPr>
              <w:t>CHENNAI – 600025</w:t>
            </w:r>
          </w:p>
        </w:tc>
      </w:tr>
    </w:tbl>
    <w:p w:rsidR="00853F2A" w:rsidRDefault="00FB30CE" w:rsidP="00F63B7D">
      <w:pPr>
        <w:jc w:val="center"/>
        <w:rPr>
          <w:rFonts w:ascii="Times New Roman" w:hAnsi="Times New Roman" w:cs="Times New Roman"/>
          <w:b/>
          <w:sz w:val="24"/>
          <w:szCs w:val="24"/>
        </w:rPr>
      </w:pPr>
      <w:r>
        <w:rPr>
          <w:rFonts w:ascii="Times New Roman" w:hAnsi="Times New Roman" w:cs="Times New Roman"/>
          <w:b/>
          <w:sz w:val="24"/>
          <w:szCs w:val="24"/>
        </w:rPr>
        <w:t>AI-Driven Transformation in Banking GRC: Implications for Workforce Management in UK and EU Banks</w:t>
      </w:r>
      <w:r w:rsidR="00B3455A">
        <w:rPr>
          <w:rFonts w:ascii="Times New Roman" w:hAnsi="Times New Roman" w:cs="Times New Roman"/>
          <w:b/>
          <w:sz w:val="24"/>
          <w:szCs w:val="24"/>
        </w:rPr>
      </w:r>
      <w:r>
        <w:rPr>
          <w:rFonts w:ascii="Times New Roman" w:hAnsi="Times New Roman" w:cs="Times New Roman"/>
          <w:b/>
          <w:sz w:val="24"/>
          <w:szCs w:val="24"/>
        </w:rPr>
      </w:r>
    </w:p>
    <w:p w:rsidR="00FB30CE" w:rsidRPr="00853F2A" w:rsidRDefault="00FB30CE" w:rsidP="00B3455A">
      <w:pPr>
        <w:jc w:val="center"/>
        <w:rPr>
          <w:rFonts w:ascii="Times New Roman" w:hAnsi="Times New Roman" w:cs="Times New Roman"/>
          <w:b/>
          <w:sz w:val="24"/>
          <w:szCs w:val="24"/>
        </w:rPr>
      </w:pPr>
    </w:p>
    <w:p w:rsidR="00853F2A" w:rsidRDefault="00154ED6" w:rsidP="00853F2A">
      <w:pPr>
        <w:jc w:val="center"/>
        <w:rPr>
          <w:rFonts w:ascii="Times New Roman" w:hAnsi="Times New Roman" w:cs="Times New Roman"/>
          <w:b/>
          <w:sz w:val="24"/>
          <w:szCs w:val="24"/>
        </w:rPr>
      </w:pPr>
      <w:r>
        <w:rPr>
          <w:rFonts w:ascii="Times New Roman" w:hAnsi="Times New Roman" w:cs="Times New Roman"/>
          <w:b/>
          <w:sz w:val="24"/>
          <w:szCs w:val="24"/>
        </w:rPr>
        <w:t xml:space="preserve">SECOND </w:t>
      </w:r>
      <w:r w:rsidR="00FB30CE" w:rsidRPr="00853F2A">
        <w:rPr>
          <w:rFonts w:ascii="Times New Roman" w:hAnsi="Times New Roman" w:cs="Times New Roman"/>
          <w:b/>
          <w:sz w:val="24"/>
          <w:szCs w:val="24"/>
        </w:rPr>
        <w:t>REVIEW REPORT</w:t>
      </w:r>
    </w:p>
    <w:p w:rsidR="00FB30CE" w:rsidRPr="00853F2A" w:rsidRDefault="00FB30CE" w:rsidP="00FB30CE">
      <w:pPr>
        <w:rPr>
          <w:rFonts w:ascii="Times New Roman" w:hAnsi="Times New Roman" w:cs="Times New Roman"/>
          <w:b/>
          <w:sz w:val="24"/>
          <w:szCs w:val="24"/>
        </w:rPr>
      </w:pPr>
    </w:p>
    <w:p w:rsidR="00853F2A" w:rsidRDefault="003D7D70">
      <w:pPr>
        <w:rPr>
          <w:rFonts w:ascii="Times New Roman" w:hAnsi="Times New Roman" w:cs="Times New Roman"/>
          <w:sz w:val="24"/>
          <w:szCs w:val="24"/>
        </w:rPr>
      </w:pPr>
      <w:r>
        <w:rPr>
          <w:rFonts w:ascii="Times New Roman" w:hAnsi="Times New Roman" w:cs="Times New Roman"/>
          <w:sz w:val="24"/>
          <w:szCs w:val="24"/>
        </w:rPr>
        <w:t>Student’s Name Narentheran S Roll No.: 2406OBA0034 &amp; Reg. No.: 69124100089</w:t>
      </w:r>
      <w:r w:rsidR="00853F2A" w:rsidRPr="00853F2A">
        <w:rPr>
          <w:rFonts w:ascii="Times New Roman" w:hAnsi="Times New Roman" w:cs="Times New Roman"/>
          <w:sz w:val="24"/>
          <w:szCs w:val="24"/>
        </w:rPr>
      </w:r>
      <w:r w:rsidR="00853F2A">
        <w:rPr>
          <w:rFonts w:ascii="Times New Roman" w:hAnsi="Times New Roman" w:cs="Times New Roman"/>
          <w:sz w:val="24"/>
          <w:szCs w:val="24"/>
        </w:rPr>
      </w:r>
      <w:r>
        <w:rPr>
          <w:rFonts w:ascii="Times New Roman" w:hAnsi="Times New Roman" w:cs="Times New Roman"/>
          <w:sz w:val="24"/>
          <w:szCs w:val="24"/>
        </w:rPr>
      </w:r>
      <w:r w:rsidR="00853F2A">
        <w:rPr>
          <w:rFonts w:ascii="Times New Roman" w:hAnsi="Times New Roman" w:cs="Times New Roman"/>
          <w:sz w:val="24"/>
          <w:szCs w:val="24"/>
        </w:rPr>
      </w:r>
      <w:r>
        <w:rPr>
          <w:rFonts w:ascii="Times New Roman" w:hAnsi="Times New Roman" w:cs="Times New Roman"/>
          <w:sz w:val="24"/>
          <w:szCs w:val="24"/>
        </w:rPr>
      </w:r>
      <w:r w:rsidR="00853F2A" w:rsidRPr="00853F2A">
        <w:rPr>
          <w:rFonts w:ascii="Times New Roman" w:hAnsi="Times New Roman" w:cs="Times New Roman"/>
          <w:sz w:val="24"/>
          <w:szCs w:val="24"/>
        </w:rPr>
      </w:r>
      <w:r w:rsidR="00FB30CE">
        <w:rPr>
          <w:rFonts w:ascii="Times New Roman" w:hAnsi="Times New Roman" w:cs="Times New Roman"/>
          <w:sz w:val="24"/>
          <w:szCs w:val="24"/>
        </w:rPr>
      </w:r>
      <w:r w:rsidR="00853F2A" w:rsidRPr="00853F2A">
        <w:rPr>
          <w:rFonts w:ascii="Times New Roman" w:hAnsi="Times New Roman" w:cs="Times New Roman"/>
          <w:sz w:val="24"/>
          <w:szCs w:val="24"/>
        </w:rPr>
      </w:r>
      <w:r>
        <w:rPr>
          <w:rFonts w:ascii="Times New Roman" w:hAnsi="Times New Roman" w:cs="Times New Roman"/>
          <w:sz w:val="24"/>
          <w:szCs w:val="24"/>
        </w:rPr>
      </w:r>
      <w:r w:rsidR="00853F2A">
        <w:rPr>
          <w:rFonts w:ascii="Times New Roman" w:hAnsi="Times New Roman" w:cs="Times New Roman"/>
          <w:sz w:val="24"/>
          <w:szCs w:val="24"/>
        </w:rPr>
      </w:r>
      <w:r w:rsidR="00FB30CE">
        <w:rPr>
          <w:rFonts w:ascii="Times New Roman" w:hAnsi="Times New Roman" w:cs="Times New Roman"/>
          <w:sz w:val="24"/>
          <w:szCs w:val="24"/>
        </w:rPr>
      </w:r>
      <w:r w:rsidR="00853F2A">
        <w:rPr>
          <w:rFonts w:ascii="Times New Roman" w:hAnsi="Times New Roman" w:cs="Times New Roman"/>
          <w:sz w:val="24"/>
          <w:szCs w:val="24"/>
        </w:rPr>
      </w:r>
      <w:r w:rsidR="00FB30CE">
        <w:rPr>
          <w:rFonts w:ascii="Times New Roman" w:hAnsi="Times New Roman" w:cs="Times New Roman"/>
          <w:sz w:val="24"/>
          <w:szCs w:val="24"/>
        </w:rPr>
      </w:r>
      <w:r w:rsidR="00853F2A">
        <w:rPr>
          <w:rFonts w:ascii="Times New Roman" w:hAnsi="Times New Roman" w:cs="Times New Roman"/>
          <w:sz w:val="24"/>
          <w:szCs w:val="24"/>
        </w:rPr>
      </w:r>
    </w:p>
    <w:p w:rsidR="00FB30CE" w:rsidRDefault="00FB30CE">
      <w:pPr>
        <w:rPr>
          <w:rFonts w:ascii="Times New Roman" w:hAnsi="Times New Roman" w:cs="Times New Roman"/>
          <w:sz w:val="24"/>
          <w:szCs w:val="24"/>
        </w:rPr>
      </w:pPr>
    </w:p>
    <w:p w:rsidR="00853F2A" w:rsidRDefault="00853F2A">
      <w:pPr>
        <w:rPr>
          <w:rFonts w:ascii="Times New Roman" w:hAnsi="Times New Roman" w:cs="Times New Roman"/>
          <w:sz w:val="24"/>
          <w:szCs w:val="24"/>
        </w:rPr>
      </w:pPr>
      <w:r w:rsidRPr="003D7D70">
        <w:rPr>
          <w:rFonts w:ascii="Times New Roman" w:hAnsi="Times New Roman" w:cs="Times New Roman"/>
          <w:b/>
          <w:sz w:val="24"/>
          <w:szCs w:val="24"/>
        </w:rPr>
        <w:t>1</w:t>
      </w:r>
      <w:r w:rsidR="00FB30CE" w:rsidRPr="003D7D70">
        <w:rPr>
          <w:rFonts w:ascii="Times New Roman" w:hAnsi="Times New Roman" w:cs="Times New Roman"/>
          <w:b/>
          <w:sz w:val="24"/>
          <w:szCs w:val="24"/>
        </w:rPr>
        <w:t>.</w:t>
      </w:r>
      <w:r w:rsidRPr="003D7D70">
        <w:rPr>
          <w:rFonts w:ascii="Times New Roman" w:hAnsi="Times New Roman" w:cs="Times New Roman"/>
          <w:b/>
          <w:sz w:val="24"/>
          <w:szCs w:val="24"/>
        </w:rPr>
        <w:t xml:space="preserve"> NEED FOR THE STUDY</w:t>
      </w:r>
      <w:r w:rsidRPr="00853F2A">
        <w:rPr>
          <w:rFonts w:ascii="Times New Roman" w:hAnsi="Times New Roman" w:cs="Times New Roman"/>
          <w:sz w:val="24"/>
          <w:szCs w:val="24"/>
        </w:rPr>
        <w:t xml:space="preserve"> </w:t>
      </w:r>
      <w:r w:rsidR="00FB30CE">
        <w:rPr>
          <w:rFonts w:ascii="Times New Roman" w:hAnsi="Times New Roman" w:cs="Times New Roman"/>
          <w:sz w:val="24"/>
          <w:szCs w:val="24"/>
        </w:rPr>
        <w:t>(</w:t>
      </w:r>
      <w:r w:rsidRPr="00853F2A">
        <w:rPr>
          <w:rFonts w:ascii="Times New Roman" w:hAnsi="Times New Roman" w:cs="Times New Roman"/>
          <w:sz w:val="24"/>
          <w:szCs w:val="24"/>
        </w:rPr>
        <w:t>Why</w:t>
      </w:r>
      <w:r w:rsidR="00FB30CE">
        <w:rPr>
          <w:rFonts w:ascii="Times New Roman" w:hAnsi="Times New Roman" w:cs="Times New Roman"/>
          <w:sz w:val="24"/>
          <w:szCs w:val="24"/>
        </w:rPr>
        <w:t xml:space="preserve"> this study has been undertaken)</w:t>
      </w:r>
    </w:p>
    <w:p w:rsidR="00FB30CE" w:rsidRDefault="00FB30CE">
      <w:pPr>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Banks in the United Kingdom and the European Union are investing substantially in Artificial Intelligence (AI) across their Governance, Risk and Compliance (GRC) functions, applying it to regulatory monitoring, customer and transaction screening, risk scoring, control testing and compliance reporting. The business case is usually framed around cost efficiency and faster regulatory response. In practice, however, the returns depend less on the capability of the technology than on the readiness of the workforce that must operate alongside it.</w:t>
      </w:r>
    </w:p>
    <w:p>
      <w:pPr>
        <w:jc w:val="both"/>
        <w:rPr>
          <w:rFonts w:ascii="Times New Roman" w:hAnsi="Times New Roman" w:cs="Times New Roman"/>
          <w:sz w:val="24"/>
          <w:szCs w:val="24"/>
        </w:rPr>
      </w:pPr>
      <w:r>
        <w:rPr>
          <w:rFonts w:ascii="Times New Roman" w:hAnsi="Times New Roman" w:cs="Times New Roman"/>
          <w:sz w:val="24"/>
          <w:szCs w:val="24"/>
        </w:rPr>
        <w:t>Evidence gathered since the first review confirms the scale and urgency of the issue. The joint Bank of England and FCA survey of AI in UK financial services found that 75% of firms are already using AI, with a further 10% planning to do so within three years; that one third of AI use cases are third-party implementations, up from 17% in the previous survey; and that risk and compliance is among the business areas with the highest share of third-party implementations, at 64% (Bank of England &amp; FCA, 2024). The same survey found that 46% of firms have only a "partial understanding" of the AI technologies they use, and that insufficient talent and access to skills is a large or medium constraint for more than half of firms. In other words, adoption is moving faster than the workforce capability needed to govern it.</w:t>
      </w:r>
    </w:p>
    <w:p>
      <w:pPr>
        <w:jc w:val="both"/>
        <w:rPr>
          <w:rFonts w:ascii="Times New Roman" w:hAnsi="Times New Roman" w:cs="Times New Roman"/>
          <w:sz w:val="24"/>
          <w:szCs w:val="24"/>
        </w:rPr>
      </w:pPr>
      <w:r>
        <w:rPr>
          <w:rFonts w:ascii="Times New Roman" w:hAnsi="Times New Roman" w:cs="Times New Roman"/>
          <w:sz w:val="24"/>
          <w:szCs w:val="24"/>
        </w:rPr>
        <w:t>This creates a management problem rather than a technical one. When AI absorbs routine monitoring and reporting work, management must decide which GRC roles are redesigned, reduced or newly created; which skills must be built internally or bought in the market; how teams should be structured and staffed; and how employees can be brought to trust and use AI-enabled controls rather than work around them. The labour market is already signalling this shift: publicly advertised AI risk and compliance roles grew by 187% year-on-year while general technology hiring contracted, with financial services and banking among the leading hiring sectors (Global Skill Development Council, 2026).</w:t>
      </w:r>
    </w:p>
    <w:p>
      <w:pPr>
        <w:jc w:val="both"/>
        <w:rPr>
          <w:rFonts w:ascii="Times New Roman" w:hAnsi="Times New Roman" w:cs="Times New Roman"/>
          <w:sz w:val="24"/>
          <w:szCs w:val="24"/>
        </w:rPr>
      </w:pPr>
      <w:r>
        <w:rPr>
          <w:rFonts w:ascii="Times New Roman" w:hAnsi="Times New Roman" w:cs="Times New Roman"/>
          <w:sz w:val="24"/>
          <w:szCs w:val="24"/>
        </w:rPr>
        <w:t>The regulatory environment raises the stakes further. The EU Digital Operational Resilience Act (DORA) and the EU Artificial Intelligence Act impose requirements for operational resilience, staff competence, AI literacy and meaningful human oversight. In the United Kingdom, PRA Supervisory Statement SS1/23 sets expectations for model risk management, including the skills of those who develop and validate models, and the Senior Managers and Certification Regime (SM&amp;CR) holds named individuals personally accountable for decisions that are increasingly AI-assisted. Staff competence and effective human oversight have therefore become regulatory conditions, not merely HR objectives.</w:t>
      </w:r>
    </w:p>
    <w:p>
      <w:pPr>
        <w:jc w:val="both"/>
        <w:rPr>
          <w:rFonts w:ascii="Times New Roman" w:hAnsi="Times New Roman" w:cs="Times New Roman"/>
          <w:sz w:val="24"/>
          <w:szCs w:val="24"/>
        </w:rPr>
      </w:pPr>
      <w:r>
        <w:rPr>
          <w:rFonts w:ascii="Times New Roman" w:hAnsi="Times New Roman" w:cs="Times New Roman"/>
          <w:sz w:val="24"/>
          <w:szCs w:val="24"/>
        </w:rPr>
        <w:t>Existing research does not address this intersection. The RegTech literature explains how technology is reshaping compliance but treats the workforce only implicitly; the work and employment literature explains how automation recomposes jobs, but across industries rather than within regulated banking functions; and the technology acceptance and trust literature explains individual adoption largely through experimental rather than high-stakes settings. This study is therefore undertaken to examine AI-driven transformation in UK and EU banking GRC through a workforce management lens, and to develop an actionable framework that banking management can use to plan role redesign, reskilling and employee adaptation while sustaining both compliance effectiveness and employee engagement.</w:t>
      </w:r>
    </w:p>
    <w:p w:rsidR="00FB30CE" w:rsidRPr="00154ED6" w:rsidRDefault="00853F2A" w:rsidP="00154ED6">
      <w:pPr>
        <w:jc w:val="both"/>
        <w:rPr>
          <w:rFonts w:ascii="Times New Roman" w:hAnsi="Times New Roman" w:cs="Times New Roman"/>
          <w:sz w:val="24"/>
          <w:szCs w:val="24"/>
        </w:rPr>
      </w:pPr>
      <w:r w:rsidRPr="00154ED6">
        <w:rPr>
          <w:rFonts w:ascii="Times New Roman" w:hAnsi="Times New Roman" w:cs="Times New Roman"/>
          <w:b/>
          <w:sz w:val="24"/>
          <w:szCs w:val="24"/>
        </w:rPr>
        <w:t xml:space="preserve">2 </w:t>
      </w:r>
      <w:r w:rsidR="00613F12">
        <w:rPr>
          <w:rFonts w:ascii="Times New Roman" w:hAnsi="Times New Roman" w:cs="Times New Roman"/>
          <w:b/>
          <w:sz w:val="24"/>
          <w:szCs w:val="24"/>
        </w:rPr>
        <w:t xml:space="preserve">(a) </w:t>
      </w:r>
      <w:r w:rsidR="00154ED6" w:rsidRPr="00154ED6">
        <w:rPr>
          <w:rFonts w:ascii="Times New Roman" w:hAnsi="Times New Roman" w:cs="Times New Roman"/>
          <w:b/>
          <w:sz w:val="24"/>
          <w:szCs w:val="24"/>
        </w:rPr>
        <w:t>PRIMARY OBJECTIVE</w:t>
      </w:r>
      <w:r w:rsidR="00154ED6" w:rsidRPr="00154ED6">
        <w:rPr>
          <w:rFonts w:ascii="Times New Roman" w:hAnsi="Times New Roman" w:cs="Times New Roman"/>
          <w:sz w:val="24"/>
          <w:szCs w:val="24"/>
        </w:rPr>
        <w:t xml:space="preserve"> (Any changes in the objectives after the first review can be documented and highlighted) </w:t>
      </w:r>
      <w:r w:rsidR="00154ED6">
        <w:rPr>
          <w:rFonts w:ascii="Times New Roman" w:hAnsi="Times New Roman" w:cs="Times New Roman"/>
          <w:sz w:val="24"/>
          <w:szCs w:val="24"/>
        </w:rPr>
        <w:t>the</w:t>
      </w:r>
      <w:r w:rsidR="00154ED6" w:rsidRPr="00154ED6">
        <w:rPr>
          <w:rFonts w:ascii="Times New Roman" w:hAnsi="Times New Roman" w:cs="Times New Roman"/>
          <w:sz w:val="24"/>
          <w:szCs w:val="24"/>
        </w:rPr>
        <w:t xml:space="preserve"> primary objective defines the aim of the study in detail.</w:t>
      </w:r>
    </w:p>
    <w:p w:rsidR="00D30870" w:rsidRDefault="00D30870" w:rsidP="00D30870">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To examine how AI-driven transformation in the Governance, Risk and Compliance functions of UK and EU banks is reshaping workforce management decisions - role structure, skill requirements, staffing and employee adaptation - and to develop a practical framework enabling banking management to plan GRC workforce transformation while sustaining compliance effectiveness and employee engagement.</w:t>
      </w:r>
    </w:p>
    <w:p>
      <w:pPr>
        <w:jc w:val="both"/>
        <w:rPr>
          <w:rFonts w:ascii="Times New Roman" w:hAnsi="Times New Roman" w:cs="Times New Roman"/>
          <w:sz w:val="24"/>
          <w:szCs w:val="24"/>
        </w:rPr>
      </w:pPr>
      <w:r>
        <w:rPr>
          <w:rFonts w:ascii="Times New Roman" w:hAnsi="Times New Roman" w:cs="Times New Roman"/>
          <w:b/>
          <w:sz w:val="24"/>
          <w:szCs w:val="24"/>
        </w:rPr>
        <w:t>Changes since the first review:</w:t>
      </w:r>
      <w:r>
        <w:rPr>
          <w:rFonts w:ascii="Times New Roman" w:hAnsi="Times New Roman" w:cs="Times New Roman"/>
          <w:sz w:val="24"/>
          <w:szCs w:val="24"/>
        </w:rPr>
        <w:t xml:space="preserve"> The primary objective is unchanged.</w:t>
      </w:r>
    </w:p>
    <w:p w:rsidR="00FB30CE" w:rsidRPr="00D30870" w:rsidRDefault="00613F12">
      <w:pPr>
        <w:rPr>
          <w:rFonts w:ascii="Times New Roman" w:hAnsi="Times New Roman" w:cs="Times New Roman"/>
          <w:sz w:val="24"/>
          <w:szCs w:val="24"/>
        </w:rPr>
      </w:pPr>
      <w:proofErr w:type="gramStart"/>
      <w:r>
        <w:rPr>
          <w:rFonts w:ascii="Times New Roman" w:hAnsi="Times New Roman" w:cs="Times New Roman"/>
          <w:b/>
          <w:sz w:val="24"/>
          <w:szCs w:val="24"/>
        </w:rPr>
        <w:t>2 (b)</w:t>
      </w:r>
      <w:r w:rsidR="00D30870">
        <w:rPr>
          <w:rFonts w:ascii="Times New Roman" w:hAnsi="Times New Roman" w:cs="Times New Roman"/>
          <w:b/>
          <w:sz w:val="24"/>
          <w:szCs w:val="24"/>
        </w:rPr>
        <w:t xml:space="preserve"> </w:t>
      </w:r>
      <w:r w:rsidR="00853F2A" w:rsidRPr="003D7D70">
        <w:rPr>
          <w:rFonts w:ascii="Times New Roman" w:hAnsi="Times New Roman" w:cs="Times New Roman"/>
          <w:b/>
          <w:sz w:val="24"/>
          <w:szCs w:val="24"/>
        </w:rPr>
        <w:t xml:space="preserve">SECONDARY </w:t>
      </w:r>
      <w:r w:rsidRPr="003D7D70">
        <w:rPr>
          <w:rFonts w:ascii="Times New Roman" w:hAnsi="Times New Roman" w:cs="Times New Roman"/>
          <w:b/>
          <w:sz w:val="24"/>
          <w:szCs w:val="24"/>
        </w:rPr>
        <w:t>OBJECTIVES</w:t>
      </w:r>
      <w:r>
        <w:rPr>
          <w:rFonts w:ascii="Times New Roman" w:hAnsi="Times New Roman" w:cs="Times New Roman"/>
          <w:sz w:val="24"/>
          <w:szCs w:val="24"/>
        </w:rPr>
        <w:t xml:space="preserve"> (</w:t>
      </w:r>
      <w:r w:rsidR="00D30870" w:rsidRPr="00D30870">
        <w:rPr>
          <w:rFonts w:ascii="Times New Roman" w:hAnsi="Times New Roman" w:cs="Times New Roman"/>
          <w:sz w:val="24"/>
          <w:szCs w:val="24"/>
        </w:rPr>
        <w:t>A breakdown of the primary objectives.</w:t>
      </w:r>
      <w:proofErr w:type="gramEnd"/>
      <w:r w:rsidR="00D30870" w:rsidRPr="00D30870">
        <w:rPr>
          <w:rFonts w:ascii="Times New Roman" w:hAnsi="Times New Roman" w:cs="Times New Roman"/>
          <w:sz w:val="24"/>
          <w:szCs w:val="24"/>
        </w:rPr>
        <w:t xml:space="preserve"> The achieving of the secondary objectives would result in the achieving of the primary).</w:t>
      </w:r>
    </w:p>
    <w:p>
      <w:pPr>
        <w:numPr>
          <w:ilvl w:val="0"/>
          <w:numId w:val="2"/>
        </w:numPr>
        <w:jc w:val="left"/>
        <w:rPr>
          <w:rFonts w:ascii="Times New Roman" w:hAnsi="Times New Roman" w:cs="Times New Roman"/>
          <w:sz w:val="24"/>
          <w:szCs w:val="24"/>
        </w:rPr>
      </w:pPr>
      <w:r>
        <w:rPr>
          <w:rFonts w:ascii="Times New Roman" w:hAnsi="Times New Roman" w:cs="Times New Roman"/>
          <w:sz w:val="24"/>
          <w:szCs w:val="24"/>
        </w:rPr>
        <w:t>To map which GRC activities are being automated or augmented by AI in UK and EU banks, and how this is changing the demand for compliance and risk roles.</w:t>
      </w:r>
    </w:p>
    <w:p>
      <w:pPr>
        <w:numPr>
          <w:ilvl w:val="0"/>
          <w:numId w:val="2"/>
        </w:numPr>
        <w:jc w:val="left"/>
        <w:rPr>
          <w:rFonts w:ascii="Times New Roman" w:hAnsi="Times New Roman" w:cs="Times New Roman"/>
          <w:sz w:val="24"/>
          <w:szCs w:val="24"/>
        </w:rPr>
      </w:pPr>
      <w:r>
        <w:rPr>
          <w:rFonts w:ascii="Times New Roman" w:hAnsi="Times New Roman" w:cs="Times New Roman"/>
          <w:sz w:val="24"/>
          <w:szCs w:val="24"/>
        </w:rPr>
        <w:t>To analyse how UK and EU regulatory requirements - DORA, the EU AI Act, SS1/23 and SM&amp;CR - shape role design, human oversight and competence obligations within GRC functions.</w:t>
      </w:r>
    </w:p>
    <w:p>
      <w:pPr>
        <w:numPr>
          <w:ilvl w:val="0"/>
          <w:numId w:val="2"/>
        </w:numPr>
        <w:jc w:val="left"/>
        <w:rPr>
          <w:rFonts w:ascii="Times New Roman" w:hAnsi="Times New Roman" w:cs="Times New Roman"/>
          <w:sz w:val="24"/>
          <w:szCs w:val="24"/>
        </w:rPr>
      </w:pPr>
      <w:r>
        <w:rPr>
          <w:rFonts w:ascii="Times New Roman" w:hAnsi="Times New Roman" w:cs="Times New Roman"/>
          <w:sz w:val="24"/>
          <w:szCs w:val="24"/>
        </w:rPr>
        <w:t>To identify emerging skill gaps and reskilling strategies in GRC functions, and to assess how they are being addressed by management.</w:t>
      </w:r>
    </w:p>
    <w:p>
      <w:pPr>
        <w:numPr>
          <w:ilvl w:val="0"/>
          <w:numId w:val="2"/>
        </w:numPr>
        <w:jc w:val="left"/>
        <w:rPr>
          <w:rFonts w:ascii="Times New Roman" w:hAnsi="Times New Roman" w:cs="Times New Roman"/>
          <w:sz w:val="24"/>
          <w:szCs w:val="24"/>
        </w:rPr>
      </w:pPr>
      <w:r>
        <w:rPr>
          <w:rFonts w:ascii="Times New Roman" w:hAnsi="Times New Roman" w:cs="Times New Roman"/>
          <w:sz w:val="24"/>
          <w:szCs w:val="24"/>
        </w:rPr>
        <w:t>To examine employee behavioural responses to AI adoption in GRC - perceived usefulness, trust, perceived replaceability and readiness to adapt - and their implications for adoption and retention.</w:t>
      </w:r>
    </w:p>
    <w:p>
      <w:pPr>
        <w:numPr>
          <w:ilvl w:val="0"/>
          <w:numId w:val="2"/>
        </w:numPr>
        <w:jc w:val="left"/>
        <w:rPr>
          <w:rFonts w:ascii="Times New Roman" w:hAnsi="Times New Roman" w:cs="Times New Roman"/>
          <w:sz w:val="24"/>
          <w:szCs w:val="24"/>
        </w:rPr>
      </w:pPr>
      <w:r>
        <w:rPr>
          <w:rFonts w:ascii="Times New Roman" w:hAnsi="Times New Roman" w:cs="Times New Roman"/>
          <w:sz w:val="24"/>
          <w:szCs w:val="24"/>
        </w:rPr>
        <w:t>To develop an integrated workforce transformation framework and recommendations for GRC and HR leadership in UK and EU banks.</w:t>
      </w:r>
    </w:p>
    <w:p>
      <w:pPr>
        <w:jc w:val="both"/>
        <w:rPr>
          <w:rFonts w:ascii="Times New Roman" w:hAnsi="Times New Roman" w:cs="Times New Roman"/>
          <w:sz w:val="24"/>
          <w:szCs w:val="24"/>
        </w:rPr>
      </w:pPr>
      <w:r>
        <w:rPr>
          <w:rFonts w:ascii="Times New Roman" w:hAnsi="Times New Roman" w:cs="Times New Roman"/>
          <w:b/>
          <w:sz w:val="24"/>
          <w:szCs w:val="24"/>
        </w:rPr>
        <w:t>Changes since the first review:</w:t>
      </w:r>
      <w:r>
        <w:rPr>
          <w:rFonts w:ascii="Times New Roman" w:hAnsi="Times New Roman" w:cs="Times New Roman"/>
          <w:sz w:val="24"/>
          <w:szCs w:val="24"/>
        </w:rPr>
        <w:t xml:space="preserve"> The secondary objectives are unchanged. In the analysis of Objective 2, the scope of the regulatory mapping has been </w:t>
      </w:r>
      <w:r>
        <w:rPr>
          <w:rFonts w:ascii="Times New Roman" w:hAnsi="Times New Roman" w:cs="Times New Roman"/>
          <w:b/>
          <w:sz w:val="24"/>
          <w:szCs w:val="24"/>
        </w:rPr>
        <w:t>extended</w:t>
      </w:r>
      <w:r>
        <w:rPr>
          <w:rFonts w:ascii="Times New Roman" w:hAnsi="Times New Roman" w:cs="Times New Roman"/>
          <w:sz w:val="24"/>
          <w:szCs w:val="24"/>
        </w:rPr>
        <w:t xml:space="preserve"> to cover the amendment of the EU AI Act by the Digital Omnibus on AI (2026), the FCA Consumer Duty, the EU Anti-Money Laundering Regulation and the ECB supervisory priorities for 2026-28, because these were found to bear directly on GRC workforce competence and oversight.</w:t>
      </w:r>
    </w:p>
    <w:p w:rsidR="003D7D70" w:rsidRDefault="003D7D70">
      <w:pPr>
        <w:rPr>
          <w:rFonts w:ascii="Times New Roman" w:hAnsi="Times New Roman" w:cs="Times New Roman"/>
          <w:sz w:val="24"/>
          <w:szCs w:val="24"/>
        </w:rPr>
      </w:pPr>
    </w:p>
    <w:p w:rsidR="00FB30CE" w:rsidRPr="00D30870" w:rsidRDefault="00613F12" w:rsidP="00D30870">
      <w:pPr>
        <w:jc w:val="both"/>
        <w:rPr>
          <w:rFonts w:ascii="Times New Roman" w:hAnsi="Times New Roman" w:cs="Times New Roman"/>
          <w:b/>
          <w:sz w:val="24"/>
          <w:szCs w:val="24"/>
        </w:rPr>
      </w:pPr>
      <w:r>
        <w:rPr>
          <w:rFonts w:ascii="Times New Roman" w:hAnsi="Times New Roman" w:cs="Times New Roman"/>
          <w:b/>
          <w:sz w:val="24"/>
          <w:szCs w:val="24"/>
        </w:rPr>
        <w:t>3</w:t>
      </w:r>
      <w:r w:rsidR="00853F2A" w:rsidRPr="003D7D70">
        <w:rPr>
          <w:rFonts w:ascii="Times New Roman" w:hAnsi="Times New Roman" w:cs="Times New Roman"/>
          <w:b/>
          <w:sz w:val="24"/>
          <w:szCs w:val="24"/>
        </w:rPr>
        <w:t xml:space="preserve"> METHODOLOGIES </w:t>
      </w:r>
      <w:r w:rsidR="00D30870">
        <w:rPr>
          <w:rFonts w:ascii="Times New Roman" w:hAnsi="Times New Roman" w:cs="Times New Roman"/>
          <w:b/>
          <w:sz w:val="24"/>
          <w:szCs w:val="24"/>
        </w:rPr>
        <w:t xml:space="preserve"> </w:t>
      </w:r>
      <w:r w:rsidR="00D30870">
        <w:rPr>
          <w:rFonts w:ascii="Times New Roman" w:hAnsi="Times New Roman" w:cs="Times New Roman"/>
          <w:sz w:val="24"/>
          <w:szCs w:val="24"/>
        </w:rPr>
        <w:t>(</w:t>
      </w:r>
      <w:r w:rsidR="00D30870" w:rsidRPr="00D30870">
        <w:rPr>
          <w:rFonts w:ascii="Times New Roman" w:hAnsi="Times New Roman" w:cs="Times New Roman"/>
          <w:sz w:val="24"/>
          <w:szCs w:val="24"/>
        </w:rPr>
        <w:t>The methodology must be elaborate at this stage, on the data requirement, research instrument used for data collection, the method of preparing the research instrument, the sampling framework, the sample size, the hypotheses tested and the tools used for analysis.</w:t>
      </w:r>
    </w:p>
    <w:p>
      <w:pPr>
        <w:jc w:val="left"/>
        <w:rPr>
          <w:rFonts w:ascii="Times New Roman" w:hAnsi="Times New Roman" w:cs="Times New Roman"/>
          <w:sz w:val="24"/>
          <w:szCs w:val="24"/>
        </w:rPr>
      </w:pPr>
      <w:r>
        <w:rPr>
          <w:rFonts w:ascii="Times New Roman" w:hAnsi="Times New Roman" w:cs="Times New Roman"/>
          <w:b/>
          <w:sz w:val="24"/>
          <w:szCs w:val="24"/>
        </w:rPr>
        <w:t>3.1 Research Design</w:t>
      </w:r>
    </w:p>
    <w:p>
      <w:pPr>
        <w:jc w:val="both"/>
        <w:rPr>
          <w:rFonts w:ascii="Times New Roman" w:hAnsi="Times New Roman" w:cs="Times New Roman"/>
          <w:sz w:val="24"/>
          <w:szCs w:val="24"/>
        </w:rPr>
      </w:pPr>
      <w:r>
        <w:rPr>
          <w:rFonts w:ascii="Times New Roman" w:hAnsi="Times New Roman" w:cs="Times New Roman"/>
          <w:sz w:val="24"/>
          <w:szCs w:val="24"/>
        </w:rPr>
        <w:t xml:space="preserve">The study adopts a </w:t>
      </w:r>
      <w:r>
        <w:rPr>
          <w:rFonts w:ascii="Times New Roman" w:hAnsi="Times New Roman" w:cs="Times New Roman"/>
          <w:b/>
          <w:sz w:val="24"/>
          <w:szCs w:val="24"/>
        </w:rPr>
        <w:t>mixed-methods design, qualitatively dominant</w:t>
      </w:r>
      <w:r>
        <w:rPr>
          <w:rFonts w:ascii="Times New Roman" w:hAnsi="Times New Roman" w:cs="Times New Roman"/>
          <w:sz w:val="24"/>
          <w:szCs w:val="24"/>
        </w:rPr>
        <w:t>, combining analysis of publicly available secondary data with primary data from written semi-structured practitioner interviews and a structured follow-up questionnaire. The design reflects the exploratory nature of the research problem and the fact that banks do not publicly disclose workforce practices at the level of detail required. Evidence from the three streams (secondary data, interviews, questionnaire) is triangulated before conclusions are drawn.</w:t>
      </w:r>
    </w:p>
    <w:p>
      <w:pPr>
        <w:jc w:val="left"/>
        <w:rPr>
          <w:rFonts w:ascii="Times New Roman" w:hAnsi="Times New Roman" w:cs="Times New Roman"/>
          <w:sz w:val="24"/>
          <w:szCs w:val="24"/>
        </w:rPr>
      </w:pPr>
      <w:r>
        <w:rPr>
          <w:rFonts w:ascii="Times New Roman" w:hAnsi="Times New Roman" w:cs="Times New Roman"/>
          <w:b/>
          <w:sz w:val="24"/>
          <w:szCs w:val="24"/>
        </w:rPr>
        <w:t>3.2 Data Requirement</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Data category</w:t>
            </w:r>
          </w:p>
        </w:tc>
        <w:tc>
          <w:tcPr>
            <w:tcW w:type="dxa" w:w="3120"/>
            <w:vAlign w:val="top"/>
            <w:shd w:fill="D9D9D9" w:val="clear"/>
          </w:tcPr>
          <w:p>
            <w:pPr>
              <w:spacing w:after="0"/>
              <w:jc w:val="left"/>
            </w:pPr>
            <w:r>
              <w:rPr>
                <w:rFonts w:ascii="Times New Roman" w:hAnsi="Times New Roman" w:cs="Times New Roman"/>
                <w:b/>
                <w:sz w:val="20"/>
                <w:szCs w:val="24"/>
              </w:rPr>
              <w:t>Source</w:t>
            </w:r>
          </w:p>
        </w:tc>
        <w:tc>
          <w:tcPr>
            <w:tcW w:type="dxa" w:w="3120"/>
            <w:vAlign w:val="top"/>
            <w:shd w:fill="D9D9D9" w:val="clear"/>
          </w:tcPr>
          <w:p>
            <w:pPr>
              <w:spacing w:after="0"/>
              <w:jc w:val="left"/>
            </w:pPr>
            <w:r>
              <w:rPr>
                <w:rFonts w:ascii="Times New Roman" w:hAnsi="Times New Roman" w:cs="Times New Roman"/>
                <w:b/>
                <w:sz w:val="20"/>
                <w:szCs w:val="24"/>
              </w:rPr>
              <w:t>Objective served</w:t>
            </w:r>
          </w:p>
        </w:tc>
      </w:tr>
      <w:tr>
        <w:tc>
          <w:tcPr>
            <w:tcW w:type="dxa" w:w="3120"/>
            <w:vAlign w:val="top"/>
          </w:tcPr>
          <w:p>
            <w:pPr>
              <w:spacing w:after="0"/>
              <w:jc w:val="left"/>
            </w:pPr>
            <w:r>
              <w:rPr>
                <w:rFonts w:ascii="Times New Roman" w:hAnsi="Times New Roman" w:cs="Times New Roman"/>
                <w:sz w:val="20"/>
                <w:szCs w:val="24"/>
              </w:rPr>
              <w:t>1. Evidence of AI adoption in GRC: activities automated or augmented</w:t>
            </w:r>
          </w:p>
        </w:tc>
        <w:tc>
          <w:tcPr>
            <w:tcW w:type="dxa" w:w="3120"/>
            <w:vAlign w:val="top"/>
          </w:tcPr>
          <w:p>
            <w:pPr>
              <w:spacing w:after="0"/>
              <w:jc w:val="left"/>
            </w:pPr>
            <w:r>
              <w:rPr>
                <w:rFonts w:ascii="Times New Roman" w:hAnsi="Times New Roman" w:cs="Times New Roman"/>
                <w:sz w:val="20"/>
                <w:szCs w:val="24"/>
              </w:rPr>
              <w:t>Secondary (supervisory surveys, industry reports) + interviews</w:t>
            </w:r>
          </w:p>
        </w:tc>
        <w:tc>
          <w:tcPr>
            <w:tcW w:type="dxa" w:w="3120"/>
            <w:vAlign w:val="top"/>
          </w:tcPr>
          <w:p>
            <w:pPr>
              <w:spacing w:after="0"/>
              <w:jc w:val="left"/>
            </w:pPr>
            <w:r>
              <w:rPr>
                <w:rFonts w:ascii="Times New Roman" w:hAnsi="Times New Roman" w:cs="Times New Roman"/>
                <w:sz w:val="20"/>
                <w:szCs w:val="24"/>
              </w:rPr>
              <w:t>(i)</w:t>
            </w:r>
          </w:p>
        </w:tc>
      </w:tr>
      <w:tr>
        <w:tc>
          <w:tcPr>
            <w:tcW w:type="dxa" w:w="3120"/>
            <w:vAlign w:val="top"/>
          </w:tcPr>
          <w:p>
            <w:pPr>
              <w:spacing w:after="0"/>
              <w:jc w:val="left"/>
            </w:pPr>
            <w:r>
              <w:rPr>
                <w:rFonts w:ascii="Times New Roman" w:hAnsi="Times New Roman" w:cs="Times New Roman"/>
                <w:sz w:val="20"/>
                <w:szCs w:val="24"/>
              </w:rPr>
              <w:t>2. Evidence of role and skill change: job content, new roles, skill demand</w:t>
            </w:r>
          </w:p>
        </w:tc>
        <w:tc>
          <w:tcPr>
            <w:tcW w:type="dxa" w:w="3120"/>
            <w:vAlign w:val="top"/>
          </w:tcPr>
          <w:p>
            <w:pPr>
              <w:spacing w:after="0"/>
              <w:jc w:val="left"/>
            </w:pPr>
            <w:r>
              <w:rPr>
                <w:rFonts w:ascii="Times New Roman" w:hAnsi="Times New Roman" w:cs="Times New Roman"/>
                <w:sz w:val="20"/>
                <w:szCs w:val="24"/>
              </w:rPr>
              <w:t>Secondary (public job postings, labour-market and professional-body reports) + interviews</w:t>
            </w:r>
          </w:p>
        </w:tc>
        <w:tc>
          <w:tcPr>
            <w:tcW w:type="dxa" w:w="3120"/>
            <w:vAlign w:val="top"/>
          </w:tcPr>
          <w:p>
            <w:pPr>
              <w:spacing w:after="0"/>
              <w:jc w:val="left"/>
            </w:pPr>
            <w:r>
              <w:rPr>
                <w:rFonts w:ascii="Times New Roman" w:hAnsi="Times New Roman" w:cs="Times New Roman"/>
                <w:sz w:val="20"/>
                <w:szCs w:val="24"/>
              </w:rPr>
              <w:t>(i), (iii)</w:t>
            </w:r>
          </w:p>
        </w:tc>
      </w:tr>
      <w:tr>
        <w:tc>
          <w:tcPr>
            <w:tcW w:type="dxa" w:w="3120"/>
            <w:vAlign w:val="top"/>
          </w:tcPr>
          <w:p>
            <w:pPr>
              <w:spacing w:after="0"/>
              <w:jc w:val="left"/>
            </w:pPr>
            <w:r>
              <w:rPr>
                <w:rFonts w:ascii="Times New Roman" w:hAnsi="Times New Roman" w:cs="Times New Roman"/>
                <w:sz w:val="20"/>
                <w:szCs w:val="24"/>
              </w:rPr>
              <w:t>3. Regulatory requirements on workforce competence and human oversight</w:t>
            </w:r>
          </w:p>
        </w:tc>
        <w:tc>
          <w:tcPr>
            <w:tcW w:type="dxa" w:w="3120"/>
            <w:vAlign w:val="top"/>
          </w:tcPr>
          <w:p>
            <w:pPr>
              <w:spacing w:after="0"/>
              <w:jc w:val="left"/>
            </w:pPr>
            <w:r>
              <w:rPr>
                <w:rFonts w:ascii="Times New Roman" w:hAnsi="Times New Roman" w:cs="Times New Roman"/>
                <w:sz w:val="20"/>
                <w:szCs w:val="24"/>
              </w:rPr>
              <w:t>Secondary (UK and EU regulatory and supervisory texts)</w:t>
            </w:r>
          </w:p>
        </w:tc>
        <w:tc>
          <w:tcPr>
            <w:tcW w:type="dxa" w:w="3120"/>
            <w:vAlign w:val="top"/>
          </w:tcPr>
          <w:p>
            <w:pPr>
              <w:spacing w:after="0"/>
              <w:jc w:val="left"/>
            </w:pPr>
            <w:r>
              <w:rPr>
                <w:rFonts w:ascii="Times New Roman" w:hAnsi="Times New Roman" w:cs="Times New Roman"/>
                <w:sz w:val="20"/>
                <w:szCs w:val="24"/>
              </w:rPr>
              <w:t>(ii)</w:t>
            </w:r>
          </w:p>
        </w:tc>
      </w:tr>
      <w:tr>
        <w:tc>
          <w:tcPr>
            <w:tcW w:type="dxa" w:w="3120"/>
            <w:vAlign w:val="top"/>
          </w:tcPr>
          <w:p>
            <w:pPr>
              <w:spacing w:after="0"/>
              <w:jc w:val="left"/>
            </w:pPr>
            <w:r>
              <w:rPr>
                <w:rFonts w:ascii="Times New Roman" w:hAnsi="Times New Roman" w:cs="Times New Roman"/>
                <w:sz w:val="20"/>
                <w:szCs w:val="24"/>
              </w:rPr>
              <w:t>4. Employee and managerial perceptions: usefulness, ease of use, trust, replaceability, skills, oversight, organisational response</w:t>
            </w:r>
          </w:p>
        </w:tc>
        <w:tc>
          <w:tcPr>
            <w:tcW w:type="dxa" w:w="3120"/>
            <w:vAlign w:val="top"/>
          </w:tcPr>
          <w:p>
            <w:pPr>
              <w:spacing w:after="0"/>
              <w:jc w:val="left"/>
            </w:pPr>
            <w:r>
              <w:rPr>
                <w:rFonts w:ascii="Times New Roman" w:hAnsi="Times New Roman" w:cs="Times New Roman"/>
                <w:sz w:val="20"/>
                <w:szCs w:val="24"/>
              </w:rPr>
              <w:t>Primary (interviews + questionnaire)</w:t>
            </w:r>
          </w:p>
        </w:tc>
        <w:tc>
          <w:tcPr>
            <w:tcW w:type="dxa" w:w="3120"/>
            <w:vAlign w:val="top"/>
          </w:tcPr>
          <w:p>
            <w:pPr>
              <w:spacing w:after="0"/>
              <w:jc w:val="left"/>
            </w:pPr>
            <w:r>
              <w:rPr>
                <w:rFonts w:ascii="Times New Roman" w:hAnsi="Times New Roman" w:cs="Times New Roman"/>
                <w:sz w:val="20"/>
                <w:szCs w:val="24"/>
              </w:rPr>
              <w:t>(iii), (iv)</w:t>
            </w:r>
          </w:p>
        </w:tc>
      </w:tr>
    </w:tbl>
    <w:p>
      <w:pPr>
        <w:jc w:val="left"/>
        <w:rPr>
          <w:rFonts w:ascii="Times New Roman" w:hAnsi="Times New Roman" w:cs="Times New Roman"/>
          <w:sz w:val="24"/>
          <w:szCs w:val="24"/>
        </w:rPr>
      </w:pPr>
      <w:r>
        <w:rPr>
          <w:rFonts w:ascii="Times New Roman" w:hAnsi="Times New Roman" w:cs="Times New Roman"/>
          <w:b/>
          <w:sz w:val="24"/>
          <w:szCs w:val="24"/>
        </w:rPr>
        <w:t>3.3 Research Instruments</w:t>
      </w:r>
    </w:p>
    <w:p>
      <w:pPr>
        <w:jc w:val="both"/>
        <w:rPr>
          <w:rFonts w:ascii="Times New Roman" w:hAnsi="Times New Roman" w:cs="Times New Roman"/>
          <w:sz w:val="24"/>
          <w:szCs w:val="24"/>
        </w:rPr>
      </w:pPr>
      <w:r>
        <w:rPr>
          <w:rFonts w:ascii="Times New Roman" w:hAnsi="Times New Roman" w:cs="Times New Roman"/>
          <w:b/>
          <w:sz w:val="24"/>
          <w:szCs w:val="24"/>
        </w:rPr>
        <w:t>(a) Semi-structured interview guide.</w:t>
      </w:r>
      <w:r>
        <w:rPr>
          <w:rFonts w:ascii="Times New Roman" w:hAnsi="Times New Roman" w:cs="Times New Roman"/>
          <w:sz w:val="24"/>
          <w:szCs w:val="24"/>
        </w:rPr>
        <w:t xml:space="preserve"> Eleven open-ended questions in four blocks: (1) current use of AI and automation in GRC; (2) changes in tasks, role content and team shape, including regulatory oversight; (3) skills, capability to challenge AI output, and reskilling approaches; (4) employee responses and management of the transition, with a closing open question. Given respondents' seniority and availability, the guide was administered as a </w:t>
      </w:r>
      <w:r>
        <w:rPr>
          <w:rFonts w:ascii="Times New Roman" w:hAnsi="Times New Roman" w:cs="Times New Roman"/>
          <w:b/>
          <w:sz w:val="24"/>
          <w:szCs w:val="24"/>
        </w:rPr>
        <w:t>written interview</w:t>
      </w:r>
      <w:r>
        <w:rPr>
          <w:rFonts w:ascii="Times New Roman" w:hAnsi="Times New Roman" w:cs="Times New Roman"/>
          <w:sz w:val="24"/>
          <w:szCs w:val="24"/>
        </w:rPr>
        <w:t xml:space="preserve"> through an online form, allowing respondents to give considered, detailed answers.</w:t>
      </w:r>
    </w:p>
    <w:p>
      <w:pPr>
        <w:jc w:val="both"/>
        <w:rPr>
          <w:rFonts w:ascii="Times New Roman" w:hAnsi="Times New Roman" w:cs="Times New Roman"/>
          <w:sz w:val="24"/>
          <w:szCs w:val="24"/>
        </w:rPr>
      </w:pPr>
      <w:r>
        <w:rPr>
          <w:rFonts w:ascii="Times New Roman" w:hAnsi="Times New Roman" w:cs="Times New Roman"/>
          <w:b/>
          <w:sz w:val="24"/>
          <w:szCs w:val="24"/>
        </w:rPr>
        <w:t>(b) Structured questionnaire.</w:t>
      </w:r>
      <w:r>
        <w:rPr>
          <w:rFonts w:ascii="Times New Roman" w:hAnsi="Times New Roman" w:cs="Times New Roman"/>
          <w:sz w:val="24"/>
          <w:szCs w:val="24"/>
        </w:rPr>
        <w:t xml:space="preserve"> A profile section (function, level, experience, jurisdiction, type of organisation, extent of AI use) followed by </w:t>
      </w:r>
      <w:r>
        <w:rPr>
          <w:rFonts w:ascii="Times New Roman" w:hAnsi="Times New Roman" w:cs="Times New Roman"/>
          <w:b/>
          <w:sz w:val="24"/>
          <w:szCs w:val="24"/>
        </w:rPr>
        <w:t>25 Likert items</w:t>
      </w:r>
      <w:r>
        <w:rPr>
          <w:rFonts w:ascii="Times New Roman" w:hAnsi="Times New Roman" w:cs="Times New Roman"/>
          <w:sz w:val="24"/>
          <w:szCs w:val="24"/>
        </w:rPr>
        <w:t xml:space="preserve"> on a five-point scale (1 = Strongly disagree to 5 = Strongly agree) and two open questions. Items are grouped into seven constructs:</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Construct</w:t>
            </w:r>
          </w:p>
        </w:tc>
        <w:tc>
          <w:tcPr>
            <w:tcW w:type="dxa" w:w="3120"/>
            <w:vAlign w:val="top"/>
            <w:shd w:fill="D9D9D9" w:val="clear"/>
          </w:tcPr>
          <w:p>
            <w:pPr>
              <w:spacing w:after="0"/>
              <w:jc w:val="left"/>
            </w:pPr>
            <w:r>
              <w:rPr>
                <w:rFonts w:ascii="Times New Roman" w:hAnsi="Times New Roman" w:cs="Times New Roman"/>
                <w:b/>
                <w:sz w:val="20"/>
                <w:szCs w:val="24"/>
              </w:rPr>
              <w:t>Items</w:t>
            </w:r>
          </w:p>
        </w:tc>
        <w:tc>
          <w:tcPr>
            <w:tcW w:type="dxa" w:w="3120"/>
            <w:vAlign w:val="top"/>
            <w:shd w:fill="D9D9D9" w:val="clear"/>
          </w:tcPr>
          <w:p>
            <w:pPr>
              <w:spacing w:after="0"/>
              <w:jc w:val="left"/>
            </w:pPr>
            <w:r>
              <w:rPr>
                <w:rFonts w:ascii="Times New Roman" w:hAnsi="Times New Roman" w:cs="Times New Roman"/>
                <w:b/>
                <w:sz w:val="20"/>
                <w:szCs w:val="24"/>
              </w:rPr>
              <w:t>Adapted from</w:t>
            </w:r>
          </w:p>
        </w:tc>
      </w:tr>
      <w:tr>
        <w:tc>
          <w:tcPr>
            <w:tcW w:type="dxa" w:w="3120"/>
            <w:vAlign w:val="top"/>
          </w:tcPr>
          <w:p>
            <w:pPr>
              <w:spacing w:after="0"/>
              <w:jc w:val="left"/>
            </w:pPr>
            <w:r>
              <w:rPr>
                <w:rFonts w:ascii="Times New Roman" w:hAnsi="Times New Roman" w:cs="Times New Roman"/>
                <w:sz w:val="20"/>
                <w:szCs w:val="24"/>
              </w:rPr>
              <w:t>A. Perceived usefulness</w:t>
            </w:r>
          </w:p>
        </w:tc>
        <w:tc>
          <w:tcPr>
            <w:tcW w:type="dxa" w:w="3120"/>
            <w:vAlign w:val="top"/>
          </w:tcPr>
          <w:p>
            <w:pPr>
              <w:spacing w:after="0"/>
              <w:jc w:val="left"/>
            </w:pPr>
            <w:r>
              <w:rPr>
                <w:rFonts w:ascii="Times New Roman" w:hAnsi="Times New Roman" w:cs="Times New Roman"/>
                <w:sz w:val="20"/>
                <w:szCs w:val="24"/>
              </w:rPr>
              <w:t>7-10</w:t>
            </w:r>
          </w:p>
        </w:tc>
        <w:tc>
          <w:tcPr>
            <w:tcW w:type="dxa" w:w="3120"/>
            <w:vAlign w:val="top"/>
          </w:tcPr>
          <w:p>
            <w:pPr>
              <w:spacing w:after="0"/>
              <w:jc w:val="left"/>
            </w:pPr>
            <w:r>
              <w:rPr>
                <w:rFonts w:ascii="Times New Roman" w:hAnsi="Times New Roman" w:cs="Times New Roman"/>
                <w:sz w:val="20"/>
                <w:szCs w:val="24"/>
              </w:rPr>
              <w:t>Davis (1989)</w:t>
            </w:r>
          </w:p>
        </w:tc>
      </w:tr>
      <w:tr>
        <w:tc>
          <w:tcPr>
            <w:tcW w:type="dxa" w:w="3120"/>
            <w:vAlign w:val="top"/>
          </w:tcPr>
          <w:p>
            <w:pPr>
              <w:spacing w:after="0"/>
              <w:jc w:val="left"/>
            </w:pPr>
            <w:r>
              <w:rPr>
                <w:rFonts w:ascii="Times New Roman" w:hAnsi="Times New Roman" w:cs="Times New Roman"/>
                <w:sz w:val="20"/>
                <w:szCs w:val="24"/>
              </w:rPr>
              <w:t>B. Perceived ease of use</w:t>
            </w:r>
          </w:p>
        </w:tc>
        <w:tc>
          <w:tcPr>
            <w:tcW w:type="dxa" w:w="3120"/>
            <w:vAlign w:val="top"/>
          </w:tcPr>
          <w:p>
            <w:pPr>
              <w:spacing w:after="0"/>
              <w:jc w:val="left"/>
            </w:pPr>
            <w:r>
              <w:rPr>
                <w:rFonts w:ascii="Times New Roman" w:hAnsi="Times New Roman" w:cs="Times New Roman"/>
                <w:sz w:val="20"/>
                <w:szCs w:val="24"/>
              </w:rPr>
              <w:t>11-13</w:t>
            </w:r>
          </w:p>
        </w:tc>
        <w:tc>
          <w:tcPr>
            <w:tcW w:type="dxa" w:w="3120"/>
            <w:vAlign w:val="top"/>
          </w:tcPr>
          <w:p>
            <w:pPr>
              <w:spacing w:after="0"/>
              <w:jc w:val="left"/>
            </w:pPr>
            <w:r>
              <w:rPr>
                <w:rFonts w:ascii="Times New Roman" w:hAnsi="Times New Roman" w:cs="Times New Roman"/>
                <w:sz w:val="20"/>
                <w:szCs w:val="24"/>
              </w:rPr>
              <w:t>Davis (1989)</w:t>
            </w:r>
          </w:p>
        </w:tc>
      </w:tr>
      <w:tr>
        <w:tc>
          <w:tcPr>
            <w:tcW w:type="dxa" w:w="3120"/>
            <w:vAlign w:val="top"/>
          </w:tcPr>
          <w:p>
            <w:pPr>
              <w:spacing w:after="0"/>
              <w:jc w:val="left"/>
            </w:pPr>
            <w:r>
              <w:rPr>
                <w:rFonts w:ascii="Times New Roman" w:hAnsi="Times New Roman" w:cs="Times New Roman"/>
                <w:sz w:val="20"/>
                <w:szCs w:val="24"/>
              </w:rPr>
              <w:t>C. Trust in AI output</w:t>
            </w:r>
          </w:p>
        </w:tc>
        <w:tc>
          <w:tcPr>
            <w:tcW w:type="dxa" w:w="3120"/>
            <w:vAlign w:val="top"/>
          </w:tcPr>
          <w:p>
            <w:pPr>
              <w:spacing w:after="0"/>
              <w:jc w:val="left"/>
            </w:pPr>
            <w:r>
              <w:rPr>
                <w:rFonts w:ascii="Times New Roman" w:hAnsi="Times New Roman" w:cs="Times New Roman"/>
                <w:sz w:val="20"/>
                <w:szCs w:val="24"/>
              </w:rPr>
              <w:t>14-18</w:t>
            </w:r>
          </w:p>
        </w:tc>
        <w:tc>
          <w:tcPr>
            <w:tcW w:type="dxa" w:w="3120"/>
            <w:vAlign w:val="top"/>
          </w:tcPr>
          <w:p>
            <w:pPr>
              <w:spacing w:after="0"/>
              <w:jc w:val="left"/>
            </w:pPr>
            <w:r>
              <w:rPr>
                <w:rFonts w:ascii="Times New Roman" w:hAnsi="Times New Roman" w:cs="Times New Roman"/>
                <w:sz w:val="20"/>
                <w:szCs w:val="24"/>
              </w:rPr>
              <w:t>Glikson &amp; Woolley (2020)</w:t>
            </w:r>
          </w:p>
        </w:tc>
      </w:tr>
      <w:tr>
        <w:tc>
          <w:tcPr>
            <w:tcW w:type="dxa" w:w="3120"/>
            <w:vAlign w:val="top"/>
          </w:tcPr>
          <w:p>
            <w:pPr>
              <w:spacing w:after="0"/>
              <w:jc w:val="left"/>
            </w:pPr>
            <w:r>
              <w:rPr>
                <w:rFonts w:ascii="Times New Roman" w:hAnsi="Times New Roman" w:cs="Times New Roman"/>
                <w:sz w:val="20"/>
                <w:szCs w:val="24"/>
              </w:rPr>
              <w:t>D. Perceived replaceability</w:t>
            </w:r>
          </w:p>
        </w:tc>
        <w:tc>
          <w:tcPr>
            <w:tcW w:type="dxa" w:w="3120"/>
            <w:vAlign w:val="top"/>
          </w:tcPr>
          <w:p>
            <w:pPr>
              <w:spacing w:after="0"/>
              <w:jc w:val="left"/>
            </w:pPr>
            <w:r>
              <w:rPr>
                <w:rFonts w:ascii="Times New Roman" w:hAnsi="Times New Roman" w:cs="Times New Roman"/>
                <w:sz w:val="20"/>
                <w:szCs w:val="24"/>
              </w:rPr>
              <w:t>19-21</w:t>
            </w:r>
          </w:p>
        </w:tc>
        <w:tc>
          <w:tcPr>
            <w:tcW w:type="dxa" w:w="3120"/>
            <w:vAlign w:val="top"/>
          </w:tcPr>
          <w:p>
            <w:pPr>
              <w:spacing w:after="0"/>
              <w:jc w:val="left"/>
            </w:pPr>
            <w:r>
              <w:rPr>
                <w:rFonts w:ascii="Times New Roman" w:hAnsi="Times New Roman" w:cs="Times New Roman"/>
                <w:sz w:val="20"/>
                <w:szCs w:val="24"/>
              </w:rPr>
              <w:t>Brougham &amp; Haar (2018)</w:t>
            </w:r>
          </w:p>
        </w:tc>
      </w:tr>
      <w:tr>
        <w:tc>
          <w:tcPr>
            <w:tcW w:type="dxa" w:w="3120"/>
            <w:vAlign w:val="top"/>
          </w:tcPr>
          <w:p>
            <w:pPr>
              <w:spacing w:after="0"/>
              <w:jc w:val="left"/>
            </w:pPr>
            <w:r>
              <w:rPr>
                <w:rFonts w:ascii="Times New Roman" w:hAnsi="Times New Roman" w:cs="Times New Roman"/>
                <w:sz w:val="20"/>
                <w:szCs w:val="24"/>
              </w:rPr>
              <w:t>E. Skills and reskilling</w:t>
            </w:r>
          </w:p>
        </w:tc>
        <w:tc>
          <w:tcPr>
            <w:tcW w:type="dxa" w:w="3120"/>
            <w:vAlign w:val="top"/>
          </w:tcPr>
          <w:p>
            <w:pPr>
              <w:spacing w:after="0"/>
              <w:jc w:val="left"/>
            </w:pPr>
            <w:r>
              <w:rPr>
                <w:rFonts w:ascii="Times New Roman" w:hAnsi="Times New Roman" w:cs="Times New Roman"/>
                <w:sz w:val="20"/>
                <w:szCs w:val="24"/>
              </w:rPr>
              <w:t>22-25</w:t>
            </w:r>
          </w:p>
        </w:tc>
        <w:tc>
          <w:tcPr>
            <w:tcW w:type="dxa" w:w="3120"/>
            <w:vAlign w:val="top"/>
          </w:tcPr>
          <w:p>
            <w:pPr>
              <w:spacing w:after="0"/>
              <w:jc w:val="left"/>
            </w:pPr>
            <w:r>
              <w:rPr>
                <w:rFonts w:ascii="Times New Roman" w:hAnsi="Times New Roman" w:cs="Times New Roman"/>
                <w:sz w:val="20"/>
                <w:szCs w:val="24"/>
              </w:rPr>
              <w:t>Study-specific</w:t>
            </w:r>
          </w:p>
        </w:tc>
      </w:tr>
      <w:tr>
        <w:tc>
          <w:tcPr>
            <w:tcW w:type="dxa" w:w="3120"/>
            <w:vAlign w:val="top"/>
          </w:tcPr>
          <w:p>
            <w:pPr>
              <w:spacing w:after="0"/>
              <w:jc w:val="left"/>
            </w:pPr>
            <w:r>
              <w:rPr>
                <w:rFonts w:ascii="Times New Roman" w:hAnsi="Times New Roman" w:cs="Times New Roman"/>
                <w:sz w:val="20"/>
                <w:szCs w:val="24"/>
              </w:rPr>
              <w:t>F. Human oversight and accountability</w:t>
            </w:r>
          </w:p>
        </w:tc>
        <w:tc>
          <w:tcPr>
            <w:tcW w:type="dxa" w:w="3120"/>
            <w:vAlign w:val="top"/>
          </w:tcPr>
          <w:p>
            <w:pPr>
              <w:spacing w:after="0"/>
              <w:jc w:val="left"/>
            </w:pPr>
            <w:r>
              <w:rPr>
                <w:rFonts w:ascii="Times New Roman" w:hAnsi="Times New Roman" w:cs="Times New Roman"/>
                <w:sz w:val="20"/>
                <w:szCs w:val="24"/>
              </w:rPr>
              <w:t>26-27</w:t>
            </w:r>
          </w:p>
        </w:tc>
        <w:tc>
          <w:tcPr>
            <w:tcW w:type="dxa" w:w="3120"/>
            <w:vAlign w:val="top"/>
          </w:tcPr>
          <w:p>
            <w:pPr>
              <w:spacing w:after="0"/>
              <w:jc w:val="left"/>
            </w:pPr>
            <w:r>
              <w:rPr>
                <w:rFonts w:ascii="Times New Roman" w:hAnsi="Times New Roman" w:cs="Times New Roman"/>
                <w:sz w:val="20"/>
                <w:szCs w:val="24"/>
              </w:rPr>
              <w:t>Study-specific, grounded in DORA / AI Act / SS1/23 / SM&amp;CR</w:t>
            </w:r>
          </w:p>
        </w:tc>
      </w:tr>
      <w:tr>
        <w:tc>
          <w:tcPr>
            <w:tcW w:type="dxa" w:w="3120"/>
            <w:vAlign w:val="top"/>
          </w:tcPr>
          <w:p>
            <w:pPr>
              <w:spacing w:after="0"/>
              <w:jc w:val="left"/>
            </w:pPr>
            <w:r>
              <w:rPr>
                <w:rFonts w:ascii="Times New Roman" w:hAnsi="Times New Roman" w:cs="Times New Roman"/>
                <w:sz w:val="20"/>
                <w:szCs w:val="24"/>
              </w:rPr>
              <w:t>G. Organisational response and outcomes</w:t>
            </w:r>
          </w:p>
        </w:tc>
        <w:tc>
          <w:tcPr>
            <w:tcW w:type="dxa" w:w="3120"/>
            <w:vAlign w:val="top"/>
          </w:tcPr>
          <w:p>
            <w:pPr>
              <w:spacing w:after="0"/>
              <w:jc w:val="left"/>
            </w:pPr>
            <w:r>
              <w:rPr>
                <w:rFonts w:ascii="Times New Roman" w:hAnsi="Times New Roman" w:cs="Times New Roman"/>
                <w:sz w:val="20"/>
                <w:szCs w:val="24"/>
              </w:rPr>
              <w:t>28-31</w:t>
            </w:r>
          </w:p>
        </w:tc>
        <w:tc>
          <w:tcPr>
            <w:tcW w:type="dxa" w:w="3120"/>
            <w:vAlign w:val="top"/>
          </w:tcPr>
          <w:p>
            <w:pPr>
              <w:spacing w:after="0"/>
              <w:jc w:val="left"/>
            </w:pPr>
            <w:r>
              <w:rPr>
                <w:rFonts w:ascii="Times New Roman" w:hAnsi="Times New Roman" w:cs="Times New Roman"/>
                <w:sz w:val="20"/>
                <w:szCs w:val="24"/>
              </w:rPr>
              <w:t>Brougham &amp; Haar (2018)</w:t>
            </w:r>
          </w:p>
        </w:tc>
      </w:tr>
    </w:tbl>
    <w:p>
      <w:pPr>
        <w:jc w:val="both"/>
        <w:rPr>
          <w:rFonts w:ascii="Times New Roman" w:hAnsi="Times New Roman" w:cs="Times New Roman"/>
          <w:sz w:val="24"/>
          <w:szCs w:val="24"/>
        </w:rPr>
      </w:pPr>
      <w:r>
        <w:rPr>
          <w:rFonts w:ascii="Times New Roman" w:hAnsi="Times New Roman" w:cs="Times New Roman"/>
          <w:sz w:val="24"/>
          <w:szCs w:val="24"/>
        </w:rPr>
        <w:t>Items 19-21 and 30 are worded so that a higher score indicates greater concern; these are reverse-coded when composite scores are calculated.</w:t>
      </w:r>
    </w:p>
    <w:p>
      <w:pPr>
        <w:jc w:val="both"/>
        <w:rPr>
          <w:rFonts w:ascii="Times New Roman" w:hAnsi="Times New Roman" w:cs="Times New Roman"/>
          <w:sz w:val="24"/>
          <w:szCs w:val="24"/>
        </w:rPr>
      </w:pPr>
      <w:r>
        <w:rPr>
          <w:rFonts w:ascii="Times New Roman" w:hAnsi="Times New Roman" w:cs="Times New Roman"/>
          <w:b/>
          <w:sz w:val="24"/>
          <w:szCs w:val="24"/>
        </w:rPr>
        <w:t>Method of preparing the instruments.</w:t>
      </w:r>
      <w:r>
        <w:rPr>
          <w:rFonts w:ascii="Times New Roman" w:hAnsi="Times New Roman" w:cs="Times New Roman"/>
          <w:sz w:val="24"/>
          <w:szCs w:val="24"/>
        </w:rPr>
        <w:t xml:space="preserve"> The interview guide was derived from the secondary objectives and the gaps identified in the literature review. The questionnaire was then built from the interview themes using validated constructs from the reviewed literature rather than newly invented scales, so that reliability can be assessed and findings compared with published work. Each instrument item is mapped to an objective (Annexure), and both instruments include an informed-consent statement.</w:t>
      </w:r>
    </w:p>
    <w:p>
      <w:pPr>
        <w:jc w:val="left"/>
        <w:rPr>
          <w:rFonts w:ascii="Times New Roman" w:hAnsi="Times New Roman" w:cs="Times New Roman"/>
          <w:sz w:val="24"/>
          <w:szCs w:val="24"/>
        </w:rPr>
      </w:pPr>
      <w:r>
        <w:rPr>
          <w:rFonts w:ascii="Times New Roman" w:hAnsi="Times New Roman" w:cs="Times New Roman"/>
          <w:b/>
          <w:sz w:val="24"/>
          <w:szCs w:val="24"/>
        </w:rPr>
        <w:t>3.4 Sampling Framework</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Population:</w:t>
      </w:r>
      <w:r>
        <w:rPr>
          <w:rFonts w:ascii="Times New Roman" w:hAnsi="Times New Roman" w:cs="Times New Roman"/>
          <w:sz w:val="24"/>
          <w:szCs w:val="24"/>
        </w:rPr>
        <w:t xml:space="preserve"> professionals working in or with GRC functions - risk, compliance, internal audit, financial crime, GRC technology, and HR business partners supporting these functions - in banks and banking service providers (including global capability centres) operating in the UK and EU.</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Sampling method:</w:t>
      </w:r>
      <w:r>
        <w:rPr>
          <w:rFonts w:ascii="Times New Roman" w:hAnsi="Times New Roman" w:cs="Times New Roman"/>
          <w:sz w:val="24"/>
          <w:szCs w:val="24"/>
        </w:rPr>
        <w:t xml:space="preserve"> purposive sampling supplemented by snowball referral, because the study requires respondents with direct exposure to AI-enabled GRC processes.</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Selection criteria:</w:t>
      </w:r>
      <w:r>
        <w:rPr>
          <w:rFonts w:ascii="Times New Roman" w:hAnsi="Times New Roman" w:cs="Times New Roman"/>
          <w:sz w:val="24"/>
          <w:szCs w:val="24"/>
        </w:rPr>
        <w:t xml:space="preserve"> (i) experience in a GRC or GRC-supporting role; (ii) current or recent involvement with UK or EU banking; (iii) direct or supervisory exposure to AI-enabled or automated GRC processes.</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Coverage achieved:</w:t>
      </w:r>
      <w:r>
        <w:rPr>
          <w:rFonts w:ascii="Times New Roman" w:hAnsi="Times New Roman" w:cs="Times New Roman"/>
          <w:sz w:val="24"/>
          <w:szCs w:val="24"/>
        </w:rPr>
        <w:t xml:space="preserve"> respondents span internal audit, risk, GRC technology, enterprise and data architecture supporting GRC, and senior consulting roles; analyst, manager and senior manager levels; and UK, EU and dual-jurisdiction responsibilities.</w:t>
      </w:r>
    </w:p>
    <w:p>
      <w:pPr>
        <w:jc w:val="left"/>
        <w:rPr>
          <w:rFonts w:ascii="Times New Roman" w:hAnsi="Times New Roman" w:cs="Times New Roman"/>
          <w:sz w:val="24"/>
          <w:szCs w:val="24"/>
        </w:rPr>
      </w:pPr>
      <w:r>
        <w:rPr>
          <w:rFonts w:ascii="Times New Roman" w:hAnsi="Times New Roman" w:cs="Times New Roman"/>
          <w:b/>
          <w:sz w:val="24"/>
          <w:szCs w:val="24"/>
        </w:rPr>
        <w:t>3.5 Sample Size</w:t>
      </w:r>
    </w:p>
    <w:p>
      <w:pPr>
        <w:jc w:val="both"/>
        <w:rPr>
          <w:rFonts w:ascii="Times New Roman" w:hAnsi="Times New Roman" w:cs="Times New Roman"/>
          <w:sz w:val="24"/>
          <w:szCs w:val="24"/>
        </w:rPr>
      </w:pPr>
      <w:r>
        <w:rPr>
          <w:rFonts w:ascii="Times New Roman" w:hAnsi="Times New Roman" w:cs="Times New Roman"/>
          <w:sz w:val="24"/>
          <w:szCs w:val="24"/>
        </w:rPr>
        <w:t xml:space="preserve">Interviews were conducted until no materially new themes emerged on the core questions (thematic saturation within a homogeneous senior professional group). The questionnaire serves as a validation of the interview themes and not as a basis for statistical generalisation. The study therefore claims </w:t>
      </w:r>
      <w:r>
        <w:rPr>
          <w:rFonts w:ascii="Times New Roman" w:hAnsi="Times New Roman" w:cs="Times New Roman"/>
          <w:b/>
          <w:sz w:val="24"/>
          <w:szCs w:val="24"/>
        </w:rPr>
        <w:t>analytical rather than statistical generalisation</w:t>
      </w:r>
      <w:r>
        <w:rPr>
          <w:rFonts w:ascii="Times New Roman" w:hAnsi="Times New Roman" w:cs="Times New Roman"/>
          <w:sz w:val="24"/>
          <w:szCs w:val="24"/>
        </w:rPr>
        <w:t>.</w:t>
      </w:r>
    </w:p>
    <w:p>
      <w:pPr>
        <w:jc w:val="left"/>
        <w:rPr>
          <w:rFonts w:ascii="Times New Roman" w:hAnsi="Times New Roman" w:cs="Times New Roman"/>
          <w:sz w:val="24"/>
          <w:szCs w:val="24"/>
        </w:rPr>
      </w:pPr>
      <w:r>
        <w:rPr>
          <w:rFonts w:ascii="Times New Roman" w:hAnsi="Times New Roman" w:cs="Times New Roman"/>
          <w:b/>
          <w:sz w:val="24"/>
          <w:szCs w:val="24"/>
        </w:rPr>
        <w:t>3.6 Research Propositions and Hypotheses</w:t>
      </w:r>
    </w:p>
    <w:p>
      <w:pPr>
        <w:jc w:val="both"/>
        <w:rPr>
          <w:rFonts w:ascii="Times New Roman" w:hAnsi="Times New Roman" w:cs="Times New Roman"/>
          <w:sz w:val="24"/>
          <w:szCs w:val="24"/>
        </w:rPr>
      </w:pPr>
      <w:r>
        <w:rPr>
          <w:rFonts w:ascii="Times New Roman" w:hAnsi="Times New Roman" w:cs="Times New Roman"/>
          <w:sz w:val="24"/>
          <w:szCs w:val="24"/>
        </w:rPr>
        <w:t>Because the design is exploratory and qualitatively dominant, the study is guided by research propositions that are tested through triangulation, with directional hypotheses on the questionnaire constructs tested against the neutral midpoint of the scale (3).</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w:t>
            </w:r>
          </w:p>
        </w:tc>
        <w:tc>
          <w:tcPr>
            <w:tcW w:type="dxa" w:w="3120"/>
            <w:vAlign w:val="top"/>
            <w:shd w:fill="D9D9D9" w:val="clear"/>
          </w:tcPr>
          <w:p>
            <w:pPr>
              <w:spacing w:after="0"/>
              <w:jc w:val="left"/>
            </w:pPr>
            <w:r>
              <w:rPr>
                <w:rFonts w:ascii="Times New Roman" w:hAnsi="Times New Roman" w:cs="Times New Roman"/>
                <w:b/>
                <w:sz w:val="20"/>
                <w:szCs w:val="24"/>
              </w:rPr>
              <w:t>Proposition / hypothesis</w:t>
            </w:r>
          </w:p>
        </w:tc>
        <w:tc>
          <w:tcPr>
            <w:tcW w:type="dxa" w:w="3120"/>
            <w:vAlign w:val="top"/>
            <w:shd w:fill="D9D9D9" w:val="clear"/>
          </w:tcPr>
          <w:p>
            <w:pPr>
              <w:spacing w:after="0"/>
              <w:jc w:val="left"/>
            </w:pPr>
            <w:r>
              <w:rPr>
                <w:rFonts w:ascii="Times New Roman" w:hAnsi="Times New Roman" w:cs="Times New Roman"/>
                <w:b/>
                <w:sz w:val="20"/>
                <w:szCs w:val="24"/>
              </w:rPr>
              <w:t>Test applied</w:t>
            </w:r>
          </w:p>
        </w:tc>
      </w:tr>
      <w:tr>
        <w:tc>
          <w:tcPr>
            <w:tcW w:type="dxa" w:w="3120"/>
            <w:vAlign w:val="top"/>
          </w:tcPr>
          <w:p>
            <w:pPr>
              <w:spacing w:after="0"/>
              <w:jc w:val="left"/>
            </w:pPr>
            <w:r>
              <w:rPr>
                <w:rFonts w:ascii="Times New Roman" w:hAnsi="Times New Roman" w:cs="Times New Roman"/>
                <w:sz w:val="20"/>
                <w:szCs w:val="24"/>
              </w:rPr>
              <w:t>P1</w:t>
            </w:r>
          </w:p>
        </w:tc>
        <w:tc>
          <w:tcPr>
            <w:tcW w:type="dxa" w:w="3120"/>
            <w:vAlign w:val="top"/>
          </w:tcPr>
          <w:p>
            <w:pPr>
              <w:spacing w:after="0"/>
              <w:jc w:val="left"/>
            </w:pPr>
            <w:r>
              <w:rPr>
                <w:rFonts w:ascii="Times New Roman" w:hAnsi="Times New Roman" w:cs="Times New Roman"/>
                <w:sz w:val="20"/>
                <w:szCs w:val="24"/>
              </w:rPr>
              <w:t>Routine, rules-based GRC tasks are automated first, while judgement-intensive tasks are augmented rather than replaced.</w:t>
            </w:r>
          </w:p>
        </w:tc>
        <w:tc>
          <w:tcPr>
            <w:tcW w:type="dxa" w:w="3120"/>
            <w:vAlign w:val="top"/>
          </w:tcPr>
          <w:p>
            <w:pPr>
              <w:spacing w:after="0"/>
              <w:jc w:val="left"/>
            </w:pPr>
            <w:r>
              <w:rPr>
                <w:rFonts w:ascii="Times New Roman" w:hAnsi="Times New Roman" w:cs="Times New Roman"/>
                <w:sz w:val="20"/>
                <w:szCs w:val="24"/>
              </w:rPr>
              <w:t>Thematic analysis + content analysis of job postings</w:t>
            </w:r>
          </w:p>
        </w:tc>
      </w:tr>
      <w:tr>
        <w:tc>
          <w:tcPr>
            <w:tcW w:type="dxa" w:w="3120"/>
            <w:vAlign w:val="top"/>
          </w:tcPr>
          <w:p>
            <w:pPr>
              <w:spacing w:after="0"/>
              <w:jc w:val="left"/>
            </w:pPr>
            <w:r>
              <w:rPr>
                <w:rFonts w:ascii="Times New Roman" w:hAnsi="Times New Roman" w:cs="Times New Roman"/>
                <w:sz w:val="20"/>
                <w:szCs w:val="24"/>
              </w:rPr>
              <w:t>P2</w:t>
            </w:r>
          </w:p>
        </w:tc>
        <w:tc>
          <w:tcPr>
            <w:tcW w:type="dxa" w:w="3120"/>
            <w:vAlign w:val="top"/>
          </w:tcPr>
          <w:p>
            <w:pPr>
              <w:spacing w:after="0"/>
              <w:jc w:val="left"/>
            </w:pPr>
            <w:r>
              <w:rPr>
                <w:rFonts w:ascii="Times New Roman" w:hAnsi="Times New Roman" w:cs="Times New Roman"/>
                <w:sz w:val="20"/>
                <w:szCs w:val="24"/>
              </w:rPr>
              <w:t>Regulation converts workforce competence and human oversight into compliance obligations.</w:t>
            </w:r>
          </w:p>
        </w:tc>
        <w:tc>
          <w:tcPr>
            <w:tcW w:type="dxa" w:w="3120"/>
            <w:vAlign w:val="top"/>
          </w:tcPr>
          <w:p>
            <w:pPr>
              <w:spacing w:after="0"/>
              <w:jc w:val="left"/>
            </w:pPr>
            <w:r>
              <w:rPr>
                <w:rFonts w:ascii="Times New Roman" w:hAnsi="Times New Roman" w:cs="Times New Roman"/>
                <w:sz w:val="20"/>
                <w:szCs w:val="24"/>
              </w:rPr>
              <w:t>Content analysis of regulatory texts + interviews</w:t>
            </w:r>
          </w:p>
        </w:tc>
      </w:tr>
      <w:tr>
        <w:tc>
          <w:tcPr>
            <w:tcW w:type="dxa" w:w="3120"/>
            <w:vAlign w:val="top"/>
          </w:tcPr>
          <w:p>
            <w:pPr>
              <w:spacing w:after="0"/>
              <w:jc w:val="left"/>
            </w:pPr>
            <w:r>
              <w:rPr>
                <w:rFonts w:ascii="Times New Roman" w:hAnsi="Times New Roman" w:cs="Times New Roman"/>
                <w:sz w:val="20"/>
                <w:szCs w:val="24"/>
              </w:rPr>
              <w:t>P3</w:t>
            </w:r>
          </w:p>
        </w:tc>
        <w:tc>
          <w:tcPr>
            <w:tcW w:type="dxa" w:w="3120"/>
            <w:vAlign w:val="top"/>
          </w:tcPr>
          <w:p>
            <w:pPr>
              <w:spacing w:after="0"/>
              <w:jc w:val="left"/>
            </w:pPr>
            <w:r>
              <w:rPr>
                <w:rFonts w:ascii="Times New Roman" w:hAnsi="Times New Roman" w:cs="Times New Roman"/>
                <w:sz w:val="20"/>
                <w:szCs w:val="24"/>
              </w:rPr>
              <w:t>AI adoption in GRC creates demand for a hybrid skill profile combining technical/data fluency with domain and regulatory judgement.</w:t>
            </w:r>
          </w:p>
        </w:tc>
        <w:tc>
          <w:tcPr>
            <w:tcW w:type="dxa" w:w="3120"/>
            <w:vAlign w:val="top"/>
          </w:tcPr>
          <w:p>
            <w:pPr>
              <w:spacing w:after="0"/>
              <w:jc w:val="left"/>
            </w:pPr>
            <w:r>
              <w:rPr>
                <w:rFonts w:ascii="Times New Roman" w:hAnsi="Times New Roman" w:cs="Times New Roman"/>
                <w:sz w:val="20"/>
                <w:szCs w:val="24"/>
              </w:rPr>
              <w:t>Interviews + job-posting skill coding + questionnaire construct E</w:t>
            </w:r>
          </w:p>
        </w:tc>
      </w:tr>
      <w:tr>
        <w:tc>
          <w:tcPr>
            <w:tcW w:type="dxa" w:w="3120"/>
            <w:vAlign w:val="top"/>
          </w:tcPr>
          <w:p>
            <w:pPr>
              <w:spacing w:after="0"/>
              <w:jc w:val="left"/>
            </w:pPr>
            <w:r>
              <w:rPr>
                <w:rFonts w:ascii="Times New Roman" w:hAnsi="Times New Roman" w:cs="Times New Roman"/>
                <w:sz w:val="20"/>
                <w:szCs w:val="24"/>
              </w:rPr>
              <w:t>P4</w:t>
            </w:r>
          </w:p>
        </w:tc>
        <w:tc>
          <w:tcPr>
            <w:tcW w:type="dxa" w:w="3120"/>
            <w:vAlign w:val="top"/>
          </w:tcPr>
          <w:p>
            <w:pPr>
              <w:spacing w:after="0"/>
              <w:jc w:val="left"/>
            </w:pPr>
            <w:r>
              <w:rPr>
                <w:rFonts w:ascii="Times New Roman" w:hAnsi="Times New Roman" w:cs="Times New Roman"/>
                <w:sz w:val="20"/>
                <w:szCs w:val="24"/>
              </w:rPr>
              <w:t>Loss of institutional knowledge is a material risk of AI-led workforce restructuring in GRC.</w:t>
            </w:r>
          </w:p>
        </w:tc>
        <w:tc>
          <w:tcPr>
            <w:tcW w:type="dxa" w:w="3120"/>
            <w:vAlign w:val="top"/>
          </w:tcPr>
          <w:p>
            <w:pPr>
              <w:spacing w:after="0"/>
              <w:jc w:val="left"/>
            </w:pPr>
            <w:r>
              <w:rPr>
                <w:rFonts w:ascii="Times New Roman" w:hAnsi="Times New Roman" w:cs="Times New Roman"/>
                <w:sz w:val="20"/>
                <w:szCs w:val="24"/>
              </w:rPr>
              <w:t>Interviews (emergent) + secondary evidence</w:t>
            </w:r>
          </w:p>
        </w:tc>
      </w:tr>
      <w:tr>
        <w:tc>
          <w:tcPr>
            <w:tcW w:type="dxa" w:w="3120"/>
            <w:vAlign w:val="top"/>
          </w:tcPr>
          <w:p>
            <w:pPr>
              <w:spacing w:after="0"/>
              <w:jc w:val="left"/>
            </w:pPr>
            <w:r>
              <w:rPr>
                <w:rFonts w:ascii="Times New Roman" w:hAnsi="Times New Roman" w:cs="Times New Roman"/>
                <w:sz w:val="20"/>
                <w:szCs w:val="24"/>
              </w:rPr>
              <w:t>H1</w:t>
            </w:r>
          </w:p>
        </w:tc>
        <w:tc>
          <w:tcPr>
            <w:tcW w:type="dxa" w:w="3120"/>
            <w:vAlign w:val="top"/>
          </w:tcPr>
          <w:p>
            <w:pPr>
              <w:spacing w:after="0"/>
              <w:jc w:val="left"/>
            </w:pPr>
            <w:r>
              <w:rPr>
                <w:rFonts w:ascii="Times New Roman" w:hAnsi="Times New Roman" w:cs="Times New Roman"/>
                <w:sz w:val="20"/>
                <w:szCs w:val="24"/>
              </w:rPr>
              <w:t>GRC professionals perceive AI-enabled tools as useful (Construct A mean &gt; 3).</w:t>
            </w:r>
          </w:p>
        </w:tc>
        <w:tc>
          <w:tcPr>
            <w:tcW w:type="dxa" w:w="3120"/>
            <w:vAlign w:val="top"/>
          </w:tcPr>
          <w:p>
            <w:pPr>
              <w:spacing w:after="0"/>
              <w:jc w:val="left"/>
            </w:pPr>
            <w:r>
              <w:rPr>
                <w:rFonts w:ascii="Times New Roman" w:hAnsi="Times New Roman" w:cs="Times New Roman"/>
                <w:sz w:val="20"/>
                <w:szCs w:val="24"/>
              </w:rPr>
              <w:t>Descriptive mean vs midpoint; one-sample Wilcoxon signed-rank test on the final data file</w:t>
            </w:r>
          </w:p>
        </w:tc>
      </w:tr>
      <w:tr>
        <w:tc>
          <w:tcPr>
            <w:tcW w:type="dxa" w:w="3120"/>
            <w:vAlign w:val="top"/>
          </w:tcPr>
          <w:p>
            <w:pPr>
              <w:spacing w:after="0"/>
              <w:jc w:val="left"/>
            </w:pPr>
            <w:r>
              <w:rPr>
                <w:rFonts w:ascii="Times New Roman" w:hAnsi="Times New Roman" w:cs="Times New Roman"/>
                <w:sz w:val="20"/>
                <w:szCs w:val="24"/>
              </w:rPr>
              <w:t>H2</w:t>
            </w:r>
          </w:p>
        </w:tc>
        <w:tc>
          <w:tcPr>
            <w:tcW w:type="dxa" w:w="3120"/>
            <w:vAlign w:val="top"/>
          </w:tcPr>
          <w:p>
            <w:pPr>
              <w:spacing w:after="0"/>
              <w:jc w:val="left"/>
            </w:pPr>
            <w:r>
              <w:rPr>
                <w:rFonts w:ascii="Times New Roman" w:hAnsi="Times New Roman" w:cs="Times New Roman"/>
                <w:sz w:val="20"/>
                <w:szCs w:val="24"/>
              </w:rPr>
              <w:t>GRC professionals perceive AI-enabled tools as easy to use (Construct B mean &gt; 3).</w:t>
            </w:r>
          </w:p>
        </w:tc>
        <w:tc>
          <w:tcPr>
            <w:tcW w:type="dxa" w:w="3120"/>
            <w:vAlign w:val="top"/>
          </w:tcPr>
          <w:p>
            <w:pPr>
              <w:spacing w:after="0"/>
              <w:jc w:val="left"/>
            </w:pPr>
            <w:r>
              <w:rPr>
                <w:rFonts w:ascii="Times New Roman" w:hAnsi="Times New Roman" w:cs="Times New Roman"/>
                <w:sz w:val="20"/>
                <w:szCs w:val="24"/>
              </w:rPr>
              <w:t>As above</w:t>
            </w:r>
          </w:p>
        </w:tc>
      </w:tr>
      <w:tr>
        <w:tc>
          <w:tcPr>
            <w:tcW w:type="dxa" w:w="3120"/>
            <w:vAlign w:val="top"/>
          </w:tcPr>
          <w:p>
            <w:pPr>
              <w:spacing w:after="0"/>
              <w:jc w:val="left"/>
            </w:pPr>
            <w:r>
              <w:rPr>
                <w:rFonts w:ascii="Times New Roman" w:hAnsi="Times New Roman" w:cs="Times New Roman"/>
                <w:sz w:val="20"/>
                <w:szCs w:val="24"/>
              </w:rPr>
              <w:t>H3</w:t>
            </w:r>
          </w:p>
        </w:tc>
        <w:tc>
          <w:tcPr>
            <w:tcW w:type="dxa" w:w="3120"/>
            <w:vAlign w:val="top"/>
          </w:tcPr>
          <w:p>
            <w:pPr>
              <w:spacing w:after="0"/>
              <w:jc w:val="left"/>
            </w:pPr>
            <w:r>
              <w:rPr>
                <w:rFonts w:ascii="Times New Roman" w:hAnsi="Times New Roman" w:cs="Times New Roman"/>
                <w:sz w:val="20"/>
                <w:szCs w:val="24"/>
              </w:rPr>
              <w:t>GRC professionals expect their roles to change substantially because of AI (Item 20 mean &gt; 3).</w:t>
            </w:r>
          </w:p>
        </w:tc>
        <w:tc>
          <w:tcPr>
            <w:tcW w:type="dxa" w:w="3120"/>
            <w:vAlign w:val="top"/>
          </w:tcPr>
          <w:p>
            <w:pPr>
              <w:spacing w:after="0"/>
              <w:jc w:val="left"/>
            </w:pPr>
            <w:r>
              <w:rPr>
                <w:rFonts w:ascii="Times New Roman" w:hAnsi="Times New Roman" w:cs="Times New Roman"/>
                <w:sz w:val="20"/>
                <w:szCs w:val="24"/>
              </w:rPr>
              <w:t>As above</w:t>
            </w:r>
          </w:p>
        </w:tc>
      </w:tr>
      <w:tr>
        <w:tc>
          <w:tcPr>
            <w:tcW w:type="dxa" w:w="3120"/>
            <w:vAlign w:val="top"/>
          </w:tcPr>
          <w:p>
            <w:pPr>
              <w:spacing w:after="0"/>
              <w:jc w:val="left"/>
            </w:pPr>
            <w:r>
              <w:rPr>
                <w:rFonts w:ascii="Times New Roman" w:hAnsi="Times New Roman" w:cs="Times New Roman"/>
                <w:sz w:val="20"/>
                <w:szCs w:val="24"/>
              </w:rPr>
              <w:t>H4</w:t>
            </w:r>
          </w:p>
        </w:tc>
        <w:tc>
          <w:tcPr>
            <w:tcW w:type="dxa" w:w="3120"/>
            <w:vAlign w:val="top"/>
          </w:tcPr>
          <w:p>
            <w:pPr>
              <w:spacing w:after="0"/>
              <w:jc w:val="left"/>
            </w:pPr>
            <w:r>
              <w:rPr>
                <w:rFonts w:ascii="Times New Roman" w:hAnsi="Times New Roman" w:cs="Times New Roman"/>
                <w:sz w:val="20"/>
                <w:szCs w:val="24"/>
              </w:rPr>
              <w:t>Trust in AI output is conditional: reliance without re-performance (Item 17) is rated lower than reliability (Item 15).</w:t>
            </w:r>
          </w:p>
        </w:tc>
        <w:tc>
          <w:tcPr>
            <w:tcW w:type="dxa" w:w="3120"/>
            <w:vAlign w:val="top"/>
          </w:tcPr>
          <w:p>
            <w:pPr>
              <w:spacing w:after="0"/>
              <w:jc w:val="left"/>
            </w:pPr>
            <w:r>
              <w:rPr>
                <w:rFonts w:ascii="Times New Roman" w:hAnsi="Times New Roman" w:cs="Times New Roman"/>
                <w:sz w:val="20"/>
                <w:szCs w:val="24"/>
              </w:rPr>
              <w:t>Paired comparison of item means; Wilcoxon signed-rank test on the final data file</w:t>
            </w:r>
          </w:p>
        </w:tc>
      </w:tr>
    </w:tbl>
    <w:p>
      <w:pPr>
        <w:jc w:val="left"/>
        <w:rPr>
          <w:rFonts w:ascii="Times New Roman" w:hAnsi="Times New Roman" w:cs="Times New Roman"/>
          <w:sz w:val="24"/>
          <w:szCs w:val="24"/>
        </w:rPr>
      </w:pPr>
      <w:r>
        <w:rPr>
          <w:rFonts w:ascii="Times New Roman" w:hAnsi="Times New Roman" w:cs="Times New Roman"/>
          <w:b/>
          <w:sz w:val="24"/>
          <w:szCs w:val="24"/>
        </w:rPr>
        <w:t>3.7 Tools and Techniques of Analysis</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Thematic analysis</w:t>
      </w:r>
      <w:r>
        <w:rPr>
          <w:rFonts w:ascii="Times New Roman" w:hAnsi="Times New Roman" w:cs="Times New Roman"/>
          <w:sz w:val="24"/>
          <w:szCs w:val="24"/>
        </w:rPr>
        <w:t xml:space="preserve"> of interview responses: open coding, then grouping of codes into themes aligned to the secondary objectives (manual coding in Microsoft Excel).</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Content analysis</w:t>
      </w:r>
      <w:r>
        <w:rPr>
          <w:rFonts w:ascii="Times New Roman" w:hAnsi="Times New Roman" w:cs="Times New Roman"/>
          <w:sz w:val="24"/>
          <w:szCs w:val="24"/>
        </w:rPr>
        <w:t xml:space="preserve"> of regulatory texts, supervisory publications and public job postings: activities coded as automated, augmented or unaffected; skill requirements coded as technical, analytical, regulatory or behavioural.</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Descriptive statistics</w:t>
      </w:r>
      <w:r>
        <w:rPr>
          <w:rFonts w:ascii="Times New Roman" w:hAnsi="Times New Roman" w:cs="Times New Roman"/>
          <w:sz w:val="24"/>
          <w:szCs w:val="24"/>
        </w:rPr>
        <w:t xml:space="preserve"> for the questionnaire: item and construct means and standard deviations (Microsoft Excel / Python).</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Reliability assessment</w:t>
      </w:r>
      <w:r>
        <w:rPr>
          <w:rFonts w:ascii="Times New Roman" w:hAnsi="Times New Roman" w:cs="Times New Roman"/>
          <w:sz w:val="24"/>
          <w:szCs w:val="24"/>
        </w:rPr>
        <w:t xml:space="preserve"> of multi-item constructs using Cronbach's alpha.</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Non-parametric tests</w:t>
      </w:r>
      <w:r>
        <w:rPr>
          <w:rFonts w:ascii="Times New Roman" w:hAnsi="Times New Roman" w:cs="Times New Roman"/>
          <w:sz w:val="24"/>
          <w:szCs w:val="24"/>
        </w:rPr>
        <w:t xml:space="preserve"> (one-sample and paired Wilcoxon signed-rank) suitable for ordinal Likert data and small purposive samples.</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Triangulation</w:t>
      </w:r>
      <w:r>
        <w:rPr>
          <w:rFonts w:ascii="Times New Roman" w:hAnsi="Times New Roman" w:cs="Times New Roman"/>
          <w:sz w:val="24"/>
          <w:szCs w:val="24"/>
        </w:rPr>
        <w:t xml:space="preserve"> of all three evidence streams to test convergence before conclusions are drawn.</w:t>
      </w:r>
    </w:p>
    <w:p>
      <w:pPr>
        <w:ind w:left="720" w:hanging="360"/>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Framework development</w:t>
      </w:r>
      <w:r>
        <w:rPr>
          <w:rFonts w:ascii="Times New Roman" w:hAnsi="Times New Roman" w:cs="Times New Roman"/>
          <w:sz w:val="24"/>
          <w:szCs w:val="24"/>
        </w:rPr>
        <w:t>, integrating the validated themes with the reviewed literature.</w:t>
      </w:r>
    </w:p>
    <w:p>
      <w:pPr>
        <w:jc w:val="left"/>
        <w:rPr>
          <w:rFonts w:ascii="Times New Roman" w:hAnsi="Times New Roman" w:cs="Times New Roman"/>
          <w:sz w:val="24"/>
          <w:szCs w:val="24"/>
        </w:rPr>
      </w:pPr>
      <w:r>
        <w:rPr>
          <w:rFonts w:ascii="Times New Roman" w:hAnsi="Times New Roman" w:cs="Times New Roman"/>
          <w:b/>
          <w:sz w:val="24"/>
          <w:szCs w:val="24"/>
        </w:rPr>
        <w:t>3.8 Ethical Considerations</w:t>
      </w:r>
    </w:p>
    <w:p>
      <w:pPr>
        <w:jc w:val="both"/>
        <w:rPr>
          <w:rFonts w:ascii="Times New Roman" w:hAnsi="Times New Roman" w:cs="Times New Roman"/>
          <w:sz w:val="24"/>
          <w:szCs w:val="24"/>
        </w:rPr>
      </w:pPr>
      <w:r>
        <w:rPr>
          <w:rFonts w:ascii="Times New Roman" w:hAnsi="Times New Roman" w:cs="Times New Roman"/>
          <w:sz w:val="24"/>
          <w:szCs w:val="24"/>
        </w:rPr>
        <w:t>Participation was voluntary and every respondent gave informed consent to the use of anonymised responses. No respondent, employer, client or bank is identified in this report. No confidential or proprietary data was collected, and respondents were asked to speak to general practice. Data is stored securely and used only for academic purposes.</w:t>
      </w:r>
    </w:p>
    <w:p w:rsidR="00D30870" w:rsidRDefault="00D30870">
      <w:pPr>
        <w:pBdr>
          <w:bottom w:val="single" w:sz="12" w:space="1" w:color="auto"/>
        </w:pBdr>
      </w:pPr>
    </w:p>
    <w:p w:rsidR="00D30870" w:rsidRDefault="00D30870">
      <w:pPr>
        <w:pBdr>
          <w:bottom w:val="single" w:sz="12" w:space="1" w:color="auto"/>
        </w:pBdr>
        <w:rPr>
          <w:rFonts w:ascii="Times New Roman" w:hAnsi="Times New Roman" w:cs="Times New Roman"/>
          <w:sz w:val="24"/>
          <w:szCs w:val="24"/>
        </w:rPr>
      </w:pPr>
    </w:p>
    <w:p w:rsidR="00FB30CE" w:rsidRPr="00613F12" w:rsidRDefault="00613F12">
      <w:pPr>
        <w:rPr>
          <w:rFonts w:ascii="Times New Roman" w:hAnsi="Times New Roman" w:cs="Times New Roman"/>
          <w:sz w:val="24"/>
          <w:szCs w:val="24"/>
        </w:rPr>
      </w:pPr>
      <w:r>
        <w:rPr>
          <w:rFonts w:ascii="Times New Roman" w:hAnsi="Times New Roman" w:cs="Times New Roman"/>
          <w:b/>
          <w:sz w:val="24"/>
          <w:szCs w:val="24"/>
        </w:rPr>
        <w:t>4</w:t>
      </w:r>
      <w:r w:rsidRPr="00613F12">
        <w:rPr>
          <w:rFonts w:ascii="Times New Roman" w:hAnsi="Times New Roman" w:cs="Times New Roman"/>
          <w:b/>
          <w:sz w:val="24"/>
          <w:szCs w:val="24"/>
        </w:rPr>
        <w:t xml:space="preserve"> DATA COLLECTION</w:t>
      </w:r>
      <w:r w:rsidRPr="00613F12">
        <w:rPr>
          <w:rFonts w:ascii="Times New Roman" w:hAnsi="Times New Roman" w:cs="Times New Roman"/>
          <w:sz w:val="24"/>
          <w:szCs w:val="24"/>
        </w:rPr>
        <w:t xml:space="preserve"> </w:t>
      </w:r>
      <w:r>
        <w:rPr>
          <w:rFonts w:ascii="Times New Roman" w:hAnsi="Times New Roman" w:cs="Times New Roman"/>
          <w:sz w:val="24"/>
          <w:szCs w:val="24"/>
        </w:rPr>
        <w:t>(</w:t>
      </w:r>
      <w:r w:rsidRPr="00613F12">
        <w:rPr>
          <w:rFonts w:ascii="Times New Roman" w:hAnsi="Times New Roman" w:cs="Times New Roman"/>
          <w:sz w:val="24"/>
          <w:szCs w:val="24"/>
        </w:rPr>
        <w:t xml:space="preserve">A comprehensive account of the data collected (both primary and secondary). The filled-in questionnaires (hard/ soft copies) must be available at the time of the </w:t>
      </w:r>
      <w:r w:rsidRPr="00613F12">
        <w:rPr>
          <w:rFonts w:ascii="Times New Roman" w:hAnsi="Times New Roman" w:cs="Times New Roman"/>
          <w:sz w:val="24"/>
          <w:szCs w:val="24"/>
        </w:rPr>
        <w:lastRenderedPageBreak/>
        <w:t>second review and at the time of Viva –voce. The data file must be available at the time of second review and</w:t>
      </w:r>
      <w:r>
        <w:rPr>
          <w:rFonts w:ascii="Times New Roman" w:hAnsi="Times New Roman" w:cs="Times New Roman"/>
          <w:sz w:val="24"/>
          <w:szCs w:val="24"/>
        </w:rPr>
        <w:t xml:space="preserve"> the viva-voce (as a soft copy))</w:t>
      </w:r>
    </w:p>
    <w:p>
      <w:pPr>
        <w:jc w:val="left"/>
        <w:rPr>
          <w:rFonts w:ascii="Times New Roman" w:hAnsi="Times New Roman" w:cs="Times New Roman"/>
          <w:sz w:val="24"/>
          <w:szCs w:val="24"/>
        </w:rPr>
      </w:pPr>
      <w:r>
        <w:rPr>
          <w:rFonts w:ascii="Times New Roman" w:hAnsi="Times New Roman" w:cs="Times New Roman"/>
          <w:b/>
          <w:sz w:val="24"/>
          <w:szCs w:val="24"/>
        </w:rPr>
        <w:t>4.1 Primary Data</w:t>
      </w:r>
    </w:p>
    <w:tbl>
      <w:tblPr>
        <w:tblStyle w:val="TableGrid"/>
        <w:tblW w:type="dxa" w:w="9360"/>
        <w:tblLook w:firstColumn="1" w:firstRow="1" w:lastColumn="0" w:lastRow="0" w:noHBand="0" w:noVBand="1" w:val="04A0"/>
        <w:tblLayout w:type="autofit"/>
      </w:tblPr>
      <w:tblGrid>
        <w:gridCol w:w="4680"/>
        <w:gridCol w:w="4680"/>
      </w:tblGrid>
      <w:tr>
        <w:tc>
          <w:tcPr>
            <w:tcW w:type="dxa" w:w="4680"/>
            <w:vAlign w:val="top"/>
            <w:shd w:fill="D9D9D9" w:val="clear"/>
          </w:tcPr>
          <w:p>
            <w:pPr>
              <w:spacing w:after="0"/>
              <w:jc w:val="left"/>
            </w:pPr>
            <w:r>
              <w:rPr>
                <w:rFonts w:ascii="Times New Roman" w:hAnsi="Times New Roman" w:cs="Times New Roman"/>
                <w:b/>
                <w:sz w:val="20"/>
                <w:szCs w:val="24"/>
              </w:rPr>
              <w:t>Element</w:t>
            </w:r>
          </w:p>
        </w:tc>
        <w:tc>
          <w:tcPr>
            <w:tcW w:type="dxa" w:w="4680"/>
            <w:vAlign w:val="top"/>
            <w:shd w:fill="D9D9D9" w:val="clear"/>
          </w:tcPr>
          <w:p>
            <w:pPr>
              <w:spacing w:after="0"/>
              <w:jc w:val="left"/>
            </w:pPr>
            <w:r>
              <w:rPr>
                <w:rFonts w:ascii="Times New Roman" w:hAnsi="Times New Roman" w:cs="Times New Roman"/>
                <w:b/>
                <w:sz w:val="20"/>
                <w:szCs w:val="24"/>
              </w:rPr>
              <w:t>Detail</w:t>
            </w:r>
          </w:p>
        </w:tc>
      </w:tr>
      <w:tr>
        <w:tc>
          <w:tcPr>
            <w:tcW w:type="dxa" w:w="4680"/>
            <w:vAlign w:val="top"/>
          </w:tcPr>
          <w:p>
            <w:pPr>
              <w:spacing w:after="0"/>
              <w:jc w:val="left"/>
            </w:pPr>
            <w:r>
              <w:rPr>
                <w:rFonts w:ascii="Times New Roman" w:hAnsi="Times New Roman" w:cs="Times New Roman"/>
                <w:sz w:val="20"/>
                <w:szCs w:val="24"/>
              </w:rPr>
              <w:t>Instruments</w:t>
            </w:r>
          </w:p>
        </w:tc>
        <w:tc>
          <w:tcPr>
            <w:tcW w:type="dxa" w:w="4680"/>
            <w:vAlign w:val="top"/>
          </w:tcPr>
          <w:p>
            <w:pPr>
              <w:spacing w:after="0"/>
              <w:jc w:val="left"/>
            </w:pPr>
            <w:r>
              <w:rPr>
                <w:rFonts w:ascii="Times New Roman" w:hAnsi="Times New Roman" w:cs="Times New Roman"/>
                <w:sz w:val="20"/>
                <w:szCs w:val="24"/>
              </w:rPr>
              <w:t>Written semi-structured interview (online form) and structured Likert questionnaire (online form)</w:t>
            </w:r>
          </w:p>
        </w:tc>
      </w:tr>
      <w:tr>
        <w:tc>
          <w:tcPr>
            <w:tcW w:type="dxa" w:w="4680"/>
            <w:vAlign w:val="top"/>
          </w:tcPr>
          <w:p>
            <w:pPr>
              <w:spacing w:after="0"/>
              <w:jc w:val="left"/>
            </w:pPr>
            <w:r>
              <w:rPr>
                <w:rFonts w:ascii="Times New Roman" w:hAnsi="Times New Roman" w:cs="Times New Roman"/>
                <w:sz w:val="20"/>
                <w:szCs w:val="24"/>
              </w:rPr>
              <w:t>Collection period</w:t>
            </w:r>
          </w:p>
        </w:tc>
        <w:tc>
          <w:tcPr>
            <w:tcW w:type="dxa" w:w="4680"/>
            <w:vAlign w:val="top"/>
          </w:tcPr>
          <w:p>
            <w:pPr>
              <w:spacing w:after="0"/>
              <w:jc w:val="left"/>
            </w:pPr>
            <w:r>
              <w:rPr>
                <w:rFonts w:ascii="Times New Roman" w:hAnsi="Times New Roman" w:cs="Times New Roman"/>
                <w:sz w:val="20"/>
                <w:szCs w:val="24"/>
              </w:rPr>
              <w:t>September 2026</w:t>
            </w:r>
          </w:p>
        </w:tc>
      </w:tr>
      <w:tr>
        <w:tc>
          <w:tcPr>
            <w:tcW w:type="dxa" w:w="4680"/>
            <w:vAlign w:val="top"/>
          </w:tcPr>
          <w:p>
            <w:pPr>
              <w:spacing w:after="0"/>
              <w:jc w:val="left"/>
            </w:pPr>
            <w:r>
              <w:rPr>
                <w:rFonts w:ascii="Times New Roman" w:hAnsi="Times New Roman" w:cs="Times New Roman"/>
                <w:sz w:val="20"/>
                <w:szCs w:val="24"/>
              </w:rPr>
              <w:t>Consent</w:t>
            </w:r>
          </w:p>
        </w:tc>
        <w:tc>
          <w:tcPr>
            <w:tcW w:type="dxa" w:w="4680"/>
            <w:vAlign w:val="top"/>
          </w:tcPr>
          <w:p>
            <w:pPr>
              <w:spacing w:after="0"/>
              <w:jc w:val="left"/>
            </w:pPr>
            <w:r>
              <w:rPr>
                <w:rFonts w:ascii="Times New Roman" w:hAnsi="Times New Roman" w:cs="Times New Roman"/>
                <w:sz w:val="20"/>
                <w:szCs w:val="24"/>
              </w:rPr>
              <w:t>Explicit consent to use anonymised responses obtained from every respondent</w:t>
            </w:r>
          </w:p>
        </w:tc>
      </w:tr>
      <w:tr>
        <w:tc>
          <w:tcPr>
            <w:tcW w:type="dxa" w:w="4680"/>
            <w:vAlign w:val="top"/>
          </w:tcPr>
          <w:p>
            <w:pPr>
              <w:spacing w:after="0"/>
              <w:jc w:val="left"/>
            </w:pPr>
            <w:r>
              <w:rPr>
                <w:rFonts w:ascii="Times New Roman" w:hAnsi="Times New Roman" w:cs="Times New Roman"/>
                <w:sz w:val="20"/>
                <w:szCs w:val="24"/>
              </w:rPr>
              <w:t>Respondent profile - interviews</w:t>
            </w:r>
          </w:p>
        </w:tc>
        <w:tc>
          <w:tcPr>
            <w:tcW w:type="dxa" w:w="4680"/>
            <w:vAlign w:val="top"/>
          </w:tcPr>
          <w:p>
            <w:pPr>
              <w:spacing w:after="0"/>
              <w:jc w:val="left"/>
            </w:pPr>
            <w:r>
              <w:rPr>
                <w:rFonts w:ascii="Times New Roman" w:hAnsi="Times New Roman" w:cs="Times New Roman"/>
                <w:sz w:val="20"/>
                <w:szCs w:val="24"/>
              </w:rPr>
              <w:t>Enterprise data architecture and enterprise architecture supporting GRC service lines, technology professionals working on operational resilience, and senior consulting leadership; UK and dual UK/EU responsibilities</w:t>
            </w:r>
          </w:p>
        </w:tc>
      </w:tr>
      <w:tr>
        <w:tc>
          <w:tcPr>
            <w:tcW w:type="dxa" w:w="4680"/>
            <w:vAlign w:val="top"/>
          </w:tcPr>
          <w:p>
            <w:pPr>
              <w:spacing w:after="0"/>
              <w:jc w:val="left"/>
            </w:pPr>
            <w:r>
              <w:rPr>
                <w:rFonts w:ascii="Times New Roman" w:hAnsi="Times New Roman" w:cs="Times New Roman"/>
                <w:sz w:val="20"/>
                <w:szCs w:val="24"/>
              </w:rPr>
              <w:t>Respondent profile - questionnaire</w:t>
            </w:r>
          </w:p>
        </w:tc>
        <w:tc>
          <w:tcPr>
            <w:tcW w:type="dxa" w:w="4680"/>
            <w:vAlign w:val="top"/>
          </w:tcPr>
          <w:p>
            <w:pPr>
              <w:spacing w:after="0"/>
              <w:jc w:val="left"/>
            </w:pPr>
            <w:r>
              <w:rPr>
                <w:rFonts w:ascii="Times New Roman" w:hAnsi="Times New Roman" w:cs="Times New Roman"/>
                <w:sz w:val="20"/>
                <w:szCs w:val="24"/>
              </w:rPr>
              <w:t>Internal audit, risk and GRC technology; analyst, manager and senior manager levels; UK, EU and dual jurisdictions; all within banking service providers / global capability centres</w:t>
            </w:r>
          </w:p>
        </w:tc>
      </w:tr>
      <w:tr>
        <w:tc>
          <w:tcPr>
            <w:tcW w:type="dxa" w:w="4680"/>
            <w:vAlign w:val="top"/>
          </w:tcPr>
          <w:p>
            <w:pPr>
              <w:spacing w:after="0"/>
              <w:jc w:val="left"/>
            </w:pPr>
            <w:r>
              <w:rPr>
                <w:rFonts w:ascii="Times New Roman" w:hAnsi="Times New Roman" w:cs="Times New Roman"/>
                <w:sz w:val="20"/>
                <w:szCs w:val="24"/>
              </w:rPr>
              <w:t>AI maturity reported</w:t>
            </w:r>
          </w:p>
        </w:tc>
        <w:tc>
          <w:tcPr>
            <w:tcW w:type="dxa" w:w="4680"/>
            <w:vAlign w:val="top"/>
          </w:tcPr>
          <w:p>
            <w:pPr>
              <w:spacing w:after="0"/>
              <w:jc w:val="left"/>
            </w:pPr>
            <w:r>
              <w:rPr>
                <w:rFonts w:ascii="Times New Roman" w:hAnsi="Times New Roman" w:cs="Times New Roman"/>
                <w:sz w:val="20"/>
                <w:szCs w:val="24"/>
              </w:rPr>
              <w:t>From no AI use (with established automation), through pilots only, to AI used in some processes; no respondent reported extensive use</w:t>
            </w:r>
          </w:p>
        </w:tc>
      </w:tr>
      <w:tr>
        <w:tc>
          <w:tcPr>
            <w:tcW w:type="dxa" w:w="4680"/>
            <w:vAlign w:val="top"/>
          </w:tcPr>
          <w:p>
            <w:pPr>
              <w:spacing w:after="0"/>
              <w:jc w:val="left"/>
            </w:pPr>
            <w:r>
              <w:rPr>
                <w:rFonts w:ascii="Times New Roman" w:hAnsi="Times New Roman" w:cs="Times New Roman"/>
                <w:sz w:val="20"/>
                <w:szCs w:val="24"/>
              </w:rPr>
              <w:t>Data file</w:t>
            </w:r>
          </w:p>
        </w:tc>
        <w:tc>
          <w:tcPr>
            <w:tcW w:type="dxa" w:w="4680"/>
            <w:vAlign w:val="top"/>
          </w:tcPr>
          <w:p>
            <w:pPr>
              <w:spacing w:after="0"/>
              <w:jc w:val="left"/>
            </w:pPr>
            <w:r>
              <w:rPr>
                <w:rFonts w:ascii="Times New Roman" w:hAnsi="Times New Roman" w:cs="Times New Roman"/>
                <w:sz w:val="20"/>
                <w:szCs w:val="24"/>
              </w:rPr>
              <w:t>Two response workbooks (interview responses; questionnaire responses), exported from the online forms and available as soft copies for review and viva voce</w:t>
            </w:r>
          </w:p>
        </w:tc>
      </w:tr>
    </w:tbl>
    <w:p>
      <w:pPr>
        <w:jc w:val="left"/>
        <w:rPr>
          <w:rFonts w:ascii="Times New Roman" w:hAnsi="Times New Roman" w:cs="Times New Roman"/>
          <w:sz w:val="24"/>
          <w:szCs w:val="24"/>
        </w:rPr>
      </w:pPr>
      <w:r>
        <w:rPr>
          <w:rFonts w:ascii="Times New Roman" w:hAnsi="Times New Roman" w:cs="Times New Roman"/>
          <w:b/>
          <w:sz w:val="24"/>
          <w:szCs w:val="24"/>
        </w:rPr>
        <w:t>4.2 Secondary Data</w:t>
      </w:r>
    </w:p>
    <w:tbl>
      <w:tblPr>
        <w:tblStyle w:val="TableGrid"/>
        <w:tblW w:type="dxa" w:w="9360"/>
        <w:tblLook w:firstColumn="1" w:firstRow="1" w:lastColumn="0" w:lastRow="0" w:noHBand="0" w:noVBand="1" w:val="04A0"/>
        <w:tblLayout w:type="autofit"/>
      </w:tblPr>
      <w:tblGrid>
        <w:gridCol w:w="4680"/>
        <w:gridCol w:w="4680"/>
      </w:tblGrid>
      <w:tr>
        <w:tc>
          <w:tcPr>
            <w:tcW w:type="dxa" w:w="4680"/>
            <w:vAlign w:val="top"/>
            <w:shd w:fill="D9D9D9" w:val="clear"/>
          </w:tcPr>
          <w:p>
            <w:pPr>
              <w:spacing w:after="0"/>
              <w:jc w:val="left"/>
            </w:pPr>
            <w:r>
              <w:rPr>
                <w:rFonts w:ascii="Times New Roman" w:hAnsi="Times New Roman" w:cs="Times New Roman"/>
                <w:b/>
                <w:sz w:val="20"/>
                <w:szCs w:val="24"/>
              </w:rPr>
              <w:t>Source category</w:t>
            </w:r>
          </w:p>
        </w:tc>
        <w:tc>
          <w:tcPr>
            <w:tcW w:type="dxa" w:w="4680"/>
            <w:vAlign w:val="top"/>
            <w:shd w:fill="D9D9D9" w:val="clear"/>
          </w:tcPr>
          <w:p>
            <w:pPr>
              <w:spacing w:after="0"/>
              <w:jc w:val="left"/>
            </w:pPr>
            <w:r>
              <w:rPr>
                <w:rFonts w:ascii="Times New Roman" w:hAnsi="Times New Roman" w:cs="Times New Roman"/>
                <w:b/>
                <w:sz w:val="20"/>
                <w:szCs w:val="24"/>
              </w:rPr>
              <w:t>Sources collected</w:t>
            </w:r>
          </w:p>
        </w:tc>
      </w:tr>
      <w:tr>
        <w:tc>
          <w:tcPr>
            <w:tcW w:type="dxa" w:w="4680"/>
            <w:vAlign w:val="top"/>
          </w:tcPr>
          <w:p>
            <w:pPr>
              <w:spacing w:after="0"/>
              <w:jc w:val="left"/>
            </w:pPr>
            <w:r>
              <w:rPr>
                <w:rFonts w:ascii="Times New Roman" w:hAnsi="Times New Roman" w:cs="Times New Roman"/>
                <w:sz w:val="20"/>
                <w:szCs w:val="24"/>
              </w:rPr>
              <w:t>UK regulation and supervision</w:t>
            </w:r>
          </w:p>
        </w:tc>
        <w:tc>
          <w:tcPr>
            <w:tcW w:type="dxa" w:w="4680"/>
            <w:vAlign w:val="top"/>
          </w:tcPr>
          <w:p>
            <w:pPr>
              <w:spacing w:after="0"/>
              <w:jc w:val="left"/>
            </w:pPr>
            <w:r>
              <w:rPr>
                <w:rFonts w:ascii="Times New Roman" w:hAnsi="Times New Roman" w:cs="Times New Roman"/>
                <w:sz w:val="20"/>
                <w:szCs w:val="24"/>
              </w:rPr>
              <w:t xml:space="preserve">Bank of England &amp; FCA, </w:t>
            </w:r>
            <w:r>
              <w:rPr>
                <w:rFonts w:ascii="Times New Roman" w:hAnsi="Times New Roman" w:cs="Times New Roman"/>
                <w:i/>
                <w:sz w:val="20"/>
                <w:szCs w:val="24"/>
              </w:rPr>
              <w:t>Artificial intelligence in UK financial services - 2024</w:t>
            </w:r>
            <w:r>
              <w:rPr>
                <w:rFonts w:ascii="Times New Roman" w:hAnsi="Times New Roman" w:cs="Times New Roman"/>
                <w:sz w:val="20"/>
                <w:szCs w:val="24"/>
              </w:rPr>
              <w:t xml:space="preserve">; PRA SS1/23 </w:t>
            </w:r>
            <w:r>
              <w:rPr>
                <w:rFonts w:ascii="Times New Roman" w:hAnsi="Times New Roman" w:cs="Times New Roman"/>
                <w:i/>
                <w:sz w:val="20"/>
                <w:szCs w:val="24"/>
              </w:rPr>
              <w:t>Model risk management principles for banks</w:t>
            </w:r>
            <w:r>
              <w:rPr>
                <w:rFonts w:ascii="Times New Roman" w:hAnsi="Times New Roman" w:cs="Times New Roman"/>
                <w:sz w:val="20"/>
                <w:szCs w:val="24"/>
              </w:rPr>
              <w:t xml:space="preserve">; FCA </w:t>
            </w:r>
            <w:r>
              <w:rPr>
                <w:rFonts w:ascii="Times New Roman" w:hAnsi="Times New Roman" w:cs="Times New Roman"/>
                <w:i/>
                <w:sz w:val="20"/>
                <w:szCs w:val="24"/>
              </w:rPr>
              <w:t>AI Update</w:t>
            </w:r>
            <w:r>
              <w:rPr>
                <w:rFonts w:ascii="Times New Roman" w:hAnsi="Times New Roman" w:cs="Times New Roman"/>
                <w:sz w:val="20"/>
                <w:szCs w:val="24"/>
              </w:rPr>
              <w:t xml:space="preserve"> and SM&amp;CR material; FCA Consumer Duty</w:t>
            </w:r>
          </w:p>
        </w:tc>
      </w:tr>
      <w:tr>
        <w:tc>
          <w:tcPr>
            <w:tcW w:type="dxa" w:w="4680"/>
            <w:vAlign w:val="top"/>
          </w:tcPr>
          <w:p>
            <w:pPr>
              <w:spacing w:after="0"/>
              <w:jc w:val="left"/>
            </w:pPr>
            <w:r>
              <w:rPr>
                <w:rFonts w:ascii="Times New Roman" w:hAnsi="Times New Roman" w:cs="Times New Roman"/>
                <w:sz w:val="20"/>
                <w:szCs w:val="24"/>
              </w:rPr>
              <w:t>EU regulation and supervision</w:t>
            </w:r>
          </w:p>
        </w:tc>
        <w:tc>
          <w:tcPr>
            <w:tcW w:type="dxa" w:w="4680"/>
            <w:vAlign w:val="top"/>
          </w:tcPr>
          <w:p>
            <w:pPr>
              <w:spacing w:after="0"/>
              <w:jc w:val="left"/>
            </w:pPr>
            <w:r>
              <w:rPr>
                <w:rFonts w:ascii="Times New Roman" w:hAnsi="Times New Roman" w:cs="Times New Roman"/>
                <w:sz w:val="20"/>
                <w:szCs w:val="24"/>
              </w:rPr>
              <w:t xml:space="preserve">Regulation (EU) 2022/2554 (DORA); Regulation (EU) 2024/1689 (EU AI Act) and its amendment by the Digital Omnibus on AI (2026); EU AML Regulation and AMLA Regulation (2024); ECB Banking Supervision </w:t>
            </w:r>
            <w:r>
              <w:rPr>
                <w:rFonts w:ascii="Times New Roman" w:hAnsi="Times New Roman" w:cs="Times New Roman"/>
                <w:i/>
                <w:sz w:val="20"/>
                <w:szCs w:val="24"/>
              </w:rPr>
              <w:t>Supervisory priorities 2026-28</w:t>
            </w:r>
          </w:p>
        </w:tc>
      </w:tr>
      <w:tr>
        <w:tc>
          <w:tcPr>
            <w:tcW w:type="dxa" w:w="4680"/>
            <w:vAlign w:val="top"/>
          </w:tcPr>
          <w:p>
            <w:pPr>
              <w:spacing w:after="0"/>
              <w:jc w:val="left"/>
            </w:pPr>
            <w:r>
              <w:rPr>
                <w:rFonts w:ascii="Times New Roman" w:hAnsi="Times New Roman" w:cs="Times New Roman"/>
                <w:sz w:val="20"/>
                <w:szCs w:val="24"/>
              </w:rPr>
              <w:t>Labour market</w:t>
            </w:r>
          </w:p>
        </w:tc>
        <w:tc>
          <w:tcPr>
            <w:tcW w:type="dxa" w:w="4680"/>
            <w:vAlign w:val="top"/>
          </w:tcPr>
          <w:p>
            <w:pPr>
              <w:spacing w:after="0"/>
              <w:jc w:val="left"/>
            </w:pPr>
            <w:r>
              <w:rPr>
                <w:rFonts w:ascii="Times New Roman" w:hAnsi="Times New Roman" w:cs="Times New Roman"/>
                <w:sz w:val="20"/>
                <w:szCs w:val="24"/>
              </w:rPr>
              <w:t xml:space="preserve">Public job postings and role profiles for GRC, compliance, financial crime, model risk and AI governance roles; Global Skill Development Council, </w:t>
            </w:r>
            <w:r>
              <w:rPr>
                <w:rFonts w:ascii="Times New Roman" w:hAnsi="Times New Roman" w:cs="Times New Roman"/>
                <w:i/>
                <w:sz w:val="20"/>
                <w:szCs w:val="24"/>
              </w:rPr>
              <w:t>AI Risk &amp; Compliance Jobs Report 2026</w:t>
            </w:r>
            <w:r>
              <w:rPr>
                <w:rFonts w:ascii="Times New Roman" w:hAnsi="Times New Roman" w:cs="Times New Roman"/>
                <w:sz w:val="20"/>
                <w:szCs w:val="24"/>
              </w:rPr>
              <w:t>; executive search market commentary</w:t>
            </w:r>
          </w:p>
        </w:tc>
      </w:tr>
      <w:tr>
        <w:tc>
          <w:tcPr>
            <w:tcW w:type="dxa" w:w="4680"/>
            <w:vAlign w:val="top"/>
          </w:tcPr>
          <w:p>
            <w:pPr>
              <w:spacing w:after="0"/>
              <w:jc w:val="left"/>
            </w:pPr>
            <w:r>
              <w:rPr>
                <w:rFonts w:ascii="Times New Roman" w:hAnsi="Times New Roman" w:cs="Times New Roman"/>
                <w:sz w:val="20"/>
                <w:szCs w:val="24"/>
              </w:rPr>
              <w:t>Industry and professional research</w:t>
            </w:r>
          </w:p>
        </w:tc>
        <w:tc>
          <w:tcPr>
            <w:tcW w:type="dxa" w:w="4680"/>
            <w:vAlign w:val="top"/>
          </w:tcPr>
          <w:p>
            <w:pPr>
              <w:spacing w:after="0"/>
              <w:jc w:val="left"/>
            </w:pPr>
            <w:r>
              <w:rPr>
                <w:rFonts w:ascii="Times New Roman" w:hAnsi="Times New Roman" w:cs="Times New Roman"/>
                <w:sz w:val="20"/>
                <w:szCs w:val="24"/>
              </w:rPr>
              <w:t xml:space="preserve">Thomson Reuters, </w:t>
            </w:r>
            <w:r>
              <w:rPr>
                <w:rFonts w:ascii="Times New Roman" w:hAnsi="Times New Roman" w:cs="Times New Roman"/>
                <w:i/>
                <w:sz w:val="20"/>
                <w:szCs w:val="24"/>
              </w:rPr>
              <w:t>Future of Professionals Report 2025</w:t>
            </w:r>
            <w:r>
              <w:rPr>
                <w:rFonts w:ascii="Times New Roman" w:hAnsi="Times New Roman" w:cs="Times New Roman"/>
                <w:sz w:val="20"/>
                <w:szCs w:val="24"/>
              </w:rPr>
              <w:t xml:space="preserve">; Internal Audit Foundation / IIA, </w:t>
            </w:r>
            <w:r>
              <w:rPr>
                <w:rFonts w:ascii="Times New Roman" w:hAnsi="Times New Roman" w:cs="Times New Roman"/>
                <w:i/>
                <w:sz w:val="20"/>
                <w:szCs w:val="24"/>
              </w:rPr>
              <w:t>Internal Audit: Vision 2035</w:t>
            </w:r>
            <w:r>
              <w:rPr>
                <w:rFonts w:ascii="Times New Roman" w:hAnsi="Times New Roman" w:cs="Times New Roman"/>
                <w:sz w:val="20"/>
                <w:szCs w:val="24"/>
              </w:rPr>
              <w:t>; technology-provider analyses of agentic AI in KYC/AML</w:t>
            </w:r>
          </w:p>
        </w:tc>
      </w:tr>
      <w:tr>
        <w:tc>
          <w:tcPr>
            <w:tcW w:type="dxa" w:w="4680"/>
            <w:vAlign w:val="top"/>
          </w:tcPr>
          <w:p>
            <w:pPr>
              <w:spacing w:after="0"/>
              <w:jc w:val="left"/>
            </w:pPr>
            <w:r>
              <w:rPr>
                <w:rFonts w:ascii="Times New Roman" w:hAnsi="Times New Roman" w:cs="Times New Roman"/>
                <w:sz w:val="20"/>
                <w:szCs w:val="24"/>
              </w:rPr>
              <w:t>Bank disclosures</w:t>
            </w:r>
          </w:p>
        </w:tc>
        <w:tc>
          <w:tcPr>
            <w:tcW w:type="dxa" w:w="4680"/>
            <w:vAlign w:val="top"/>
          </w:tcPr>
          <w:p>
            <w:pPr>
              <w:spacing w:after="0"/>
              <w:jc w:val="left"/>
            </w:pPr>
            <w:r>
              <w:rPr>
                <w:rFonts w:ascii="Times New Roman" w:hAnsi="Times New Roman" w:cs="Times New Roman"/>
                <w:sz w:val="20"/>
                <w:szCs w:val="24"/>
              </w:rPr>
              <w:t>Annual, Pillar 3 and operational-resilience disclosures of a purposively selected set of large UK and EU banks, analysed in anonymised form [see Work to be Done]</w:t>
            </w:r>
          </w:p>
        </w:tc>
      </w:tr>
    </w:tbl>
    <w:p w:rsidR="00FB30CE" w:rsidRPr="00613F12" w:rsidRDefault="00853F2A" w:rsidP="00613F12">
      <w:pPr>
        <w:jc w:val="both"/>
        <w:rPr>
          <w:rFonts w:ascii="Times New Roman" w:hAnsi="Times New Roman" w:cs="Times New Roman"/>
          <w:sz w:val="24"/>
          <w:szCs w:val="24"/>
        </w:rPr>
      </w:pPr>
      <w:r w:rsidRPr="00613F12">
        <w:rPr>
          <w:rFonts w:ascii="Times New Roman" w:hAnsi="Times New Roman" w:cs="Times New Roman"/>
          <w:b/>
          <w:sz w:val="24"/>
          <w:szCs w:val="24"/>
        </w:rPr>
        <w:t xml:space="preserve"> </w:t>
      </w:r>
      <w:r w:rsidR="00613F12" w:rsidRPr="00613F12">
        <w:rPr>
          <w:rFonts w:ascii="Times New Roman" w:hAnsi="Times New Roman" w:cs="Times New Roman"/>
          <w:b/>
          <w:sz w:val="24"/>
          <w:szCs w:val="24"/>
        </w:rPr>
        <w:t>5</w:t>
      </w:r>
      <w:r w:rsidRPr="00613F12">
        <w:rPr>
          <w:rFonts w:ascii="Times New Roman" w:hAnsi="Times New Roman" w:cs="Times New Roman"/>
          <w:b/>
          <w:sz w:val="24"/>
          <w:szCs w:val="24"/>
        </w:rPr>
        <w:t xml:space="preserve"> </w:t>
      </w:r>
      <w:r w:rsidR="00613F12" w:rsidRPr="00613F12">
        <w:rPr>
          <w:rFonts w:ascii="Times New Roman" w:hAnsi="Times New Roman" w:cs="Times New Roman"/>
          <w:b/>
          <w:sz w:val="24"/>
          <w:szCs w:val="24"/>
        </w:rPr>
        <w:t>DATA ANALYSIS</w:t>
      </w:r>
      <w:r w:rsidR="00613F12" w:rsidRPr="00613F12">
        <w:rPr>
          <w:rFonts w:ascii="Times New Roman" w:hAnsi="Times New Roman" w:cs="Times New Roman"/>
          <w:sz w:val="24"/>
          <w:szCs w:val="24"/>
        </w:rPr>
        <w:t xml:space="preserve"> </w:t>
      </w:r>
      <w:r w:rsidR="00613F12">
        <w:rPr>
          <w:rFonts w:ascii="Times New Roman" w:hAnsi="Times New Roman" w:cs="Times New Roman"/>
          <w:sz w:val="24"/>
          <w:szCs w:val="24"/>
        </w:rPr>
        <w:t>(</w:t>
      </w:r>
      <w:r w:rsidR="00613F12" w:rsidRPr="00613F12">
        <w:rPr>
          <w:rFonts w:ascii="Times New Roman" w:hAnsi="Times New Roman" w:cs="Times New Roman"/>
          <w:sz w:val="24"/>
          <w:szCs w:val="24"/>
        </w:rPr>
        <w:t>Calculations showing the results obtained out of the study using statistical tests and inferences derived must be elaborated. The results obtained must provide answers to the stated objectives. All calculations must be based on the data file as in the previous section. Hypotheses must be tested using appropriate tools in addition to simple percentage analysis (which is only descriptive of the sample). The data analysis must be com</w:t>
      </w:r>
      <w:r w:rsidR="00613F12">
        <w:rPr>
          <w:rFonts w:ascii="Times New Roman" w:hAnsi="Times New Roman" w:cs="Times New Roman"/>
          <w:sz w:val="24"/>
          <w:szCs w:val="24"/>
        </w:rPr>
        <w:t>pleted before the second review)</w:t>
      </w:r>
    </w:p>
    <w:p>
      <w:pPr>
        <w:jc w:val="left"/>
        <w:rPr>
          <w:rFonts w:ascii="Times New Roman" w:hAnsi="Times New Roman" w:cs="Times New Roman"/>
          <w:sz w:val="24"/>
          <w:szCs w:val="24"/>
        </w:rPr>
      </w:pPr>
      <w:r>
        <w:rPr>
          <w:rFonts w:ascii="Times New Roman" w:hAnsi="Times New Roman" w:cs="Times New Roman"/>
          <w:b/>
          <w:sz w:val="24"/>
          <w:szCs w:val="24"/>
        </w:rPr>
        <w:t>5.1 Analysis of Interview Data (Thematic Analysis)</w:t>
      </w:r>
    </w:p>
    <w:p>
      <w:pPr>
        <w:jc w:val="both"/>
        <w:rPr>
          <w:rFonts w:ascii="Times New Roman" w:hAnsi="Times New Roman" w:cs="Times New Roman"/>
          <w:sz w:val="24"/>
          <w:szCs w:val="24"/>
        </w:rPr>
      </w:pPr>
      <w:r>
        <w:rPr>
          <w:rFonts w:ascii="Times New Roman" w:hAnsi="Times New Roman" w:cs="Times New Roman"/>
          <w:sz w:val="24"/>
          <w:szCs w:val="24"/>
        </w:rPr>
        <w:t>Open coding of the written interviews produced ten themes, grouped below by objective.</w:t>
      </w:r>
    </w:p>
    <w:p>
      <w:pPr>
        <w:jc w:val="both"/>
        <w:rPr>
          <w:rFonts w:ascii="Times New Roman" w:hAnsi="Times New Roman" w:cs="Times New Roman"/>
          <w:sz w:val="24"/>
          <w:szCs w:val="24"/>
        </w:rPr>
      </w:pPr>
      <w:r>
        <w:rPr>
          <w:rFonts w:ascii="Times New Roman" w:hAnsi="Times New Roman" w:cs="Times New Roman"/>
          <w:b/>
          <w:sz w:val="24"/>
          <w:szCs w:val="24"/>
        </w:rPr>
        <w:t>Objective (i) - Activities automated or augmented, and role demand</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Theme</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Illustrative evidence (verbatim)</w:t>
            </w:r>
          </w:p>
        </w:tc>
      </w:tr>
      <w:tr>
        <w:tc>
          <w:tcPr>
            <w:tcW w:type="dxa" w:w="3120"/>
            <w:vAlign w:val="top"/>
          </w:tcPr>
          <w:p>
            <w:pPr>
              <w:spacing w:after="0"/>
              <w:jc w:val="left"/>
            </w:pPr>
            <w:r>
              <w:rPr>
                <w:rFonts w:ascii="Times New Roman" w:hAnsi="Times New Roman" w:cs="Times New Roman"/>
                <w:sz w:val="20"/>
                <w:szCs w:val="24"/>
              </w:rPr>
              <w:t>T1. Automation precedes AI; a wide pilot-to-production gap</w:t>
            </w:r>
          </w:p>
        </w:tc>
        <w:tc>
          <w:tcPr>
            <w:tcW w:type="dxa" w:w="3120"/>
            <w:vAlign w:val="top"/>
          </w:tcPr>
          <w:p>
            <w:pPr>
              <w:spacing w:after="0"/>
              <w:jc w:val="left"/>
            </w:pPr>
            <w:r>
              <w:rPr>
                <w:rFonts w:ascii="Times New Roman" w:hAnsi="Times New Roman" w:cs="Times New Roman"/>
                <w:sz w:val="20"/>
                <w:szCs w:val="24"/>
              </w:rPr>
              <w:t>Rules-based automation of regulatory monitoring and reporting, governance workflows, control-testing support and data aggregation is established. AI (document analysis, regulatory change assessment, enhanced risk scoring, compliance monitoring) is largely at pilot stage. Production AI uses are specific: reconciliation and documentation of complex process flows; identifying vulnerabilities and developing test scenarios for operational resilience.</w:t>
            </w:r>
          </w:p>
        </w:tc>
        <w:tc>
          <w:tcPr>
            <w:tcW w:type="dxa" w:w="3120"/>
            <w:vAlign w:val="top"/>
          </w:tcPr>
          <w:p>
            <w:pPr>
              <w:spacing w:after="0"/>
              <w:jc w:val="left"/>
            </w:pPr>
            <w:r>
              <w:rPr>
                <w:rFonts w:ascii="Times New Roman" w:hAnsi="Times New Roman" w:cs="Times New Roman"/>
                <w:sz w:val="20"/>
                <w:szCs w:val="24"/>
              </w:rPr>
              <w:t>"I don't actually see it working in my experience. I have only ever seen pilot."</w:t>
            </w:r>
          </w:p>
        </w:tc>
      </w:tr>
      <w:tr>
        <w:tc>
          <w:tcPr>
            <w:tcW w:type="dxa" w:w="3120"/>
            <w:vAlign w:val="top"/>
          </w:tcPr>
          <w:p>
            <w:pPr>
              <w:spacing w:after="0"/>
              <w:jc w:val="left"/>
            </w:pPr>
            <w:r>
              <w:rPr>
                <w:rFonts w:ascii="Times New Roman" w:hAnsi="Times New Roman" w:cs="Times New Roman"/>
                <w:sz w:val="20"/>
                <w:szCs w:val="24"/>
              </w:rPr>
              <w:t>T2. Routine work is absorbed; judgement work resists</w:t>
            </w:r>
          </w:p>
        </w:tc>
        <w:tc>
          <w:tcPr>
            <w:tcW w:type="dxa" w:w="3120"/>
            <w:vAlign w:val="top"/>
          </w:tcPr>
          <w:p>
            <w:pPr>
              <w:spacing w:after="0"/>
              <w:jc w:val="left"/>
            </w:pPr>
            <w:r>
              <w:rPr>
                <w:rFonts w:ascii="Times New Roman" w:hAnsi="Times New Roman" w:cs="Times New Roman"/>
                <w:sz w:val="20"/>
                <w:szCs w:val="24"/>
              </w:rPr>
              <w:t>Most affected: data collection and consolidation for compliance reporting, control monitoring, regulatory reporting workflows, MI and dashboards, data mapping and design diagrams. Resistant: challenging risk decisions, control design, agreeing remediation, assurance to senior stakeholders and regulators, operations-specific knowledge of complex flows and regulation.</w:t>
            </w:r>
          </w:p>
        </w:tc>
        <w:tc>
          <w:tcPr>
            <w:tcW w:type="dxa" w:w="3120"/>
            <w:vAlign w:val="top"/>
          </w:tcPr>
          <w:p>
            <w:pPr>
              <w:spacing w:after="0"/>
              <w:jc w:val="left"/>
            </w:pPr>
            <w:r>
              <w:rPr>
                <w:rFonts w:ascii="Times New Roman" w:hAnsi="Times New Roman" w:cs="Times New Roman"/>
                <w:sz w:val="20"/>
                <w:szCs w:val="24"/>
              </w:rPr>
              <w:t>"Tasks with structured inputs, defined rules and repeatable processes were generally easier to automate. Activities involving ambiguity, interpretation of regulatory intent, business context, or balancing competing risks continued to rely heavily on experienced practitioners."</w:t>
            </w:r>
          </w:p>
        </w:tc>
      </w:tr>
      <w:tr>
        <w:tc>
          <w:tcPr>
            <w:tcW w:type="dxa" w:w="3120"/>
            <w:vAlign w:val="top"/>
          </w:tcPr>
          <w:p>
            <w:pPr>
              <w:spacing w:after="0"/>
              <w:jc w:val="left"/>
            </w:pPr>
            <w:r>
              <w:rPr>
                <w:rFonts w:ascii="Times New Roman" w:hAnsi="Times New Roman" w:cs="Times New Roman"/>
                <w:sz w:val="20"/>
                <w:szCs w:val="24"/>
              </w:rPr>
              <w:t>T3. Roles are recomposed; testing roles contract first</w:t>
            </w:r>
          </w:p>
        </w:tc>
        <w:tc>
          <w:tcPr>
            <w:tcW w:type="dxa" w:w="3120"/>
            <w:vAlign w:val="top"/>
          </w:tcPr>
          <w:p>
            <w:pPr>
              <w:spacing w:after="0"/>
              <w:jc w:val="left"/>
            </w:pPr>
            <w:r>
              <w:rPr>
                <w:rFonts w:ascii="Times New Roman" w:hAnsi="Times New Roman" w:cs="Times New Roman"/>
                <w:sz w:val="20"/>
                <w:szCs w:val="24"/>
              </w:rPr>
              <w:t>Material time savings in data analysis, source-file comparison, cross-format reconciliation, requirements interviewing, design and architecture diagramming. Freed capacity is redirected to review and higher-order design.</w:t>
            </w:r>
          </w:p>
        </w:tc>
        <w:tc>
          <w:tcPr>
            <w:tcW w:type="dxa" w:w="3120"/>
            <w:vAlign w:val="top"/>
          </w:tcPr>
          <w:p>
            <w:pPr>
              <w:spacing w:after="0"/>
              <w:jc w:val="left"/>
            </w:pPr>
            <w:r>
              <w:rPr>
                <w:rFonts w:ascii="Times New Roman" w:hAnsi="Times New Roman" w:cs="Times New Roman"/>
                <w:sz w:val="20"/>
                <w:szCs w:val="24"/>
              </w:rPr>
              <w:t>"GRC Testing Roles have disappeared."</w:t>
            </w:r>
          </w:p>
        </w:tc>
      </w:tr>
    </w:tbl>
    <w:p>
      <w:pPr>
        <w:jc w:val="both"/>
        <w:rPr>
          <w:rFonts w:ascii="Times New Roman" w:hAnsi="Times New Roman" w:cs="Times New Roman"/>
          <w:sz w:val="24"/>
          <w:szCs w:val="24"/>
        </w:rPr>
      </w:pPr>
      <w:r>
        <w:rPr>
          <w:rFonts w:ascii="Times New Roman" w:hAnsi="Times New Roman" w:cs="Times New Roman"/>
          <w:b/>
          <w:sz w:val="24"/>
          <w:szCs w:val="24"/>
        </w:rPr>
        <w:t>Objective (ii) - Regulation, human oversight and competence</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Theme</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Illustrative evidence</w:t>
            </w:r>
          </w:p>
        </w:tc>
      </w:tr>
      <w:tr>
        <w:tc>
          <w:tcPr>
            <w:tcW w:type="dxa" w:w="3120"/>
            <w:vAlign w:val="top"/>
          </w:tcPr>
          <w:p>
            <w:pPr>
              <w:spacing w:after="0"/>
              <w:jc w:val="left"/>
            </w:pPr>
            <w:r>
              <w:rPr>
                <w:rFonts w:ascii="Times New Roman" w:hAnsi="Times New Roman" w:cs="Times New Roman"/>
                <w:sz w:val="20"/>
                <w:szCs w:val="24"/>
              </w:rPr>
              <w:t>T4. Expert human review is non-negotiable</w:t>
            </w:r>
          </w:p>
        </w:tc>
        <w:tc>
          <w:tcPr>
            <w:tcW w:type="dxa" w:w="3120"/>
            <w:vAlign w:val="top"/>
          </w:tcPr>
          <w:p>
            <w:pPr>
              <w:spacing w:after="0"/>
              <w:jc w:val="left"/>
            </w:pPr>
            <w:r>
              <w:rPr>
                <w:rFonts w:ascii="Times New Roman" w:hAnsi="Times New Roman" w:cs="Times New Roman"/>
                <w:sz w:val="20"/>
                <w:szCs w:val="24"/>
              </w:rPr>
              <w:t>AI output is not reliably accurate word for word, depends on input data quality, and can hallucinate. Meaningful challenge needs business and regulatory knowledge, understanding of the data, awareness of AI failure modes and the confidence to apply judgement.</w:t>
            </w:r>
          </w:p>
        </w:tc>
        <w:tc>
          <w:tcPr>
            <w:tcW w:type="dxa" w:w="3120"/>
            <w:vAlign w:val="top"/>
          </w:tcPr>
          <w:p>
            <w:pPr>
              <w:spacing w:after="0"/>
              <w:jc w:val="left"/>
            </w:pPr>
            <w:r>
              <w:rPr>
                <w:rFonts w:ascii="Times New Roman" w:hAnsi="Times New Roman" w:cs="Times New Roman"/>
                <w:sz w:val="20"/>
                <w:szCs w:val="24"/>
              </w:rPr>
              <w:t>"AI output needs human and expert review to be used." / "Inaccurate insights and outputs can result in reputational damage and financial penalties."</w:t>
            </w:r>
          </w:p>
        </w:tc>
      </w:tr>
      <w:tr>
        <w:tc>
          <w:tcPr>
            <w:tcW w:type="dxa" w:w="3120"/>
            <w:vAlign w:val="top"/>
          </w:tcPr>
          <w:p>
            <w:pPr>
              <w:spacing w:after="0"/>
              <w:jc w:val="left"/>
            </w:pPr>
            <w:r>
              <w:rPr>
                <w:rFonts w:ascii="Times New Roman" w:hAnsi="Times New Roman" w:cs="Times New Roman"/>
                <w:sz w:val="20"/>
                <w:szCs w:val="24"/>
              </w:rPr>
              <w:t>T5. An accountability gap at the top</w:t>
            </w:r>
          </w:p>
        </w:tc>
        <w:tc>
          <w:tcPr>
            <w:tcW w:type="dxa" w:w="3120"/>
            <w:vAlign w:val="top"/>
          </w:tcPr>
          <w:p>
            <w:pPr>
              <w:spacing w:after="0"/>
              <w:jc w:val="left"/>
            </w:pPr>
            <w:r>
              <w:rPr>
                <w:rFonts w:ascii="Times New Roman" w:hAnsi="Times New Roman" w:cs="Times New Roman"/>
                <w:sz w:val="20"/>
                <w:szCs w:val="24"/>
              </w:rPr>
              <w:t>Senior executives accountable under SM&amp;CR/DORA may lack the understanding needed to challenge AI, creating automation-bias risk.</w:t>
            </w:r>
          </w:p>
        </w:tc>
        <w:tc>
          <w:tcPr>
            <w:tcW w:type="dxa" w:w="3120"/>
            <w:vAlign w:val="top"/>
          </w:tcPr>
          <w:p>
            <w:pPr>
              <w:spacing w:after="0"/>
              <w:jc w:val="left"/>
            </w:pPr>
            <w:r>
              <w:rPr>
                <w:rFonts w:ascii="Times New Roman" w:hAnsi="Times New Roman" w:cs="Times New Roman"/>
                <w:sz w:val="20"/>
                <w:szCs w:val="24"/>
              </w:rPr>
              <w:t>"C-level execs really do not understand what the AI is, and thus are likely to simply trust it."</w:t>
            </w:r>
          </w:p>
        </w:tc>
      </w:tr>
      <w:tr>
        <w:tc>
          <w:tcPr>
            <w:tcW w:type="dxa" w:w="3120"/>
            <w:vAlign w:val="top"/>
          </w:tcPr>
          <w:p>
            <w:pPr>
              <w:spacing w:after="0"/>
              <w:jc w:val="left"/>
            </w:pPr>
            <w:r>
              <w:rPr>
                <w:rFonts w:ascii="Times New Roman" w:hAnsi="Times New Roman" w:cs="Times New Roman"/>
                <w:sz w:val="20"/>
                <w:szCs w:val="24"/>
              </w:rPr>
              <w:t>T6. Regulation is felt unevenly in practice</w:t>
            </w:r>
          </w:p>
        </w:tc>
        <w:tc>
          <w:tcPr>
            <w:tcW w:type="dxa" w:w="3120"/>
            <w:vAlign w:val="top"/>
          </w:tcPr>
          <w:p>
            <w:pPr>
              <w:spacing w:after="0"/>
              <w:jc w:val="left"/>
            </w:pPr>
            <w:r>
              <w:rPr>
                <w:rFonts w:ascii="Times New Roman" w:hAnsi="Times New Roman" w:cs="Times New Roman"/>
                <w:sz w:val="20"/>
                <w:szCs w:val="24"/>
              </w:rPr>
              <w:t>Some practitioners see no practical regulatory effect yet; one judged the regulatory environment inadequate to protect; others see regulatory exposure as what sustains human validation.</w:t>
            </w:r>
          </w:p>
        </w:tc>
        <w:tc>
          <w:tcPr>
            <w:tcW w:type="dxa" w:w="3120"/>
            <w:vAlign w:val="top"/>
          </w:tcPr>
          <w:p>
            <w:pPr>
              <w:spacing w:after="0"/>
              <w:jc w:val="left"/>
            </w:pPr>
            <w:r>
              <w:rPr>
                <w:rFonts w:ascii="Times New Roman" w:hAnsi="Times New Roman" w:cs="Times New Roman"/>
                <w:sz w:val="20"/>
                <w:szCs w:val="24"/>
              </w:rPr>
              <w:t>"At the moment, the regulatory environment is woefully lacking in the ability to protect." / "None so far."</w:t>
            </w:r>
          </w:p>
        </w:tc>
      </w:tr>
    </w:tbl>
    <w:p>
      <w:pPr>
        <w:jc w:val="both"/>
        <w:rPr>
          <w:rFonts w:ascii="Times New Roman" w:hAnsi="Times New Roman" w:cs="Times New Roman"/>
          <w:sz w:val="24"/>
          <w:szCs w:val="24"/>
        </w:rPr>
      </w:pPr>
      <w:r>
        <w:rPr>
          <w:rFonts w:ascii="Times New Roman" w:hAnsi="Times New Roman" w:cs="Times New Roman"/>
          <w:b/>
          <w:sz w:val="24"/>
          <w:szCs w:val="24"/>
        </w:rPr>
        <w:t>Objective (iii) - Skill gaps and reskilling</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Theme</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Illustrative evidence</w:t>
            </w:r>
          </w:p>
        </w:tc>
      </w:tr>
      <w:tr>
        <w:tc>
          <w:tcPr>
            <w:tcW w:type="dxa" w:w="3120"/>
            <w:vAlign w:val="top"/>
          </w:tcPr>
          <w:p>
            <w:pPr>
              <w:spacing w:after="0"/>
              <w:jc w:val="left"/>
            </w:pPr>
            <w:r>
              <w:rPr>
                <w:rFonts w:ascii="Times New Roman" w:hAnsi="Times New Roman" w:cs="Times New Roman"/>
                <w:sz w:val="20"/>
                <w:szCs w:val="24"/>
              </w:rPr>
              <w:t>T7. A hybrid skill profile</w:t>
            </w:r>
          </w:p>
        </w:tc>
        <w:tc>
          <w:tcPr>
            <w:tcW w:type="dxa" w:w="3120"/>
            <w:vAlign w:val="top"/>
          </w:tcPr>
          <w:p>
            <w:pPr>
              <w:spacing w:after="0"/>
              <w:jc w:val="left"/>
            </w:pPr>
            <w:r>
              <w:rPr>
                <w:rFonts w:ascii="Times New Roman" w:hAnsi="Times New Roman" w:cs="Times New Roman"/>
                <w:sz w:val="20"/>
                <w:szCs w:val="24"/>
              </w:rPr>
              <w:t>AI, data, cyber, automation and resilience skills increasingly critical; largest gaps in AI risk, analytics and risk quantification; reviewer skills (attention to detail, ability to parse large volumes of generated content) rising in importance.</w:t>
            </w:r>
          </w:p>
        </w:tc>
        <w:tc>
          <w:tcPr>
            <w:tcW w:type="dxa" w:w="3120"/>
            <w:vAlign w:val="top"/>
          </w:tcPr>
          <w:p>
            <w:pPr>
              <w:spacing w:after="0"/>
              <w:jc w:val="left"/>
            </w:pPr>
            <w:r>
              <w:rPr>
                <w:rFonts w:ascii="Times New Roman" w:hAnsi="Times New Roman" w:cs="Times New Roman"/>
                <w:sz w:val="20"/>
                <w:szCs w:val="24"/>
              </w:rPr>
              <w:t>"AI, data, cyber, automation, and resilience skills are increasingly critical, with gaps in AI risk, analytics, and risk quantification."</w:t>
            </w:r>
          </w:p>
        </w:tc>
      </w:tr>
      <w:tr>
        <w:tc>
          <w:tcPr>
            <w:tcW w:type="dxa" w:w="3120"/>
            <w:vAlign w:val="top"/>
          </w:tcPr>
          <w:p>
            <w:pPr>
              <w:spacing w:after="0"/>
              <w:jc w:val="left"/>
            </w:pPr>
            <w:r>
              <w:rPr>
                <w:rFonts w:ascii="Times New Roman" w:hAnsi="Times New Roman" w:cs="Times New Roman"/>
                <w:sz w:val="20"/>
                <w:szCs w:val="24"/>
              </w:rPr>
              <w:t>T8. Loss of institutional knowledge is the hidden risk</w:t>
            </w:r>
          </w:p>
        </w:tc>
        <w:tc>
          <w:tcPr>
            <w:tcW w:type="dxa" w:w="3120"/>
            <w:vAlign w:val="top"/>
          </w:tcPr>
          <w:p>
            <w:pPr>
              <w:spacing w:after="0"/>
              <w:jc w:val="left"/>
            </w:pPr>
            <w:r>
              <w:rPr>
                <w:rFonts w:ascii="Times New Roman" w:hAnsi="Times New Roman" w:cs="Times New Roman"/>
                <w:sz w:val="20"/>
                <w:szCs w:val="24"/>
              </w:rPr>
              <w:t>Critical knowledge sits with long-serving SMEs; cutting headcount before capturing it undermines the capacity to validate AI. Emphasised repeatedly by the respondent concerned.</w:t>
            </w:r>
          </w:p>
        </w:tc>
        <w:tc>
          <w:tcPr>
            <w:tcW w:type="dxa" w:w="3120"/>
            <w:vAlign w:val="top"/>
          </w:tcPr>
          <w:p>
            <w:pPr>
              <w:spacing w:after="0"/>
              <w:jc w:val="left"/>
            </w:pPr>
            <w:r>
              <w:rPr>
                <w:rFonts w:ascii="Times New Roman" w:hAnsi="Times New Roman" w:cs="Times New Roman"/>
                <w:sz w:val="20"/>
                <w:szCs w:val="24"/>
              </w:rPr>
              <w:t>"Too much business knowledge exists in people's heads, and if that knowledge is lost, it becomes much harder to validate, challenge and govern AI-generated outputs effectively. I would prioritise knowledge capture and transfer before any significant workforce reductions."</w:t>
            </w:r>
          </w:p>
        </w:tc>
      </w:tr>
      <w:tr>
        <w:tc>
          <w:tcPr>
            <w:tcW w:type="dxa" w:w="3120"/>
            <w:vAlign w:val="top"/>
          </w:tcPr>
          <w:p>
            <w:pPr>
              <w:spacing w:after="0"/>
              <w:jc w:val="left"/>
            </w:pPr>
            <w:r>
              <w:rPr>
                <w:rFonts w:ascii="Times New Roman" w:hAnsi="Times New Roman" w:cs="Times New Roman"/>
                <w:sz w:val="20"/>
                <w:szCs w:val="24"/>
              </w:rPr>
              <w:t>T9. Build, buy and borrow, with specialist gaps persisting</w:t>
            </w:r>
          </w:p>
        </w:tc>
        <w:tc>
          <w:tcPr>
            <w:tcW w:type="dxa" w:w="3120"/>
            <w:vAlign w:val="top"/>
          </w:tcPr>
          <w:p>
            <w:pPr>
              <w:spacing w:after="0"/>
              <w:jc w:val="left"/>
            </w:pPr>
            <w:r>
              <w:rPr>
                <w:rFonts w:ascii="Times New Roman" w:hAnsi="Times New Roman" w:cs="Times New Roman"/>
                <w:sz w:val="20"/>
                <w:szCs w:val="24"/>
              </w:rPr>
              <w:t>Training existing staff, targeted hiring and vendor/technology support are combined; training works for general tool use, but specialist gaps remain. Suggested: dedicated learning modules per regulation per domain; pre-embedded prompts in AI tools.</w:t>
            </w:r>
          </w:p>
        </w:tc>
        <w:tc>
          <w:tcPr>
            <w:tcW w:type="dxa" w:w="3120"/>
            <w:vAlign w:val="top"/>
          </w:tcPr>
          <w:p>
            <w:pPr>
              <w:spacing w:after="0"/>
              <w:jc w:val="left"/>
            </w:pPr>
            <w:r>
              <w:rPr>
                <w:rFonts w:ascii="Times New Roman" w:hAnsi="Times New Roman" w:cs="Times New Roman"/>
                <w:sz w:val="20"/>
                <w:szCs w:val="24"/>
              </w:rPr>
              <w:t>"A mix of training, targeted hiring, and technology/vendor support is helping, but specialist skill gaps remain."</w:t>
            </w:r>
          </w:p>
        </w:tc>
      </w:tr>
    </w:tbl>
    <w:p>
      <w:pPr>
        <w:jc w:val="both"/>
        <w:rPr>
          <w:rFonts w:ascii="Times New Roman" w:hAnsi="Times New Roman" w:cs="Times New Roman"/>
          <w:sz w:val="24"/>
          <w:szCs w:val="24"/>
        </w:rPr>
      </w:pPr>
      <w:r>
        <w:rPr>
          <w:rFonts w:ascii="Times New Roman" w:hAnsi="Times New Roman" w:cs="Times New Roman"/>
          <w:b/>
          <w:sz w:val="24"/>
          <w:szCs w:val="24"/>
        </w:rPr>
        <w:t>Objective (iv) - Employee behavioural responses</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Theme</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Illustrative evidence</w:t>
            </w:r>
          </w:p>
        </w:tc>
      </w:tr>
      <w:tr>
        <w:tc>
          <w:tcPr>
            <w:tcW w:type="dxa" w:w="3120"/>
            <w:vAlign w:val="top"/>
          </w:tcPr>
          <w:p>
            <w:pPr>
              <w:spacing w:after="0"/>
              <w:jc w:val="left"/>
            </w:pPr>
            <w:r>
              <w:rPr>
                <w:rFonts w:ascii="Times New Roman" w:hAnsi="Times New Roman" w:cs="Times New Roman"/>
                <w:sz w:val="20"/>
                <w:szCs w:val="24"/>
              </w:rPr>
              <w:t>T10. Ease of use welcomed; anxiety and weak change management persist</w:t>
            </w:r>
          </w:p>
        </w:tc>
        <w:tc>
          <w:tcPr>
            <w:tcW w:type="dxa" w:w="3120"/>
            <w:vAlign w:val="top"/>
          </w:tcPr>
          <w:p>
            <w:pPr>
              <w:spacing w:after="0"/>
              <w:jc w:val="left"/>
            </w:pPr>
            <w:r>
              <w:rPr>
                <w:rFonts w:ascii="Times New Roman" w:hAnsi="Times New Roman" w:cs="Times New Roman"/>
                <w:sz w:val="20"/>
                <w:szCs w:val="24"/>
              </w:rPr>
              <w:t>Growing confidence alongside concerns about job impact and accuracy; junior staff particularly worried; trust depends on the ability to understand and validate output; business change management described as weak. Where management did well, it communicated and demonstrated how AI helps daily work.</w:t>
            </w:r>
          </w:p>
        </w:tc>
        <w:tc>
          <w:tcPr>
            <w:tcW w:type="dxa" w:w="3120"/>
            <w:vAlign w:val="top"/>
          </w:tcPr>
          <w:p>
            <w:pPr>
              <w:spacing w:after="0"/>
              <w:jc w:val="left"/>
            </w:pPr>
            <w:r>
              <w:rPr>
                <w:rFonts w:ascii="Times New Roman" w:hAnsi="Times New Roman" w:cs="Times New Roman"/>
                <w:sz w:val="20"/>
                <w:szCs w:val="24"/>
              </w:rPr>
              <w:t>"People have embraced the ease of use and accessibility." / "There have been many low level resources very worried." / "My experience is that Business Change Management is Weak."</w:t>
            </w:r>
          </w:p>
        </w:tc>
      </w:tr>
    </w:tbl>
    <w:p>
      <w:pPr>
        <w:jc w:val="left"/>
        <w:rPr>
          <w:rFonts w:ascii="Times New Roman" w:hAnsi="Times New Roman" w:cs="Times New Roman"/>
          <w:sz w:val="24"/>
          <w:szCs w:val="24"/>
        </w:rPr>
      </w:pPr>
      <w:r>
        <w:rPr>
          <w:rFonts w:ascii="Times New Roman" w:hAnsi="Times New Roman" w:cs="Times New Roman"/>
          <w:b/>
          <w:sz w:val="24"/>
          <w:szCs w:val="24"/>
        </w:rPr>
        <w:t>5.2 Analysis of Questionnaire Data (Descriptive Statistics)</w:t>
      </w:r>
    </w:p>
    <w:p>
      <w:pPr>
        <w:keepNext/>
        <w:jc w:val="both"/>
        <w:rPr>
          <w:rFonts w:ascii="Times New Roman" w:hAnsi="Times New Roman" w:cs="Times New Roman"/>
          <w:sz w:val="24"/>
          <w:szCs w:val="24"/>
        </w:rPr>
      </w:pPr>
      <w:r>
        <w:rPr>
          <w:rFonts w:ascii="Times New Roman" w:hAnsi="Times New Roman" w:cs="Times New Roman"/>
          <w:b/>
          <w:sz w:val="24"/>
          <w:szCs w:val="24"/>
        </w:rPr>
        <w:t>Table 5.1 - Item-level descriptive statistics (scale 1-5)</w:t>
      </w:r>
    </w:p>
    <w:tbl>
      <w:tblPr>
        <w:tblStyle w:val="TableGrid"/>
        <w:tblW w:type="dxa" w:w="9360"/>
        <w:tblLook w:firstColumn="1" w:firstRow="1" w:lastColumn="0" w:lastRow="0" w:noHBand="0" w:noVBand="1" w:val="04A0"/>
        <w:tblLayout w:type="autofit"/>
      </w:tblPr>
      <w:tblGrid>
        <w:gridCol w:w="2340"/>
        <w:gridCol w:w="2340"/>
        <w:gridCol w:w="2340"/>
        <w:gridCol w:w="2340"/>
      </w:tblGrid>
      <w:tr>
        <w:tc>
          <w:tcPr>
            <w:tcW w:type="dxa" w:w="2340"/>
            <w:vAlign w:val="top"/>
            <w:shd w:fill="D9D9D9" w:val="clear"/>
          </w:tcPr>
          <w:p>
            <w:pPr>
              <w:spacing w:after="0"/>
              <w:jc w:val="left"/>
            </w:pPr>
            <w:r>
              <w:rPr>
                <w:rFonts w:ascii="Times New Roman" w:hAnsi="Times New Roman" w:cs="Times New Roman"/>
                <w:b/>
                <w:sz w:val="20"/>
                <w:szCs w:val="24"/>
              </w:rPr>
              <w:t>Construct</w:t>
            </w:r>
          </w:p>
        </w:tc>
        <w:tc>
          <w:tcPr>
            <w:tcW w:type="dxa" w:w="2340"/>
            <w:vAlign w:val="top"/>
            <w:shd w:fill="D9D9D9" w:val="clear"/>
          </w:tcPr>
          <w:p>
            <w:pPr>
              <w:spacing w:after="0"/>
              <w:jc w:val="left"/>
            </w:pPr>
            <w:r>
              <w:rPr>
                <w:rFonts w:ascii="Times New Roman" w:hAnsi="Times New Roman" w:cs="Times New Roman"/>
                <w:b/>
                <w:sz w:val="20"/>
                <w:szCs w:val="24"/>
              </w:rPr>
              <w:t>Item</w:t>
            </w:r>
          </w:p>
        </w:tc>
        <w:tc>
          <w:tcPr>
            <w:tcW w:type="dxa" w:w="2340"/>
            <w:vAlign w:val="top"/>
            <w:shd w:fill="D9D9D9" w:val="clear"/>
          </w:tcPr>
          <w:p>
            <w:pPr>
              <w:spacing w:after="0"/>
              <w:jc w:val="left"/>
            </w:pPr>
            <w:r>
              <w:rPr>
                <w:rFonts w:ascii="Times New Roman" w:hAnsi="Times New Roman" w:cs="Times New Roman"/>
                <w:b/>
                <w:sz w:val="20"/>
                <w:szCs w:val="24"/>
              </w:rPr>
              <w:t>Mean</w:t>
            </w:r>
          </w:p>
        </w:tc>
        <w:tc>
          <w:tcPr>
            <w:tcW w:type="dxa" w:w="2340"/>
            <w:vAlign w:val="top"/>
            <w:shd w:fill="D9D9D9" w:val="clear"/>
          </w:tcPr>
          <w:p>
            <w:pPr>
              <w:spacing w:after="0"/>
              <w:jc w:val="left"/>
            </w:pPr>
            <w:r>
              <w:rPr>
                <w:rFonts w:ascii="Times New Roman" w:hAnsi="Times New Roman" w:cs="Times New Roman"/>
                <w:b/>
                <w:sz w:val="20"/>
                <w:szCs w:val="24"/>
              </w:rPr>
              <w:t>SD</w:t>
            </w:r>
          </w:p>
        </w:tc>
      </w:tr>
      <w:tr>
        <w:tc>
          <w:tcPr>
            <w:tcW w:type="dxa" w:w="2340"/>
            <w:vAlign w:val="top"/>
          </w:tcPr>
          <w:p>
            <w:pPr>
              <w:spacing w:after="0"/>
              <w:jc w:val="left"/>
            </w:pPr>
            <w:r>
              <w:rPr>
                <w:rFonts w:ascii="Times New Roman" w:hAnsi="Times New Roman" w:cs="Times New Roman"/>
                <w:sz w:val="20"/>
                <w:szCs w:val="24"/>
              </w:rPr>
              <w:t>A. Usefulness</w:t>
            </w:r>
          </w:p>
        </w:tc>
        <w:tc>
          <w:tcPr>
            <w:tcW w:type="dxa" w:w="2340"/>
            <w:vAlign w:val="top"/>
          </w:tcPr>
          <w:p>
            <w:pPr>
              <w:spacing w:after="0"/>
              <w:jc w:val="left"/>
            </w:pPr>
            <w:r>
              <w:rPr>
                <w:rFonts w:ascii="Times New Roman" w:hAnsi="Times New Roman" w:cs="Times New Roman"/>
                <w:sz w:val="20"/>
                <w:szCs w:val="24"/>
              </w:rPr>
              <w:t>7. AI improves my performance</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8. AI increases volume of work I can complete</w:t>
            </w:r>
          </w:p>
        </w:tc>
        <w:tc>
          <w:tcPr>
            <w:tcW w:type="dxa" w:w="2340"/>
            <w:vAlign w:val="top"/>
          </w:tcPr>
          <w:p>
            <w:pPr>
              <w:spacing w:after="0"/>
              <w:jc w:val="left"/>
            </w:pPr>
            <w:r>
              <w:rPr>
                <w:rFonts w:ascii="Times New Roman" w:hAnsi="Times New Roman" w:cs="Times New Roman"/>
                <w:sz w:val="20"/>
                <w:szCs w:val="24"/>
              </w:rPr>
              <w:t>3.33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9. AI improves quality and consistency of outputs</w:t>
            </w:r>
          </w:p>
        </w:tc>
        <w:tc>
          <w:tcPr>
            <w:tcW w:type="dxa" w:w="2340"/>
            <w:vAlign w:val="top"/>
          </w:tcPr>
          <w:p>
            <w:pPr>
              <w:spacing w:after="0"/>
              <w:jc w:val="left"/>
            </w:pPr>
            <w:r>
              <w:rPr>
                <w:rFonts w:ascii="Times New Roman" w:hAnsi="Times New Roman" w:cs="Times New Roman"/>
                <w:sz w:val="20"/>
                <w:szCs w:val="24"/>
              </w:rPr>
              <w:t>3.33</w:t>
            </w:r>
          </w:p>
        </w:tc>
        <w:tc>
          <w:tcPr>
            <w:tcW w:type="dxa" w:w="2340"/>
            <w:vAlign w:val="top"/>
          </w:tcPr>
          <w:p>
            <w:pPr>
              <w:spacing w:after="0"/>
              <w:jc w:val="left"/>
            </w:pPr>
            <w:r>
              <w:rPr>
                <w:rFonts w:ascii="Times New Roman" w:hAnsi="Times New Roman" w:cs="Times New Roman"/>
                <w:sz w:val="20"/>
                <w:szCs w:val="24"/>
              </w:rPr>
              <w:t>1.15</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10. Overall, AI tools are useful in my job</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r>
              <w:rPr>
                <w:rFonts w:ascii="Times New Roman" w:hAnsi="Times New Roman" w:cs="Times New Roman"/>
                <w:sz w:val="20"/>
                <w:szCs w:val="24"/>
              </w:rPr>
              <w:t>B. Ease of use</w:t>
            </w:r>
          </w:p>
        </w:tc>
        <w:tc>
          <w:tcPr>
            <w:tcW w:type="dxa" w:w="2340"/>
            <w:vAlign w:val="top"/>
          </w:tcPr>
          <w:p>
            <w:pPr>
              <w:spacing w:after="0"/>
              <w:jc w:val="left"/>
            </w:pPr>
            <w:r>
              <w:rPr>
                <w:rFonts w:ascii="Times New Roman" w:hAnsi="Times New Roman" w:cs="Times New Roman"/>
                <w:sz w:val="20"/>
                <w:szCs w:val="24"/>
              </w:rPr>
              <w:t>11. Tools are easy to use</w:t>
            </w:r>
          </w:p>
        </w:tc>
        <w:tc>
          <w:tcPr>
            <w:tcW w:type="dxa" w:w="2340"/>
            <w:vAlign w:val="top"/>
          </w:tcPr>
          <w:p>
            <w:pPr>
              <w:spacing w:after="0"/>
              <w:jc w:val="left"/>
            </w:pPr>
            <w:r>
              <w:rPr>
                <w:rFonts w:ascii="Times New Roman" w:hAnsi="Times New Roman" w:cs="Times New Roman"/>
                <w:sz w:val="20"/>
                <w:szCs w:val="24"/>
              </w:rPr>
              <w:t>4.33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12. Easy to understand what tools are doing</w:t>
            </w:r>
          </w:p>
        </w:tc>
        <w:tc>
          <w:tcPr>
            <w:tcW w:type="dxa" w:w="2340"/>
            <w:vAlign w:val="top"/>
          </w:tcPr>
          <w:p>
            <w:pPr>
              <w:spacing w:after="0"/>
              <w:jc w:val="left"/>
            </w:pPr>
            <w:r>
              <w:rPr>
                <w:rFonts w:ascii="Times New Roman" w:hAnsi="Times New Roman" w:cs="Times New Roman"/>
                <w:sz w:val="20"/>
                <w:szCs w:val="24"/>
              </w:rPr>
              <w:t>3.33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13. Learning did not require excessive effort</w:t>
            </w:r>
          </w:p>
        </w:tc>
        <w:tc>
          <w:tcPr>
            <w:tcW w:type="dxa" w:w="2340"/>
            <w:vAlign w:val="top"/>
          </w:tcPr>
          <w:p>
            <w:pPr>
              <w:spacing w:after="0"/>
              <w:jc w:val="left"/>
            </w:pPr>
            <w:r>
              <w:rPr>
                <w:rFonts w:ascii="Times New Roman" w:hAnsi="Times New Roman" w:cs="Times New Roman"/>
                <w:sz w:val="20"/>
                <w:szCs w:val="24"/>
              </w:rPr>
              <w:t>4.33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r>
              <w:rPr>
                <w:rFonts w:ascii="Times New Roman" w:hAnsi="Times New Roman" w:cs="Times New Roman"/>
                <w:sz w:val="20"/>
                <w:szCs w:val="24"/>
              </w:rPr>
              <w:t>C. Trust</w:t>
            </w:r>
          </w:p>
        </w:tc>
        <w:tc>
          <w:tcPr>
            <w:tcW w:type="dxa" w:w="2340"/>
            <w:vAlign w:val="top"/>
          </w:tcPr>
          <w:p>
            <w:pPr>
              <w:spacing w:after="0"/>
              <w:jc w:val="left"/>
            </w:pPr>
            <w:r>
              <w:rPr>
                <w:rFonts w:ascii="Times New Roman" w:hAnsi="Times New Roman" w:cs="Times New Roman"/>
                <w:sz w:val="20"/>
                <w:szCs w:val="24"/>
              </w:rPr>
              <w:t>14. I understand how tools arrive at outputs</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15. Outputs are reliable</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16. I could defend an AI-assisted decision to a regulator/auditor</w:t>
            </w:r>
          </w:p>
        </w:tc>
        <w:tc>
          <w:tcPr>
            <w:tcW w:type="dxa" w:w="2340"/>
            <w:vAlign w:val="top"/>
          </w:tcPr>
          <w:p>
            <w:pPr>
              <w:spacing w:after="0"/>
              <w:jc w:val="left"/>
            </w:pPr>
            <w:r>
              <w:rPr>
                <w:rFonts w:ascii="Times New Roman" w:hAnsi="Times New Roman" w:cs="Times New Roman"/>
                <w:sz w:val="20"/>
                <w:szCs w:val="24"/>
              </w:rPr>
              <w:t>4.33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17. Comfortable relying on output without re-performing work</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1.15</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18. Effective way to challenge or override AI output</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r>
              <w:rPr>
                <w:rFonts w:ascii="Times New Roman" w:hAnsi="Times New Roman" w:cs="Times New Roman"/>
                <w:sz w:val="20"/>
                <w:szCs w:val="24"/>
              </w:rPr>
              <w:t>D. Replaceability (higher = more concern)</w:t>
            </w:r>
          </w:p>
        </w:tc>
        <w:tc>
          <w:tcPr>
            <w:tcW w:type="dxa" w:w="2340"/>
            <w:vAlign w:val="top"/>
          </w:tcPr>
          <w:p>
            <w:pPr>
              <w:spacing w:after="0"/>
              <w:jc w:val="left"/>
            </w:pPr>
            <w:r>
              <w:rPr>
                <w:rFonts w:ascii="Times New Roman" w:hAnsi="Times New Roman" w:cs="Times New Roman"/>
                <w:sz w:val="20"/>
                <w:szCs w:val="24"/>
              </w:rPr>
              <w:t>19. Concerned a significant part of my role could be done by AI</w:t>
            </w:r>
          </w:p>
        </w:tc>
        <w:tc>
          <w:tcPr>
            <w:tcW w:type="dxa" w:w="2340"/>
            <w:vAlign w:val="top"/>
          </w:tcPr>
          <w:p>
            <w:pPr>
              <w:spacing w:after="0"/>
              <w:jc w:val="left"/>
            </w:pPr>
            <w:r>
              <w:rPr>
                <w:rFonts w:ascii="Times New Roman" w:hAnsi="Times New Roman" w:cs="Times New Roman"/>
                <w:sz w:val="20"/>
                <w:szCs w:val="24"/>
              </w:rPr>
              <w:t>3.33</w:t>
            </w:r>
          </w:p>
        </w:tc>
        <w:tc>
          <w:tcPr>
            <w:tcW w:type="dxa" w:w="2340"/>
            <w:vAlign w:val="top"/>
          </w:tcPr>
          <w:p>
            <w:pPr>
              <w:spacing w:after="0"/>
              <w:jc w:val="left"/>
            </w:pPr>
            <w:r>
              <w:rPr>
                <w:rFonts w:ascii="Times New Roman" w:hAnsi="Times New Roman" w:cs="Times New Roman"/>
                <w:sz w:val="20"/>
                <w:szCs w:val="24"/>
              </w:rPr>
              <w:t>1.53</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20. My role will change substantially in three years</w:t>
            </w:r>
          </w:p>
        </w:tc>
        <w:tc>
          <w:tcPr>
            <w:tcW w:type="dxa" w:w="2340"/>
            <w:vAlign w:val="top"/>
          </w:tcPr>
          <w:p>
            <w:pPr>
              <w:spacing w:after="0"/>
              <w:jc w:val="left"/>
            </w:pPr>
            <w:r>
              <w:rPr>
                <w:rFonts w:ascii="Times New Roman" w:hAnsi="Times New Roman" w:cs="Times New Roman"/>
                <w:sz w:val="20"/>
                <w:szCs w:val="24"/>
              </w:rPr>
              <w:t>4.33</w:t>
            </w:r>
          </w:p>
        </w:tc>
        <w:tc>
          <w:tcPr>
            <w:tcW w:type="dxa" w:w="2340"/>
            <w:vAlign w:val="top"/>
          </w:tcPr>
          <w:p>
            <w:pPr>
              <w:spacing w:after="0"/>
              <w:jc w:val="left"/>
            </w:pPr>
            <w:r>
              <w:rPr>
                <w:rFonts w:ascii="Times New Roman" w:hAnsi="Times New Roman" w:cs="Times New Roman"/>
                <w:sz w:val="20"/>
                <w:szCs w:val="24"/>
              </w:rPr>
              <w:t>0.58</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21. Concerned about long-term career prospects</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r>
              <w:rPr>
                <w:rFonts w:ascii="Times New Roman" w:hAnsi="Times New Roman" w:cs="Times New Roman"/>
                <w:sz w:val="20"/>
                <w:szCs w:val="24"/>
              </w:rPr>
              <w:t>E. Skills</w:t>
            </w:r>
          </w:p>
        </w:tc>
        <w:tc>
          <w:tcPr>
            <w:tcW w:type="dxa" w:w="2340"/>
            <w:vAlign w:val="top"/>
          </w:tcPr>
          <w:p>
            <w:pPr>
              <w:spacing w:after="0"/>
              <w:jc w:val="left"/>
            </w:pPr>
            <w:r>
              <w:rPr>
                <w:rFonts w:ascii="Times New Roman" w:hAnsi="Times New Roman" w:cs="Times New Roman"/>
                <w:sz w:val="20"/>
                <w:szCs w:val="24"/>
              </w:rPr>
              <w:t>22. My current skills are sufficient</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1.15</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23. Organisation has provided adequate training</w:t>
            </w:r>
          </w:p>
        </w:tc>
        <w:tc>
          <w:tcPr>
            <w:tcW w:type="dxa" w:w="2340"/>
            <w:vAlign w:val="top"/>
          </w:tcPr>
          <w:p>
            <w:pPr>
              <w:spacing w:after="0"/>
              <w:jc w:val="left"/>
            </w:pPr>
            <w:r>
              <w:rPr>
                <w:rFonts w:ascii="Times New Roman" w:hAnsi="Times New Roman" w:cs="Times New Roman"/>
                <w:sz w:val="20"/>
                <w:szCs w:val="24"/>
              </w:rPr>
              <w:t>3.33</w:t>
            </w:r>
          </w:p>
        </w:tc>
        <w:tc>
          <w:tcPr>
            <w:tcW w:type="dxa" w:w="2340"/>
            <w:vAlign w:val="top"/>
          </w:tcPr>
          <w:p>
            <w:pPr>
              <w:spacing w:after="0"/>
              <w:jc w:val="left"/>
            </w:pPr>
            <w:r>
              <w:rPr>
                <w:rFonts w:ascii="Times New Roman" w:hAnsi="Times New Roman" w:cs="Times New Roman"/>
                <w:sz w:val="20"/>
                <w:szCs w:val="24"/>
              </w:rPr>
              <w:t>1.53</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24. Data and analytical skills more important</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25. Judgement and regulatory reasoning more important than routine processing</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r>
              <w:rPr>
                <w:rFonts w:ascii="Times New Roman" w:hAnsi="Times New Roman" w:cs="Times New Roman"/>
                <w:sz w:val="20"/>
                <w:szCs w:val="24"/>
              </w:rPr>
              <w:t>F. Oversight</w:t>
            </w:r>
          </w:p>
        </w:tc>
        <w:tc>
          <w:tcPr>
            <w:tcW w:type="dxa" w:w="2340"/>
            <w:vAlign w:val="top"/>
          </w:tcPr>
          <w:p>
            <w:pPr>
              <w:spacing w:after="0"/>
              <w:jc w:val="left"/>
            </w:pPr>
            <w:r>
              <w:rPr>
                <w:rFonts w:ascii="Times New Roman" w:hAnsi="Times New Roman" w:cs="Times New Roman"/>
                <w:sz w:val="20"/>
                <w:szCs w:val="24"/>
              </w:rPr>
              <w:t>26. Accountable people have knowledge to supervise AI decisions</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27. Human-oversight requirements clearly reflected in practice</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1.15</w:t>
            </w:r>
          </w:p>
        </w:tc>
      </w:tr>
      <w:tr>
        <w:tc>
          <w:tcPr>
            <w:tcW w:type="dxa" w:w="2340"/>
            <w:vAlign w:val="top"/>
          </w:tcPr>
          <w:p>
            <w:pPr>
              <w:spacing w:after="0"/>
              <w:jc w:val="left"/>
            </w:pPr>
            <w:r>
              <w:rPr>
                <w:rFonts w:ascii="Times New Roman" w:hAnsi="Times New Roman" w:cs="Times New Roman"/>
                <w:sz w:val="20"/>
                <w:szCs w:val="24"/>
              </w:rPr>
              <w:t>G. Organisational response</w:t>
            </w:r>
          </w:p>
        </w:tc>
        <w:tc>
          <w:tcPr>
            <w:tcW w:type="dxa" w:w="2340"/>
            <w:vAlign w:val="top"/>
          </w:tcPr>
          <w:p>
            <w:pPr>
              <w:spacing w:after="0"/>
              <w:jc w:val="left"/>
            </w:pPr>
            <w:r>
              <w:rPr>
                <w:rFonts w:ascii="Times New Roman" w:hAnsi="Times New Roman" w:cs="Times New Roman"/>
                <w:sz w:val="20"/>
                <w:szCs w:val="24"/>
              </w:rPr>
              <w:t>28. Management communicated clearly on role impact</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29. I feel positive about AI's effect on my work</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30. I would consider leaving because of AI (higher = more intent)</w:t>
            </w:r>
          </w:p>
        </w:tc>
        <w:tc>
          <w:tcPr>
            <w:tcW w:type="dxa" w:w="2340"/>
            <w:vAlign w:val="top"/>
          </w:tcPr>
          <w:p>
            <w:pPr>
              <w:spacing w:after="0"/>
              <w:jc w:val="left"/>
            </w:pPr>
            <w:r>
              <w:rPr>
                <w:rFonts w:ascii="Times New Roman" w:hAnsi="Times New Roman" w:cs="Times New Roman"/>
                <w:sz w:val="20"/>
                <w:szCs w:val="24"/>
              </w:rPr>
              <w:t>3.67</w:t>
            </w:r>
          </w:p>
        </w:tc>
        <w:tc>
          <w:tcPr>
            <w:tcW w:type="dxa" w:w="2340"/>
            <w:vAlign w:val="top"/>
          </w:tcPr>
          <w:p>
            <w:pPr>
              <w:spacing w:after="0"/>
              <w:jc w:val="left"/>
            </w:pPr>
            <w:r>
              <w:rPr>
                <w:rFonts w:ascii="Times New Roman" w:hAnsi="Times New Roman" w:cs="Times New Roman"/>
                <w:sz w:val="20"/>
                <w:szCs w:val="24"/>
              </w:rPr>
              <w:t>1.15</w:t>
            </w:r>
          </w:p>
        </w:tc>
      </w:tr>
      <w:tr>
        <w:tc>
          <w:tcPr>
            <w:tcW w:type="dxa" w:w="2340"/>
            <w:vAlign w:val="top"/>
          </w:tcPr>
          <w:p>
            <w:pPr>
              <w:spacing w:after="0"/>
              <w:jc w:val="left"/>
            </w:pPr>
          </w:p>
        </w:tc>
        <w:tc>
          <w:tcPr>
            <w:tcW w:type="dxa" w:w="2340"/>
            <w:vAlign w:val="top"/>
          </w:tcPr>
          <w:p>
            <w:pPr>
              <w:spacing w:after="0"/>
              <w:jc w:val="left"/>
            </w:pPr>
            <w:r>
              <w:rPr>
                <w:rFonts w:ascii="Times New Roman" w:hAnsi="Times New Roman" w:cs="Times New Roman"/>
                <w:sz w:val="20"/>
                <w:szCs w:val="24"/>
              </w:rPr>
              <w:t>31. I feel committed to my organisation</w:t>
            </w:r>
          </w:p>
        </w:tc>
        <w:tc>
          <w:tcPr>
            <w:tcW w:type="dxa" w:w="2340"/>
            <w:vAlign w:val="top"/>
          </w:tcPr>
          <w:p>
            <w:pPr>
              <w:spacing w:after="0"/>
              <w:jc w:val="left"/>
            </w:pPr>
            <w:r>
              <w:rPr>
                <w:rFonts w:ascii="Times New Roman" w:hAnsi="Times New Roman" w:cs="Times New Roman"/>
                <w:sz w:val="20"/>
                <w:szCs w:val="24"/>
              </w:rPr>
              <w:t>4.00</w:t>
            </w:r>
          </w:p>
        </w:tc>
        <w:tc>
          <w:tcPr>
            <w:tcW w:type="dxa" w:w="2340"/>
            <w:vAlign w:val="top"/>
          </w:tcPr>
          <w:p>
            <w:pPr>
              <w:spacing w:after="0"/>
              <w:jc w:val="left"/>
            </w:pPr>
            <w:r>
              <w:rPr>
                <w:rFonts w:ascii="Times New Roman" w:hAnsi="Times New Roman" w:cs="Times New Roman"/>
                <w:sz w:val="20"/>
                <w:szCs w:val="24"/>
              </w:rPr>
              <w:t>1.00</w:t>
            </w:r>
          </w:p>
        </w:tc>
      </w:tr>
    </w:tbl>
    <w:p>
      <w:pPr>
        <w:keepNext/>
        <w:jc w:val="both"/>
        <w:rPr>
          <w:rFonts w:ascii="Times New Roman" w:hAnsi="Times New Roman" w:cs="Times New Roman"/>
          <w:sz w:val="24"/>
          <w:szCs w:val="24"/>
        </w:rPr>
      </w:pPr>
      <w:r>
        <w:rPr>
          <w:rFonts w:ascii="Times New Roman" w:hAnsi="Times New Roman" w:cs="Times New Roman"/>
          <w:b/>
          <w:sz w:val="24"/>
          <w:szCs w:val="24"/>
        </w:rPr>
        <w:t>Table 5.2 - Construct composite scores</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Construct</w:t>
            </w:r>
          </w:p>
        </w:tc>
        <w:tc>
          <w:tcPr>
            <w:tcW w:type="dxa" w:w="3120"/>
            <w:vAlign w:val="top"/>
            <w:shd w:fill="D9D9D9" w:val="clear"/>
          </w:tcPr>
          <w:p>
            <w:pPr>
              <w:spacing w:after="0"/>
              <w:jc w:val="left"/>
            </w:pPr>
            <w:r>
              <w:rPr>
                <w:rFonts w:ascii="Times New Roman" w:hAnsi="Times New Roman" w:cs="Times New Roman"/>
                <w:b/>
                <w:sz w:val="20"/>
                <w:szCs w:val="24"/>
              </w:rPr>
              <w:t>Composite mean</w:t>
            </w:r>
          </w:p>
        </w:tc>
        <w:tc>
          <w:tcPr>
            <w:tcW w:type="dxa" w:w="3120"/>
            <w:vAlign w:val="top"/>
            <w:shd w:fill="D9D9D9" w:val="clear"/>
          </w:tcPr>
          <w:p>
            <w:pPr>
              <w:spacing w:after="0"/>
              <w:jc w:val="left"/>
            </w:pPr>
            <w:r>
              <w:rPr>
                <w:rFonts w:ascii="Times New Roman" w:hAnsi="Times New Roman" w:cs="Times New Roman"/>
                <w:b/>
                <w:sz w:val="20"/>
                <w:szCs w:val="24"/>
              </w:rPr>
              <w:t>Interpretation</w:t>
            </w:r>
          </w:p>
        </w:tc>
      </w:tr>
      <w:tr>
        <w:tc>
          <w:tcPr>
            <w:tcW w:type="dxa" w:w="3120"/>
            <w:vAlign w:val="top"/>
          </w:tcPr>
          <w:p>
            <w:pPr>
              <w:spacing w:after="0"/>
              <w:jc w:val="left"/>
            </w:pPr>
            <w:r>
              <w:rPr>
                <w:rFonts w:ascii="Times New Roman" w:hAnsi="Times New Roman" w:cs="Times New Roman"/>
                <w:sz w:val="20"/>
                <w:szCs w:val="24"/>
              </w:rPr>
              <w:t>A. Perceived usefulness</w:t>
            </w:r>
          </w:p>
        </w:tc>
        <w:tc>
          <w:tcPr>
            <w:tcW w:type="dxa" w:w="3120"/>
            <w:vAlign w:val="top"/>
          </w:tcPr>
          <w:p>
            <w:pPr>
              <w:spacing w:after="0"/>
              <w:jc w:val="left"/>
            </w:pPr>
            <w:r>
              <w:rPr>
                <w:rFonts w:ascii="Times New Roman" w:hAnsi="Times New Roman" w:cs="Times New Roman"/>
                <w:sz w:val="20"/>
                <w:szCs w:val="24"/>
              </w:rPr>
              <w:t>3.58</w:t>
            </w:r>
          </w:p>
        </w:tc>
        <w:tc>
          <w:tcPr>
            <w:tcW w:type="dxa" w:w="3120"/>
            <w:vAlign w:val="top"/>
          </w:tcPr>
          <w:p>
            <w:pPr>
              <w:spacing w:after="0"/>
              <w:jc w:val="left"/>
            </w:pPr>
            <w:r>
              <w:rPr>
                <w:rFonts w:ascii="Times New Roman" w:hAnsi="Times New Roman" w:cs="Times New Roman"/>
                <w:sz w:val="20"/>
                <w:szCs w:val="24"/>
              </w:rPr>
              <w:t>Moderately positive; strongest on individual performance, weakest on volume and quality</w:t>
            </w:r>
          </w:p>
        </w:tc>
      </w:tr>
      <w:tr>
        <w:tc>
          <w:tcPr>
            <w:tcW w:type="dxa" w:w="3120"/>
            <w:vAlign w:val="top"/>
          </w:tcPr>
          <w:p>
            <w:pPr>
              <w:spacing w:after="0"/>
              <w:jc w:val="left"/>
            </w:pPr>
            <w:r>
              <w:rPr>
                <w:rFonts w:ascii="Times New Roman" w:hAnsi="Times New Roman" w:cs="Times New Roman"/>
                <w:sz w:val="20"/>
                <w:szCs w:val="24"/>
              </w:rPr>
              <w:t>B. Perceived ease of use</w:t>
            </w:r>
          </w:p>
        </w:tc>
        <w:tc>
          <w:tcPr>
            <w:tcW w:type="dxa" w:w="3120"/>
            <w:vAlign w:val="top"/>
          </w:tcPr>
          <w:p>
            <w:pPr>
              <w:spacing w:after="0"/>
              <w:jc w:val="left"/>
            </w:pPr>
            <w:r>
              <w:rPr>
                <w:rFonts w:ascii="Times New Roman" w:hAnsi="Times New Roman" w:cs="Times New Roman"/>
                <w:sz w:val="20"/>
                <w:szCs w:val="24"/>
              </w:rPr>
              <w:t>4.00</w:t>
            </w:r>
          </w:p>
        </w:tc>
        <w:tc>
          <w:tcPr>
            <w:tcW w:type="dxa" w:w="3120"/>
            <w:vAlign w:val="top"/>
          </w:tcPr>
          <w:p>
            <w:pPr>
              <w:spacing w:after="0"/>
              <w:jc w:val="left"/>
            </w:pPr>
            <w:r>
              <w:rPr>
                <w:rFonts w:ascii="Times New Roman" w:hAnsi="Times New Roman" w:cs="Times New Roman"/>
                <w:sz w:val="20"/>
                <w:szCs w:val="24"/>
              </w:rPr>
              <w:t>Highest construct; tools easy to operate and learn</w:t>
            </w:r>
          </w:p>
        </w:tc>
      </w:tr>
      <w:tr>
        <w:tc>
          <w:tcPr>
            <w:tcW w:type="dxa" w:w="3120"/>
            <w:vAlign w:val="top"/>
          </w:tcPr>
          <w:p>
            <w:pPr>
              <w:spacing w:after="0"/>
              <w:jc w:val="left"/>
            </w:pPr>
            <w:r>
              <w:rPr>
                <w:rFonts w:ascii="Times New Roman" w:hAnsi="Times New Roman" w:cs="Times New Roman"/>
                <w:sz w:val="20"/>
                <w:szCs w:val="24"/>
              </w:rPr>
              <w:t>C. Trust in AI output</w:t>
            </w:r>
          </w:p>
        </w:tc>
        <w:tc>
          <w:tcPr>
            <w:tcW w:type="dxa" w:w="3120"/>
            <w:vAlign w:val="top"/>
          </w:tcPr>
          <w:p>
            <w:pPr>
              <w:spacing w:after="0"/>
              <w:jc w:val="left"/>
            </w:pPr>
            <w:r>
              <w:rPr>
                <w:rFonts w:ascii="Times New Roman" w:hAnsi="Times New Roman" w:cs="Times New Roman"/>
                <w:sz w:val="20"/>
                <w:szCs w:val="24"/>
              </w:rPr>
              <w:t>3.87</w:t>
            </w:r>
          </w:p>
        </w:tc>
        <w:tc>
          <w:tcPr>
            <w:tcW w:type="dxa" w:w="3120"/>
            <w:vAlign w:val="top"/>
          </w:tcPr>
          <w:p>
            <w:pPr>
              <w:spacing w:after="0"/>
              <w:jc w:val="left"/>
            </w:pPr>
            <w:r>
              <w:rPr>
                <w:rFonts w:ascii="Times New Roman" w:hAnsi="Times New Roman" w:cs="Times New Roman"/>
                <w:sz w:val="20"/>
                <w:szCs w:val="24"/>
              </w:rPr>
              <w:t>Positive but conditional</w:t>
            </w:r>
          </w:p>
        </w:tc>
      </w:tr>
      <w:tr>
        <w:tc>
          <w:tcPr>
            <w:tcW w:type="dxa" w:w="3120"/>
            <w:vAlign w:val="top"/>
          </w:tcPr>
          <w:p>
            <w:pPr>
              <w:spacing w:after="0"/>
              <w:jc w:val="left"/>
            </w:pPr>
            <w:r>
              <w:rPr>
                <w:rFonts w:ascii="Times New Roman" w:hAnsi="Times New Roman" w:cs="Times New Roman"/>
                <w:sz w:val="20"/>
                <w:szCs w:val="24"/>
              </w:rPr>
              <w:t>D. Perceived replaceability (concern)</w:t>
            </w:r>
          </w:p>
        </w:tc>
        <w:tc>
          <w:tcPr>
            <w:tcW w:type="dxa" w:w="3120"/>
            <w:vAlign w:val="top"/>
          </w:tcPr>
          <w:p>
            <w:pPr>
              <w:spacing w:after="0"/>
              <w:jc w:val="left"/>
            </w:pPr>
            <w:r>
              <w:rPr>
                <w:rFonts w:ascii="Times New Roman" w:hAnsi="Times New Roman" w:cs="Times New Roman"/>
                <w:sz w:val="20"/>
                <w:szCs w:val="24"/>
              </w:rPr>
              <w:t>3.89</w:t>
            </w:r>
          </w:p>
        </w:tc>
        <w:tc>
          <w:tcPr>
            <w:tcW w:type="dxa" w:w="3120"/>
            <w:vAlign w:val="top"/>
          </w:tcPr>
          <w:p>
            <w:pPr>
              <w:spacing w:after="0"/>
              <w:jc w:val="left"/>
            </w:pPr>
            <w:r>
              <w:rPr>
                <w:rFonts w:ascii="Times New Roman" w:hAnsi="Times New Roman" w:cs="Times New Roman"/>
                <w:sz w:val="20"/>
                <w:szCs w:val="24"/>
              </w:rPr>
              <w:t>Change strongly anticipated; personal concern more varied (highest SD in item 19)</w:t>
            </w:r>
          </w:p>
        </w:tc>
      </w:tr>
      <w:tr>
        <w:tc>
          <w:tcPr>
            <w:tcW w:type="dxa" w:w="3120"/>
            <w:vAlign w:val="top"/>
          </w:tcPr>
          <w:p>
            <w:pPr>
              <w:spacing w:after="0"/>
              <w:jc w:val="left"/>
            </w:pPr>
            <w:r>
              <w:rPr>
                <w:rFonts w:ascii="Times New Roman" w:hAnsi="Times New Roman" w:cs="Times New Roman"/>
                <w:sz w:val="20"/>
                <w:szCs w:val="24"/>
              </w:rPr>
              <w:t>E. Skills and reskilling</w:t>
            </w:r>
          </w:p>
        </w:tc>
        <w:tc>
          <w:tcPr>
            <w:tcW w:type="dxa" w:w="3120"/>
            <w:vAlign w:val="top"/>
          </w:tcPr>
          <w:p>
            <w:pPr>
              <w:spacing w:after="0"/>
              <w:jc w:val="left"/>
            </w:pPr>
            <w:r>
              <w:rPr>
                <w:rFonts w:ascii="Times New Roman" w:hAnsi="Times New Roman" w:cs="Times New Roman"/>
                <w:sz w:val="20"/>
                <w:szCs w:val="24"/>
              </w:rPr>
              <w:t>3.75</w:t>
            </w:r>
          </w:p>
        </w:tc>
        <w:tc>
          <w:tcPr>
            <w:tcW w:type="dxa" w:w="3120"/>
            <w:vAlign w:val="top"/>
          </w:tcPr>
          <w:p>
            <w:pPr>
              <w:spacing w:after="0"/>
              <w:jc w:val="left"/>
            </w:pPr>
            <w:r>
              <w:rPr>
                <w:rFonts w:ascii="Times New Roman" w:hAnsi="Times New Roman" w:cs="Times New Roman"/>
                <w:sz w:val="20"/>
                <w:szCs w:val="24"/>
              </w:rPr>
              <w:t>Data and judgement skills rising; training adequacy lowest item</w:t>
            </w:r>
          </w:p>
        </w:tc>
      </w:tr>
      <w:tr>
        <w:tc>
          <w:tcPr>
            <w:tcW w:type="dxa" w:w="3120"/>
            <w:vAlign w:val="top"/>
          </w:tcPr>
          <w:p>
            <w:pPr>
              <w:spacing w:after="0"/>
              <w:jc w:val="left"/>
            </w:pPr>
            <w:r>
              <w:rPr>
                <w:rFonts w:ascii="Times New Roman" w:hAnsi="Times New Roman" w:cs="Times New Roman"/>
                <w:sz w:val="20"/>
                <w:szCs w:val="24"/>
              </w:rPr>
              <w:t>F. Oversight and accountability</w:t>
            </w:r>
          </w:p>
        </w:tc>
        <w:tc>
          <w:tcPr>
            <w:tcW w:type="dxa" w:w="3120"/>
            <w:vAlign w:val="top"/>
          </w:tcPr>
          <w:p>
            <w:pPr>
              <w:spacing w:after="0"/>
              <w:jc w:val="left"/>
            </w:pPr>
            <w:r>
              <w:rPr>
                <w:rFonts w:ascii="Times New Roman" w:hAnsi="Times New Roman" w:cs="Times New Roman"/>
                <w:sz w:val="20"/>
                <w:szCs w:val="24"/>
              </w:rPr>
              <w:t>3.83</w:t>
            </w:r>
          </w:p>
        </w:tc>
        <w:tc>
          <w:tcPr>
            <w:tcW w:type="dxa" w:w="3120"/>
            <w:vAlign w:val="top"/>
          </w:tcPr>
          <w:p>
            <w:pPr>
              <w:spacing w:after="0"/>
              <w:jc w:val="left"/>
            </w:pPr>
            <w:r>
              <w:rPr>
                <w:rFonts w:ascii="Times New Roman" w:hAnsi="Times New Roman" w:cs="Times New Roman"/>
                <w:sz w:val="20"/>
                <w:szCs w:val="24"/>
              </w:rPr>
              <w:t>Oversight present; operational clarity weaker</w:t>
            </w:r>
          </w:p>
        </w:tc>
      </w:tr>
      <w:tr>
        <w:tc>
          <w:tcPr>
            <w:tcW w:type="dxa" w:w="3120"/>
            <w:vAlign w:val="top"/>
          </w:tcPr>
          <w:p>
            <w:pPr>
              <w:spacing w:after="0"/>
              <w:jc w:val="left"/>
            </w:pPr>
            <w:r>
              <w:rPr>
                <w:rFonts w:ascii="Times New Roman" w:hAnsi="Times New Roman" w:cs="Times New Roman"/>
                <w:sz w:val="20"/>
                <w:szCs w:val="24"/>
              </w:rPr>
              <w:t>G. Organisational response (item 30 reverse-coded)</w:t>
            </w:r>
          </w:p>
        </w:tc>
        <w:tc>
          <w:tcPr>
            <w:tcW w:type="dxa" w:w="3120"/>
            <w:vAlign w:val="top"/>
          </w:tcPr>
          <w:p>
            <w:pPr>
              <w:spacing w:after="0"/>
              <w:jc w:val="left"/>
            </w:pPr>
            <w:r>
              <w:rPr>
                <w:rFonts w:ascii="Times New Roman" w:hAnsi="Times New Roman" w:cs="Times New Roman"/>
                <w:sz w:val="20"/>
                <w:szCs w:val="24"/>
              </w:rPr>
              <w:t>3.58</w:t>
            </w:r>
          </w:p>
        </w:tc>
        <w:tc>
          <w:tcPr>
            <w:tcW w:type="dxa" w:w="3120"/>
            <w:vAlign w:val="top"/>
          </w:tcPr>
          <w:p>
            <w:pPr>
              <w:spacing w:after="0"/>
              <w:jc w:val="left"/>
            </w:pPr>
            <w:r>
              <w:rPr>
                <w:rFonts w:ascii="Times New Roman" w:hAnsi="Times New Roman" w:cs="Times New Roman"/>
                <w:sz w:val="20"/>
                <w:szCs w:val="24"/>
              </w:rPr>
              <w:t>Communication and commitment positive; some turnover intent</w:t>
            </w:r>
          </w:p>
        </w:tc>
      </w:tr>
    </w:tbl>
    <w:p>
      <w:pPr>
        <w:jc w:val="both"/>
        <w:rPr>
          <w:rFonts w:ascii="Times New Roman" w:hAnsi="Times New Roman" w:cs="Times New Roman"/>
          <w:sz w:val="24"/>
          <w:szCs w:val="24"/>
        </w:rPr>
      </w:pPr>
      <w:r>
        <w:rPr>
          <w:rFonts w:ascii="Times New Roman" w:hAnsi="Times New Roman" w:cs="Times New Roman"/>
          <w:b/>
          <w:sz w:val="24"/>
          <w:szCs w:val="24"/>
        </w:rPr>
        <w:t>Key inferences from the questionnaire</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Usability-transparency gap.</w:t>
      </w:r>
      <w:r>
        <w:rPr>
          <w:rFonts w:ascii="Times New Roman" w:hAnsi="Times New Roman" w:cs="Times New Roman"/>
          <w:sz w:val="24"/>
          <w:szCs w:val="24"/>
        </w:rPr>
        <w:t xml:space="preserve"> Ease of use (items 11, 13: 4.33) is clearly higher than understanding what the tool is doing (item 12: 3.33). Tools are easy to operate but not easy to see into - consistent with interview theme T10 and with the transparency dimension of cognitive trust (Glikson &amp; Woolley, 2020).</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Conditional trust (H4).</w:t>
      </w:r>
      <w:r>
        <w:rPr>
          <w:rFonts w:ascii="Times New Roman" w:hAnsi="Times New Roman" w:cs="Times New Roman"/>
          <w:sz w:val="24"/>
          <w:szCs w:val="24"/>
        </w:rPr>
        <w:t xml:space="preserve"> Confidence in defending an AI-assisted decision (4.33) is higher than comfort in relying on AI output without re-performing work (3.67), and the latter shows wider dispersion. Practitioners keep a human check in place even when they rate outputs as reliable - supporting T4.</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Change is accepted as inevitable (H3).</w:t>
      </w:r>
      <w:r>
        <w:rPr>
          <w:rFonts w:ascii="Times New Roman" w:hAnsi="Times New Roman" w:cs="Times New Roman"/>
          <w:sz w:val="24"/>
          <w:szCs w:val="24"/>
        </w:rPr>
        <w:t xml:space="preserve"> Expectation that roles will change substantially (item 20: 4.33, lowest dispersion) is the strongest replaceability item, while concern that one's own role could be performed by AI (item 19) is the most dispersed item in the instrument - consistent with T10, where anxiety is concentrated among junior staff.</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Training lags skill demand.</w:t>
      </w:r>
      <w:r>
        <w:rPr>
          <w:rFonts w:ascii="Times New Roman" w:hAnsi="Times New Roman" w:cs="Times New Roman"/>
          <w:sz w:val="24"/>
          <w:szCs w:val="24"/>
        </w:rPr>
        <w:t xml:space="preserve"> Rising importance of data skills and of judgement (items 24-25: 4.00) is not matched by adequacy of training (item 23: 3.33, high dispersion) - supporting T7 and T9.</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Oversight exists but is not yet operationalised.</w:t>
      </w:r>
      <w:r>
        <w:rPr>
          <w:rFonts w:ascii="Times New Roman" w:hAnsi="Times New Roman" w:cs="Times New Roman"/>
          <w:sz w:val="24"/>
          <w:szCs w:val="24"/>
        </w:rPr>
        <w:t xml:space="preserve"> Knowledge of accountable persons (item 26: 4.00) is rated higher than the clarity with which regulatory oversight requirements are reflected in practice (item 27: 3.67) - supporting T5 and T6.</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Perceived usefulness depends on maturity.</w:t>
      </w:r>
      <w:r>
        <w:rPr>
          <w:rFonts w:ascii="Times New Roman" w:hAnsi="Times New Roman" w:cs="Times New Roman"/>
          <w:sz w:val="24"/>
          <w:szCs w:val="24"/>
        </w:rPr>
        <w:t xml:space="preserve"> Usefulness scores were lowest where AI was only piloted and higher where it was used in processes - consistent with T1 and with the Technology Acceptance Model (Davis, 1989).</w:t>
      </w:r>
    </w:p>
    <w:p>
      <w:pPr>
        <w:numPr>
          <w:ilvl w:val="0"/>
          <w:numId w:val="3"/>
        </w:numPr>
        <w:jc w:val="left"/>
        <w:rPr>
          <w:rFonts w:ascii="Times New Roman" w:hAnsi="Times New Roman" w:cs="Times New Roman"/>
          <w:sz w:val="24"/>
          <w:szCs w:val="24"/>
        </w:rPr>
      </w:pPr>
      <w:r>
        <w:rPr>
          <w:rFonts w:ascii="Times New Roman" w:hAnsi="Times New Roman" w:cs="Times New Roman"/>
          <w:b/>
          <w:sz w:val="24"/>
          <w:szCs w:val="24"/>
        </w:rPr>
        <w:t>Open-ended responses</w:t>
      </w:r>
      <w:r>
        <w:rPr>
          <w:rFonts w:ascii="Times New Roman" w:hAnsi="Times New Roman" w:cs="Times New Roman"/>
          <w:sz w:val="24"/>
          <w:szCs w:val="24"/>
        </w:rPr>
        <w:t xml:space="preserve"> identified human review and oversight as the part of GRC work that should not be automated, and dedicated learning modules for each regulation within every domain as the single change that would most help staff adapt.</w:t>
      </w:r>
    </w:p>
    <w:p>
      <w:pPr>
        <w:jc w:val="both"/>
        <w:rPr>
          <w:rFonts w:ascii="Times New Roman" w:hAnsi="Times New Roman" w:cs="Times New Roman"/>
          <w:sz w:val="24"/>
          <w:szCs w:val="24"/>
        </w:rPr>
      </w:pPr>
      <w:r>
        <w:rPr>
          <w:rFonts w:ascii="Times New Roman" w:hAnsi="Times New Roman" w:cs="Times New Roman"/>
          <w:b/>
          <w:sz w:val="24"/>
          <w:szCs w:val="24"/>
        </w:rPr>
        <w:t>Data-quality note.</w:t>
      </w:r>
      <w:r>
        <w:rPr>
          <w:rFonts w:ascii="Times New Roman" w:hAnsi="Times New Roman" w:cs="Times New Roman"/>
          <w:sz w:val="24"/>
          <w:szCs w:val="24"/>
        </w:rPr>
        <w:t xml:space="preserve"> One response gave the highest rating on every item from Construct C onwards, including logically opposing items (item 30, considering leaving, and item 31, commitment). This is characteristic of uniform responding; the response is retained but interpreted with caution and will be screened using the reverse-worded items in the final analysis.</w:t>
      </w:r>
    </w:p>
    <w:p>
      <w:pPr>
        <w:jc w:val="left"/>
        <w:rPr>
          <w:rFonts w:ascii="Times New Roman" w:hAnsi="Times New Roman" w:cs="Times New Roman"/>
          <w:sz w:val="24"/>
          <w:szCs w:val="24"/>
        </w:rPr>
      </w:pPr>
      <w:r>
        <w:rPr>
          <w:rFonts w:ascii="Times New Roman" w:hAnsi="Times New Roman" w:cs="Times New Roman"/>
          <w:b/>
          <w:sz w:val="24"/>
          <w:szCs w:val="24"/>
        </w:rPr>
        <w:t>5.3 Analysis of Secondary Data</w:t>
      </w:r>
    </w:p>
    <w:p>
      <w:pPr>
        <w:jc w:val="left"/>
        <w:rPr>
          <w:rFonts w:ascii="Times New Roman" w:hAnsi="Times New Roman" w:cs="Times New Roman"/>
          <w:sz w:val="24"/>
          <w:szCs w:val="24"/>
        </w:rPr>
      </w:pPr>
      <w:r>
        <w:rPr>
          <w:rFonts w:ascii="Times New Roman" w:hAnsi="Times New Roman" w:cs="Times New Roman"/>
          <w:b/>
          <w:sz w:val="24"/>
          <w:szCs w:val="24"/>
        </w:rPr>
        <w:t>5.3.1 Extent of AI adoption and the skills constraint (Objective i)</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Indicator</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Source</w:t>
            </w:r>
          </w:p>
        </w:tc>
      </w:tr>
      <w:tr>
        <w:tc>
          <w:tcPr>
            <w:tcW w:type="dxa" w:w="3120"/>
            <w:vAlign w:val="top"/>
          </w:tcPr>
          <w:p>
            <w:pPr>
              <w:spacing w:after="0"/>
              <w:jc w:val="left"/>
            </w:pPr>
            <w:r>
              <w:rPr>
                <w:rFonts w:ascii="Times New Roman" w:hAnsi="Times New Roman" w:cs="Times New Roman"/>
                <w:sz w:val="20"/>
                <w:szCs w:val="24"/>
              </w:rPr>
              <w:t>AI adoption</w:t>
            </w:r>
          </w:p>
        </w:tc>
        <w:tc>
          <w:tcPr>
            <w:tcW w:type="dxa" w:w="3120"/>
            <w:vAlign w:val="top"/>
          </w:tcPr>
          <w:p>
            <w:pPr>
              <w:spacing w:after="0"/>
              <w:jc w:val="left"/>
            </w:pPr>
            <w:r>
              <w:rPr>
                <w:rFonts w:ascii="Times New Roman" w:hAnsi="Times New Roman" w:cs="Times New Roman"/>
                <w:sz w:val="20"/>
                <w:szCs w:val="24"/>
              </w:rPr>
              <w:t>75% of UK financial services firms already use AI; a further 10% plan to within three years</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Third-party dependence</w:t>
            </w:r>
          </w:p>
        </w:tc>
        <w:tc>
          <w:tcPr>
            <w:tcW w:type="dxa" w:w="3120"/>
            <w:vAlign w:val="top"/>
          </w:tcPr>
          <w:p>
            <w:pPr>
              <w:spacing w:after="0"/>
              <w:jc w:val="left"/>
            </w:pPr>
            <w:r>
              <w:rPr>
                <w:rFonts w:ascii="Times New Roman" w:hAnsi="Times New Roman" w:cs="Times New Roman"/>
                <w:sz w:val="20"/>
                <w:szCs w:val="24"/>
              </w:rPr>
              <w:t>One third of AI use cases are third-party implementations (up from 17% in 2022); risk and compliance at 64% is among the highest areas</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Concentration</w:t>
            </w:r>
          </w:p>
        </w:tc>
        <w:tc>
          <w:tcPr>
            <w:tcW w:type="dxa" w:w="3120"/>
            <w:vAlign w:val="top"/>
          </w:tcPr>
          <w:p>
            <w:pPr>
              <w:spacing w:after="0"/>
              <w:jc w:val="left"/>
            </w:pPr>
            <w:r>
              <w:rPr>
                <w:rFonts w:ascii="Times New Roman" w:hAnsi="Times New Roman" w:cs="Times New Roman"/>
                <w:sz w:val="20"/>
                <w:szCs w:val="24"/>
              </w:rPr>
              <w:t>Top three third-party providers account for 73% of cloud, 44% of model and 33% of data provision</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Understanding</w:t>
            </w:r>
          </w:p>
        </w:tc>
        <w:tc>
          <w:tcPr>
            <w:tcW w:type="dxa" w:w="3120"/>
            <w:vAlign w:val="top"/>
          </w:tcPr>
          <w:p>
            <w:pPr>
              <w:spacing w:after="0"/>
              <w:jc w:val="left"/>
            </w:pPr>
            <w:r>
              <w:rPr>
                <w:rFonts w:ascii="Times New Roman" w:hAnsi="Times New Roman" w:cs="Times New Roman"/>
                <w:sz w:val="20"/>
                <w:szCs w:val="24"/>
              </w:rPr>
              <w:t>46% of firms report only "partial understanding" of the AI they use, versus 34% "complete understanding"</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Skills constraint</w:t>
            </w:r>
          </w:p>
        </w:tc>
        <w:tc>
          <w:tcPr>
            <w:tcW w:type="dxa" w:w="3120"/>
            <w:vAlign w:val="top"/>
          </w:tcPr>
          <w:p>
            <w:pPr>
              <w:spacing w:after="0"/>
              <w:jc w:val="left"/>
            </w:pPr>
            <w:r>
              <w:rPr>
                <w:rFonts w:ascii="Times New Roman" w:hAnsi="Times New Roman" w:cs="Times New Roman"/>
                <w:sz w:val="20"/>
                <w:szCs w:val="24"/>
              </w:rPr>
              <w:t>Insufficient talent/access to skills rated a large constraint by 25% of firms and a medium constraint by 32%</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Expected growth in compliance use</w:t>
            </w:r>
          </w:p>
        </w:tc>
        <w:tc>
          <w:tcPr>
            <w:tcW w:type="dxa" w:w="3120"/>
            <w:vAlign w:val="top"/>
          </w:tcPr>
          <w:p>
            <w:pPr>
              <w:spacing w:after="0"/>
              <w:jc w:val="left"/>
            </w:pPr>
            <w:r>
              <w:rPr>
                <w:rFonts w:ascii="Times New Roman" w:hAnsi="Times New Roman" w:cs="Times New Roman"/>
                <w:sz w:val="20"/>
                <w:szCs w:val="24"/>
              </w:rPr>
              <w:t>An additional 32% of firms expect to use AI for regulatory compliance and reporting within three years</w:t>
            </w:r>
          </w:p>
        </w:tc>
        <w:tc>
          <w:tcPr>
            <w:tcW w:type="dxa" w:w="3120"/>
            <w:vAlign w:val="top"/>
          </w:tcPr>
          <w:p>
            <w:pPr>
              <w:spacing w:after="0"/>
              <w:jc w:val="left"/>
            </w:pPr>
            <w:r>
              <w:rPr>
                <w:rFonts w:ascii="Times New Roman" w:hAnsi="Times New Roman" w:cs="Times New Roman"/>
                <w:sz w:val="20"/>
                <w:szCs w:val="24"/>
              </w:rPr>
              <w:t>Bank of England &amp; FCA (2024)</w:t>
            </w:r>
          </w:p>
        </w:tc>
      </w:tr>
      <w:tr>
        <w:tc>
          <w:tcPr>
            <w:tcW w:type="dxa" w:w="3120"/>
            <w:vAlign w:val="top"/>
          </w:tcPr>
          <w:p>
            <w:pPr>
              <w:spacing w:after="0"/>
              <w:jc w:val="left"/>
            </w:pPr>
            <w:r>
              <w:rPr>
                <w:rFonts w:ascii="Times New Roman" w:hAnsi="Times New Roman" w:cs="Times New Roman"/>
                <w:sz w:val="20"/>
                <w:szCs w:val="24"/>
              </w:rPr>
              <w:t>Accountability</w:t>
            </w:r>
          </w:p>
        </w:tc>
        <w:tc>
          <w:tcPr>
            <w:tcW w:type="dxa" w:w="3120"/>
            <w:vAlign w:val="top"/>
          </w:tcPr>
          <w:p>
            <w:pPr>
              <w:spacing w:after="0"/>
              <w:jc w:val="left"/>
            </w:pPr>
            <w:r>
              <w:rPr>
                <w:rFonts w:ascii="Times New Roman" w:hAnsi="Times New Roman" w:cs="Times New Roman"/>
                <w:sz w:val="20"/>
                <w:szCs w:val="24"/>
              </w:rPr>
              <w:t>84% of firms have an accountable person for their AI framework; 72% assign accountability for AI use cases to executive leadership, but most report three or more accountable persons or bodies</w:t>
            </w:r>
          </w:p>
        </w:tc>
        <w:tc>
          <w:tcPr>
            <w:tcW w:type="dxa" w:w="3120"/>
            <w:vAlign w:val="top"/>
          </w:tcPr>
          <w:p>
            <w:pPr>
              <w:spacing w:after="0"/>
              <w:jc w:val="left"/>
            </w:pPr>
            <w:r>
              <w:rPr>
                <w:rFonts w:ascii="Times New Roman" w:hAnsi="Times New Roman" w:cs="Times New Roman"/>
                <w:sz w:val="20"/>
                <w:szCs w:val="24"/>
              </w:rPr>
              <w:t>Bank of England &amp; FCA (2024)</w:t>
            </w:r>
          </w:p>
        </w:tc>
      </w:tr>
    </w:tbl>
    <w:p>
      <w:pPr>
        <w:jc w:val="both"/>
        <w:rPr>
          <w:rFonts w:ascii="Times New Roman" w:hAnsi="Times New Roman" w:cs="Times New Roman"/>
          <w:sz w:val="24"/>
          <w:szCs w:val="24"/>
        </w:rPr>
      </w:pPr>
      <w:r>
        <w:rPr>
          <w:rFonts w:ascii="Times New Roman" w:hAnsi="Times New Roman" w:cs="Times New Roman"/>
          <w:i/>
          <w:sz w:val="24"/>
          <w:szCs w:val="24"/>
        </w:rPr>
        <w:t>Inference:</w:t>
      </w:r>
      <w:r>
        <w:rPr>
          <w:rFonts w:ascii="Times New Roman" w:hAnsi="Times New Roman" w:cs="Times New Roman"/>
          <w:sz w:val="24"/>
          <w:szCs w:val="24"/>
        </w:rPr>
        <w:t xml:space="preserve"> AI in GRC is spreading quickly but largely through third-party models that firms only partly understand, with accountability split across several owners. This directly matches interview themes T1, T5 and T9.</w:t>
      </w:r>
    </w:p>
    <w:p>
      <w:pPr>
        <w:jc w:val="left"/>
        <w:rPr>
          <w:rFonts w:ascii="Times New Roman" w:hAnsi="Times New Roman" w:cs="Times New Roman"/>
          <w:sz w:val="24"/>
          <w:szCs w:val="24"/>
        </w:rPr>
      </w:pPr>
      <w:r>
        <w:rPr>
          <w:rFonts w:ascii="Times New Roman" w:hAnsi="Times New Roman" w:cs="Times New Roman"/>
          <w:b/>
          <w:sz w:val="24"/>
          <w:szCs w:val="24"/>
        </w:rPr>
        <w:t>5.3.2 Regulatory requirements mapped to workforce competence and oversight (Objective ii)</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Instrument</w:t>
            </w:r>
          </w:p>
        </w:tc>
        <w:tc>
          <w:tcPr>
            <w:tcW w:type="dxa" w:w="3120"/>
            <w:vAlign w:val="top"/>
            <w:shd w:fill="D9D9D9" w:val="clear"/>
          </w:tcPr>
          <w:p>
            <w:pPr>
              <w:spacing w:after="0"/>
              <w:jc w:val="left"/>
            </w:pPr>
            <w:r>
              <w:rPr>
                <w:rFonts w:ascii="Times New Roman" w:hAnsi="Times New Roman" w:cs="Times New Roman"/>
                <w:b/>
                <w:sz w:val="20"/>
                <w:szCs w:val="24"/>
              </w:rPr>
              <w:t>Workforce-relevant requirement</w:t>
            </w:r>
          </w:p>
        </w:tc>
        <w:tc>
          <w:tcPr>
            <w:tcW w:type="dxa" w:w="3120"/>
            <w:vAlign w:val="top"/>
            <w:shd w:fill="D9D9D9" w:val="clear"/>
          </w:tcPr>
          <w:p>
            <w:pPr>
              <w:spacing w:after="0"/>
              <w:jc w:val="left"/>
            </w:pPr>
            <w:r>
              <w:rPr>
                <w:rFonts w:ascii="Times New Roman" w:hAnsi="Times New Roman" w:cs="Times New Roman"/>
                <w:b/>
                <w:sz w:val="20"/>
                <w:szCs w:val="24"/>
              </w:rPr>
              <w:t>Implication for GRC workforce management</w:t>
            </w:r>
          </w:p>
        </w:tc>
      </w:tr>
      <w:tr>
        <w:tc>
          <w:tcPr>
            <w:tcW w:type="dxa" w:w="3120"/>
            <w:vAlign w:val="top"/>
          </w:tcPr>
          <w:p>
            <w:pPr>
              <w:spacing w:after="0"/>
              <w:jc w:val="left"/>
            </w:pPr>
            <w:r>
              <w:rPr>
                <w:rFonts w:ascii="Times New Roman" w:hAnsi="Times New Roman" w:cs="Times New Roman"/>
                <w:sz w:val="20"/>
                <w:szCs w:val="24"/>
              </w:rPr>
              <w:t>EU DORA (Reg. 2022/2554)</w:t>
            </w:r>
          </w:p>
        </w:tc>
        <w:tc>
          <w:tcPr>
            <w:tcW w:type="dxa" w:w="3120"/>
            <w:vAlign w:val="top"/>
          </w:tcPr>
          <w:p>
            <w:pPr>
              <w:spacing w:after="0"/>
              <w:jc w:val="left"/>
            </w:pPr>
            <w:r>
              <w:rPr>
                <w:rFonts w:ascii="Times New Roman" w:hAnsi="Times New Roman" w:cs="Times New Roman"/>
                <w:sz w:val="20"/>
                <w:szCs w:val="24"/>
              </w:rPr>
              <w:t>Management body bears ultimate responsibility for ICT risk and must maintain knowledge and skills through regular training (Art. 5); budget for ICT security awareness, resilience training and ICT skills for all staff; ICT risk in an independent control function; ICT auditors with sufficient expertise (Art. 6); compulsory ICT security and resilience training for all staff and senior management (Art. 13)</w:t>
            </w:r>
          </w:p>
        </w:tc>
        <w:tc>
          <w:tcPr>
            <w:tcW w:type="dxa" w:w="3120"/>
            <w:vAlign w:val="top"/>
          </w:tcPr>
          <w:p>
            <w:pPr>
              <w:spacing w:after="0"/>
              <w:jc w:val="left"/>
            </w:pPr>
            <w:r>
              <w:rPr>
                <w:rFonts w:ascii="Times New Roman" w:hAnsi="Times New Roman" w:cs="Times New Roman"/>
                <w:sz w:val="20"/>
                <w:szCs w:val="24"/>
              </w:rPr>
              <w:t>Board and staff capability becomes auditable; training records and role-specific curricula become compliance evidence</w:t>
            </w:r>
          </w:p>
        </w:tc>
      </w:tr>
      <w:tr>
        <w:tc>
          <w:tcPr>
            <w:tcW w:type="dxa" w:w="3120"/>
            <w:vAlign w:val="top"/>
          </w:tcPr>
          <w:p>
            <w:pPr>
              <w:spacing w:after="0"/>
              <w:jc w:val="left"/>
            </w:pPr>
            <w:r>
              <w:rPr>
                <w:rFonts w:ascii="Times New Roman" w:hAnsi="Times New Roman" w:cs="Times New Roman"/>
                <w:sz w:val="20"/>
                <w:szCs w:val="24"/>
              </w:rPr>
              <w:t>EU AI Act (Reg. 2024/1689), as amended by the Digital Omnibus on AI (2026)</w:t>
            </w:r>
          </w:p>
        </w:tc>
        <w:tc>
          <w:tcPr>
            <w:tcW w:type="dxa" w:w="3120"/>
            <w:vAlign w:val="top"/>
          </w:tcPr>
          <w:p>
            <w:pPr>
              <w:spacing w:after="0"/>
              <w:jc w:val="left"/>
            </w:pPr>
            <w:r>
              <w:rPr>
                <w:rFonts w:ascii="Times New Roman" w:hAnsi="Times New Roman" w:cs="Times New Roman"/>
                <w:sz w:val="20"/>
                <w:szCs w:val="24"/>
              </w:rPr>
              <w:t>AI literacy duty retained but recast as a duty of means calibrated to role and context (Art. 4); effective human oversight of high-risk systems - overseers must understand limits, guard against automation bias and be able to override (Art. 14); high-risk obligations (including creditworthiness assessment) deferred</w:t>
            </w:r>
          </w:p>
        </w:tc>
        <w:tc>
          <w:tcPr>
            <w:tcW w:type="dxa" w:w="3120"/>
            <w:vAlign w:val="top"/>
          </w:tcPr>
          <w:p>
            <w:pPr>
              <w:spacing w:after="0"/>
              <w:jc w:val="left"/>
            </w:pPr>
            <w:r>
              <w:rPr>
                <w:rFonts w:ascii="Times New Roman" w:hAnsi="Times New Roman" w:cs="Times New Roman"/>
                <w:sz w:val="20"/>
                <w:szCs w:val="24"/>
              </w:rPr>
              <w:t>Role-based AI-literacy programmes; designated trained overseers; the deferral is a window to build oversight capability</w:t>
            </w:r>
          </w:p>
        </w:tc>
      </w:tr>
      <w:tr>
        <w:tc>
          <w:tcPr>
            <w:tcW w:type="dxa" w:w="3120"/>
            <w:vAlign w:val="top"/>
          </w:tcPr>
          <w:p>
            <w:pPr>
              <w:spacing w:after="0"/>
              <w:jc w:val="left"/>
            </w:pPr>
            <w:r>
              <w:rPr>
                <w:rFonts w:ascii="Times New Roman" w:hAnsi="Times New Roman" w:cs="Times New Roman"/>
                <w:sz w:val="20"/>
                <w:szCs w:val="24"/>
              </w:rPr>
              <w:t>PRA SS1/23</w:t>
            </w:r>
          </w:p>
        </w:tc>
        <w:tc>
          <w:tcPr>
            <w:tcW w:type="dxa" w:w="3120"/>
            <w:vAlign w:val="top"/>
          </w:tcPr>
          <w:p>
            <w:pPr>
              <w:spacing w:after="0"/>
              <w:jc w:val="left"/>
            </w:pPr>
            <w:r>
              <w:rPr>
                <w:rFonts w:ascii="Times New Roman" w:hAnsi="Times New Roman" w:cs="Times New Roman"/>
                <w:sz w:val="20"/>
                <w:szCs w:val="24"/>
              </w:rPr>
              <w:t>Accountable SMF for the model risk framework, including effective challenge and independent validation; roles across the model lifecycle documented with required skills and experience; validators need technical expertise, business familiarity and standing to escalate; applies to AI/ML models</w:t>
            </w:r>
          </w:p>
        </w:tc>
        <w:tc>
          <w:tcPr>
            <w:tcW w:type="dxa" w:w="3120"/>
            <w:vAlign w:val="top"/>
          </w:tcPr>
          <w:p>
            <w:pPr>
              <w:spacing w:after="0"/>
              <w:jc w:val="left"/>
            </w:pPr>
            <w:r>
              <w:rPr>
                <w:rFonts w:ascii="Times New Roman" w:hAnsi="Times New Roman" w:cs="Times New Roman"/>
                <w:sz w:val="20"/>
                <w:szCs w:val="24"/>
              </w:rPr>
              <w:t>AI-capable model validation and model risk roles; skills written into role definitions</w:t>
            </w:r>
          </w:p>
        </w:tc>
      </w:tr>
      <w:tr>
        <w:tc>
          <w:tcPr>
            <w:tcW w:type="dxa" w:w="3120"/>
            <w:vAlign w:val="top"/>
          </w:tcPr>
          <w:p>
            <w:pPr>
              <w:spacing w:after="0"/>
              <w:jc w:val="left"/>
            </w:pPr>
            <w:r>
              <w:rPr>
                <w:rFonts w:ascii="Times New Roman" w:hAnsi="Times New Roman" w:cs="Times New Roman"/>
                <w:sz w:val="20"/>
                <w:szCs w:val="24"/>
              </w:rPr>
              <w:t>UK SM&amp;CR (with FCA/PRA AI Update)</w:t>
            </w:r>
          </w:p>
        </w:tc>
        <w:tc>
          <w:tcPr>
            <w:tcW w:type="dxa" w:w="3120"/>
            <w:vAlign w:val="top"/>
          </w:tcPr>
          <w:p>
            <w:pPr>
              <w:spacing w:after="0"/>
              <w:jc w:val="left"/>
            </w:pPr>
            <w:r>
              <w:rPr>
                <w:rFonts w:ascii="Times New Roman" w:hAnsi="Times New Roman" w:cs="Times New Roman"/>
                <w:sz w:val="20"/>
                <w:szCs w:val="24"/>
              </w:rPr>
              <w:t>No dedicated AI Senior Manager; existing SMFs and conduct rules apply to AI use, including the duty to take reasonable steps</w:t>
            </w:r>
          </w:p>
        </w:tc>
        <w:tc>
          <w:tcPr>
            <w:tcW w:type="dxa" w:w="3120"/>
            <w:vAlign w:val="top"/>
          </w:tcPr>
          <w:p>
            <w:pPr>
              <w:spacing w:after="0"/>
              <w:jc w:val="left"/>
            </w:pPr>
            <w:r>
              <w:rPr>
                <w:rFonts w:ascii="Times New Roman" w:hAnsi="Times New Roman" w:cs="Times New Roman"/>
                <w:sz w:val="20"/>
                <w:szCs w:val="24"/>
              </w:rPr>
              <w:t>AI accountability falls on existing named executives - the understanding gap (T5) becomes a personal regulatory exposure</w:t>
            </w:r>
          </w:p>
        </w:tc>
      </w:tr>
      <w:tr>
        <w:tc>
          <w:tcPr>
            <w:tcW w:type="dxa" w:w="3120"/>
            <w:vAlign w:val="top"/>
          </w:tcPr>
          <w:p>
            <w:pPr>
              <w:spacing w:after="0"/>
              <w:jc w:val="left"/>
            </w:pPr>
            <w:r>
              <w:rPr>
                <w:rFonts w:ascii="Times New Roman" w:hAnsi="Times New Roman" w:cs="Times New Roman"/>
                <w:sz w:val="20"/>
                <w:szCs w:val="24"/>
              </w:rPr>
              <w:t>FCA Consumer Duty</w:t>
            </w:r>
          </w:p>
        </w:tc>
        <w:tc>
          <w:tcPr>
            <w:tcW w:type="dxa" w:w="3120"/>
            <w:vAlign w:val="top"/>
          </w:tcPr>
          <w:p>
            <w:pPr>
              <w:spacing w:after="0"/>
              <w:jc w:val="left"/>
            </w:pPr>
            <w:r>
              <w:rPr>
                <w:rFonts w:ascii="Times New Roman" w:hAnsi="Times New Roman" w:cs="Times New Roman"/>
                <w:sz w:val="20"/>
                <w:szCs w:val="24"/>
              </w:rPr>
              <w:t>Firms must evidence good customer outcomes, including from automated decisions</w:t>
            </w:r>
          </w:p>
        </w:tc>
        <w:tc>
          <w:tcPr>
            <w:tcW w:type="dxa" w:w="3120"/>
            <w:vAlign w:val="top"/>
          </w:tcPr>
          <w:p>
            <w:pPr>
              <w:spacing w:after="0"/>
              <w:jc w:val="left"/>
            </w:pPr>
            <w:r>
              <w:rPr>
                <w:rFonts w:ascii="Times New Roman" w:hAnsi="Times New Roman" w:cs="Times New Roman"/>
                <w:sz w:val="20"/>
                <w:szCs w:val="24"/>
              </w:rPr>
              <w:t>Conduct and compliance staff need outcome-analytics skills</w:t>
            </w:r>
          </w:p>
        </w:tc>
      </w:tr>
      <w:tr>
        <w:tc>
          <w:tcPr>
            <w:tcW w:type="dxa" w:w="3120"/>
            <w:vAlign w:val="top"/>
          </w:tcPr>
          <w:p>
            <w:pPr>
              <w:spacing w:after="0"/>
              <w:jc w:val="left"/>
            </w:pPr>
            <w:r>
              <w:rPr>
                <w:rFonts w:ascii="Times New Roman" w:hAnsi="Times New Roman" w:cs="Times New Roman"/>
                <w:sz w:val="20"/>
                <w:szCs w:val="24"/>
              </w:rPr>
              <w:t>EU AML package (AMLR / AMLA, 2024)</w:t>
            </w:r>
          </w:p>
        </w:tc>
        <w:tc>
          <w:tcPr>
            <w:tcW w:type="dxa" w:w="3120"/>
            <w:vAlign w:val="top"/>
          </w:tcPr>
          <w:p>
            <w:pPr>
              <w:spacing w:after="0"/>
              <w:jc w:val="left"/>
            </w:pPr>
            <w:r>
              <w:rPr>
                <w:rFonts w:ascii="Times New Roman" w:hAnsi="Times New Roman" w:cs="Times New Roman"/>
                <w:sz w:val="20"/>
                <w:szCs w:val="24"/>
              </w:rPr>
              <w:t>Compliance manager at management-body level and a separate AML compliance officer with defined duties; single rulebook and direct EU supervision of selected entities</w:t>
            </w:r>
          </w:p>
        </w:tc>
        <w:tc>
          <w:tcPr>
            <w:tcW w:type="dxa" w:w="3120"/>
            <w:vAlign w:val="top"/>
          </w:tcPr>
          <w:p>
            <w:pPr>
              <w:spacing w:after="0"/>
              <w:jc w:val="left"/>
            </w:pPr>
            <w:r>
              <w:rPr>
                <w:rFonts w:ascii="Times New Roman" w:hAnsi="Times New Roman" w:cs="Times New Roman"/>
                <w:sz w:val="20"/>
                <w:szCs w:val="24"/>
              </w:rPr>
              <w:t>Financial crime leadership roles redefined and split; senior AML roles must own AI-enabled monitoring outcomes</w:t>
            </w:r>
          </w:p>
        </w:tc>
      </w:tr>
      <w:tr>
        <w:tc>
          <w:tcPr>
            <w:tcW w:type="dxa" w:w="3120"/>
            <w:vAlign w:val="top"/>
          </w:tcPr>
          <w:p>
            <w:pPr>
              <w:spacing w:after="0"/>
              <w:jc w:val="left"/>
            </w:pPr>
            <w:r>
              <w:rPr>
                <w:rFonts w:ascii="Times New Roman" w:hAnsi="Times New Roman" w:cs="Times New Roman"/>
                <w:sz w:val="20"/>
                <w:szCs w:val="24"/>
              </w:rPr>
              <w:t>ECB Supervisory priorities 2026-28</w:t>
            </w:r>
          </w:p>
        </w:tc>
        <w:tc>
          <w:tcPr>
            <w:tcW w:type="dxa" w:w="3120"/>
            <w:vAlign w:val="top"/>
          </w:tcPr>
          <w:p>
            <w:pPr>
              <w:spacing w:after="0"/>
              <w:jc w:val="left"/>
            </w:pPr>
            <w:r>
              <w:rPr>
                <w:rFonts w:ascii="Times New Roman" w:hAnsi="Times New Roman" w:cs="Times New Roman"/>
                <w:sz w:val="20"/>
                <w:szCs w:val="24"/>
              </w:rPr>
              <w:t>Operational resilience and ICT capabilities a standing priority; focus on banks' digital and AI strategies, governance and risk management</w:t>
            </w:r>
          </w:p>
        </w:tc>
        <w:tc>
          <w:tcPr>
            <w:tcW w:type="dxa" w:w="3120"/>
            <w:vAlign w:val="top"/>
          </w:tcPr>
          <w:p>
            <w:pPr>
              <w:spacing w:after="0"/>
              <w:jc w:val="left"/>
            </w:pPr>
            <w:r>
              <w:rPr>
                <w:rFonts w:ascii="Times New Roman" w:hAnsi="Times New Roman" w:cs="Times New Roman"/>
                <w:sz w:val="20"/>
                <w:szCs w:val="24"/>
              </w:rPr>
              <w:t>Supervisors will test whether AI governance is matched by people and skills</w:t>
            </w:r>
          </w:p>
        </w:tc>
      </w:tr>
    </w:tbl>
    <w:p>
      <w:pPr>
        <w:jc w:val="both"/>
        <w:rPr>
          <w:rFonts w:ascii="Times New Roman" w:hAnsi="Times New Roman" w:cs="Times New Roman"/>
          <w:sz w:val="24"/>
          <w:szCs w:val="24"/>
        </w:rPr>
      </w:pPr>
      <w:r>
        <w:rPr>
          <w:rFonts w:ascii="Times New Roman" w:hAnsi="Times New Roman" w:cs="Times New Roman"/>
          <w:i/>
          <w:sz w:val="24"/>
          <w:szCs w:val="24"/>
        </w:rPr>
        <w:t>Inference (supports P2):</w:t>
      </w:r>
      <w:r>
        <w:rPr>
          <w:rFonts w:ascii="Times New Roman" w:hAnsi="Times New Roman" w:cs="Times New Roman"/>
          <w:sz w:val="24"/>
          <w:szCs w:val="24"/>
        </w:rPr>
        <w:t xml:space="preserve"> Regulation does not prescribe headcount, but it does prescribe who must understand what, who is accountable, and that capability must be evidenced. Where AI automates a task, regulation requires a capable human to remain answerable for it.</w:t>
      </w:r>
    </w:p>
    <w:p>
      <w:pPr>
        <w:jc w:val="left"/>
        <w:rPr>
          <w:rFonts w:ascii="Times New Roman" w:hAnsi="Times New Roman" w:cs="Times New Roman"/>
          <w:sz w:val="24"/>
          <w:szCs w:val="24"/>
        </w:rPr>
      </w:pPr>
      <w:r>
        <w:rPr>
          <w:rFonts w:ascii="Times New Roman" w:hAnsi="Times New Roman" w:cs="Times New Roman"/>
          <w:b/>
          <w:sz w:val="24"/>
          <w:szCs w:val="24"/>
        </w:rPr>
        <w:t>5.3.3 Changing job descriptions and new roles (Objectives i and iii)</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Role family</w:t>
            </w:r>
          </w:p>
        </w:tc>
        <w:tc>
          <w:tcPr>
            <w:tcW w:type="dxa" w:w="3120"/>
            <w:vAlign w:val="top"/>
            <w:shd w:fill="D9D9D9" w:val="clear"/>
          </w:tcPr>
          <w:p>
            <w:pPr>
              <w:spacing w:after="0"/>
              <w:jc w:val="left"/>
            </w:pPr>
            <w:r>
              <w:rPr>
                <w:rFonts w:ascii="Times New Roman" w:hAnsi="Times New Roman" w:cs="Times New Roman"/>
                <w:b/>
                <w:sz w:val="20"/>
                <w:szCs w:val="24"/>
              </w:rPr>
              <w:t>Traditional emphasis</w:t>
            </w:r>
          </w:p>
        </w:tc>
        <w:tc>
          <w:tcPr>
            <w:tcW w:type="dxa" w:w="3120"/>
            <w:vAlign w:val="top"/>
            <w:shd w:fill="D9D9D9" w:val="clear"/>
          </w:tcPr>
          <w:p>
            <w:pPr>
              <w:spacing w:after="0"/>
              <w:jc w:val="left"/>
            </w:pPr>
            <w:r>
              <w:rPr>
                <w:rFonts w:ascii="Times New Roman" w:hAnsi="Times New Roman" w:cs="Times New Roman"/>
                <w:b/>
                <w:sz w:val="20"/>
                <w:szCs w:val="24"/>
              </w:rPr>
              <w:t>Emerging emphasis in current postings</w:t>
            </w:r>
          </w:p>
        </w:tc>
      </w:tr>
      <w:tr>
        <w:tc>
          <w:tcPr>
            <w:tcW w:type="dxa" w:w="3120"/>
            <w:vAlign w:val="top"/>
          </w:tcPr>
          <w:p>
            <w:pPr>
              <w:spacing w:after="0"/>
              <w:jc w:val="left"/>
            </w:pPr>
            <w:r>
              <w:rPr>
                <w:rFonts w:ascii="Times New Roman" w:hAnsi="Times New Roman" w:cs="Times New Roman"/>
                <w:sz w:val="20"/>
                <w:szCs w:val="24"/>
              </w:rPr>
              <w:t>KYC / CDD analyst</w:t>
            </w:r>
          </w:p>
        </w:tc>
        <w:tc>
          <w:tcPr>
            <w:tcW w:type="dxa" w:w="3120"/>
            <w:vAlign w:val="top"/>
          </w:tcPr>
          <w:p>
            <w:pPr>
              <w:spacing w:after="0"/>
              <w:jc w:val="left"/>
            </w:pPr>
            <w:r>
              <w:rPr>
                <w:rFonts w:ascii="Times New Roman" w:hAnsi="Times New Roman" w:cs="Times New Roman"/>
                <w:sz w:val="20"/>
                <w:szCs w:val="24"/>
              </w:rPr>
              <w:t>Document collection, data entry, periodic refresh</w:t>
            </w:r>
          </w:p>
        </w:tc>
        <w:tc>
          <w:tcPr>
            <w:tcW w:type="dxa" w:w="3120"/>
            <w:vAlign w:val="top"/>
          </w:tcPr>
          <w:p>
            <w:pPr>
              <w:spacing w:after="0"/>
              <w:jc w:val="left"/>
            </w:pPr>
            <w:r>
              <w:rPr>
                <w:rFonts w:ascii="Times New Roman" w:hAnsi="Times New Roman" w:cs="Times New Roman"/>
                <w:sz w:val="20"/>
                <w:szCs w:val="24"/>
              </w:rPr>
              <w:t>Exception handling, reviewing AI-prepared case summaries, judging conflicting data, quality-assuring automated refresh</w:t>
            </w:r>
          </w:p>
        </w:tc>
      </w:tr>
      <w:tr>
        <w:tc>
          <w:tcPr>
            <w:tcW w:type="dxa" w:w="3120"/>
            <w:vAlign w:val="top"/>
          </w:tcPr>
          <w:p>
            <w:pPr>
              <w:spacing w:after="0"/>
              <w:jc w:val="left"/>
            </w:pPr>
            <w:r>
              <w:rPr>
                <w:rFonts w:ascii="Times New Roman" w:hAnsi="Times New Roman" w:cs="Times New Roman"/>
                <w:sz w:val="20"/>
                <w:szCs w:val="24"/>
              </w:rPr>
              <w:t>Transaction monitoring / sanctions analyst</w:t>
            </w:r>
          </w:p>
        </w:tc>
        <w:tc>
          <w:tcPr>
            <w:tcW w:type="dxa" w:w="3120"/>
            <w:vAlign w:val="top"/>
          </w:tcPr>
          <w:p>
            <w:pPr>
              <w:spacing w:after="0"/>
              <w:jc w:val="left"/>
            </w:pPr>
            <w:r>
              <w:rPr>
                <w:rFonts w:ascii="Times New Roman" w:hAnsi="Times New Roman" w:cs="Times New Roman"/>
                <w:sz w:val="20"/>
                <w:szCs w:val="24"/>
              </w:rPr>
              <w:t>High-volume manual alert disposition</w:t>
            </w:r>
          </w:p>
        </w:tc>
        <w:tc>
          <w:tcPr>
            <w:tcW w:type="dxa" w:w="3120"/>
            <w:vAlign w:val="top"/>
          </w:tcPr>
          <w:p>
            <w:pPr>
              <w:spacing w:after="0"/>
              <w:jc w:val="left"/>
            </w:pPr>
            <w:r>
              <w:rPr>
                <w:rFonts w:ascii="Times New Roman" w:hAnsi="Times New Roman" w:cs="Times New Roman"/>
                <w:sz w:val="20"/>
                <w:szCs w:val="24"/>
              </w:rPr>
              <w:t>Investigating AI-prioritised alerts, typology knowledge, threshold-tuning input, documenting override rationale</w:t>
            </w:r>
          </w:p>
        </w:tc>
      </w:tr>
      <w:tr>
        <w:tc>
          <w:tcPr>
            <w:tcW w:type="dxa" w:w="3120"/>
            <w:vAlign w:val="top"/>
          </w:tcPr>
          <w:p>
            <w:pPr>
              <w:spacing w:after="0"/>
              <w:jc w:val="left"/>
            </w:pPr>
            <w:r>
              <w:rPr>
                <w:rFonts w:ascii="Times New Roman" w:hAnsi="Times New Roman" w:cs="Times New Roman"/>
                <w:sz w:val="20"/>
                <w:szCs w:val="24"/>
              </w:rPr>
              <w:t>Compliance testing / control assurance</w:t>
            </w:r>
          </w:p>
        </w:tc>
        <w:tc>
          <w:tcPr>
            <w:tcW w:type="dxa" w:w="3120"/>
            <w:vAlign w:val="top"/>
          </w:tcPr>
          <w:p>
            <w:pPr>
              <w:spacing w:after="0"/>
              <w:jc w:val="left"/>
            </w:pPr>
            <w:r>
              <w:rPr>
                <w:rFonts w:ascii="Times New Roman" w:hAnsi="Times New Roman" w:cs="Times New Roman"/>
                <w:sz w:val="20"/>
                <w:szCs w:val="24"/>
              </w:rPr>
              <w:t>Sample-based manual testing, evidence chasing</w:t>
            </w:r>
          </w:p>
        </w:tc>
        <w:tc>
          <w:tcPr>
            <w:tcW w:type="dxa" w:w="3120"/>
            <w:vAlign w:val="top"/>
          </w:tcPr>
          <w:p>
            <w:pPr>
              <w:spacing w:after="0"/>
              <w:jc w:val="left"/>
            </w:pPr>
            <w:r>
              <w:rPr>
                <w:rFonts w:ascii="Times New Roman" w:hAnsi="Times New Roman" w:cs="Times New Roman"/>
                <w:sz w:val="20"/>
                <w:szCs w:val="24"/>
              </w:rPr>
              <w:t>Continuous control monitoring design, full-population analytics, validating automated tests; pure execution roles contracting</w:t>
            </w:r>
          </w:p>
        </w:tc>
      </w:tr>
      <w:tr>
        <w:tc>
          <w:tcPr>
            <w:tcW w:type="dxa" w:w="3120"/>
            <w:vAlign w:val="top"/>
          </w:tcPr>
          <w:p>
            <w:pPr>
              <w:spacing w:after="0"/>
              <w:jc w:val="left"/>
            </w:pPr>
            <w:r>
              <w:rPr>
                <w:rFonts w:ascii="Times New Roman" w:hAnsi="Times New Roman" w:cs="Times New Roman"/>
                <w:sz w:val="20"/>
                <w:szCs w:val="24"/>
              </w:rPr>
              <w:t>Regulatory reporting</w:t>
            </w:r>
          </w:p>
        </w:tc>
        <w:tc>
          <w:tcPr>
            <w:tcW w:type="dxa" w:w="3120"/>
            <w:vAlign w:val="top"/>
          </w:tcPr>
          <w:p>
            <w:pPr>
              <w:spacing w:after="0"/>
              <w:jc w:val="left"/>
            </w:pPr>
            <w:r>
              <w:rPr>
                <w:rFonts w:ascii="Times New Roman" w:hAnsi="Times New Roman" w:cs="Times New Roman"/>
                <w:sz w:val="20"/>
                <w:szCs w:val="24"/>
              </w:rPr>
              <w:t>Data gathering, reconciliation, template population</w:t>
            </w:r>
          </w:p>
        </w:tc>
        <w:tc>
          <w:tcPr>
            <w:tcW w:type="dxa" w:w="3120"/>
            <w:vAlign w:val="top"/>
          </w:tcPr>
          <w:p>
            <w:pPr>
              <w:spacing w:after="0"/>
              <w:jc w:val="left"/>
            </w:pPr>
            <w:r>
              <w:rPr>
                <w:rFonts w:ascii="Times New Roman" w:hAnsi="Times New Roman" w:cs="Times New Roman"/>
                <w:sz w:val="20"/>
                <w:szCs w:val="24"/>
              </w:rPr>
              <w:t>Data lineage and quality ownership, reviewing automated reconciliations, explaining variances</w:t>
            </w:r>
          </w:p>
        </w:tc>
      </w:tr>
      <w:tr>
        <w:tc>
          <w:tcPr>
            <w:tcW w:type="dxa" w:w="3120"/>
            <w:vAlign w:val="top"/>
          </w:tcPr>
          <w:p>
            <w:pPr>
              <w:spacing w:after="0"/>
              <w:jc w:val="left"/>
            </w:pPr>
            <w:r>
              <w:rPr>
                <w:rFonts w:ascii="Times New Roman" w:hAnsi="Times New Roman" w:cs="Times New Roman"/>
                <w:sz w:val="20"/>
                <w:szCs w:val="24"/>
              </w:rPr>
              <w:t>Compliance advisory / regulatory change</w:t>
            </w:r>
          </w:p>
        </w:tc>
        <w:tc>
          <w:tcPr>
            <w:tcW w:type="dxa" w:w="3120"/>
            <w:vAlign w:val="top"/>
          </w:tcPr>
          <w:p>
            <w:pPr>
              <w:spacing w:after="0"/>
              <w:jc w:val="left"/>
            </w:pPr>
            <w:r>
              <w:rPr>
                <w:rFonts w:ascii="Times New Roman" w:hAnsi="Times New Roman" w:cs="Times New Roman"/>
                <w:sz w:val="20"/>
                <w:szCs w:val="24"/>
              </w:rPr>
              <w:t>Reading and summarising rules, manual impact assessment</w:t>
            </w:r>
          </w:p>
        </w:tc>
        <w:tc>
          <w:tcPr>
            <w:tcW w:type="dxa" w:w="3120"/>
            <w:vAlign w:val="top"/>
          </w:tcPr>
          <w:p>
            <w:pPr>
              <w:spacing w:after="0"/>
              <w:jc w:val="left"/>
            </w:pPr>
            <w:r>
              <w:rPr>
                <w:rFonts w:ascii="Times New Roman" w:hAnsi="Times New Roman" w:cs="Times New Roman"/>
                <w:sz w:val="20"/>
                <w:szCs w:val="24"/>
              </w:rPr>
              <w:t>Validating AI-generated horizon scanning and obligation mapping, interpreting regulatory intent</w:t>
            </w:r>
          </w:p>
        </w:tc>
      </w:tr>
      <w:tr>
        <w:tc>
          <w:tcPr>
            <w:tcW w:type="dxa" w:w="3120"/>
            <w:vAlign w:val="top"/>
          </w:tcPr>
          <w:p>
            <w:pPr>
              <w:spacing w:after="0"/>
              <w:jc w:val="left"/>
            </w:pPr>
            <w:r>
              <w:rPr>
                <w:rFonts w:ascii="Times New Roman" w:hAnsi="Times New Roman" w:cs="Times New Roman"/>
                <w:sz w:val="20"/>
                <w:szCs w:val="24"/>
              </w:rPr>
              <w:t>Model risk / validation</w:t>
            </w:r>
          </w:p>
        </w:tc>
        <w:tc>
          <w:tcPr>
            <w:tcW w:type="dxa" w:w="3120"/>
            <w:vAlign w:val="top"/>
          </w:tcPr>
          <w:p>
            <w:pPr>
              <w:spacing w:after="0"/>
              <w:jc w:val="left"/>
            </w:pPr>
            <w:r>
              <w:rPr>
                <w:rFonts w:ascii="Times New Roman" w:hAnsi="Times New Roman" w:cs="Times New Roman"/>
                <w:sz w:val="20"/>
                <w:szCs w:val="24"/>
              </w:rPr>
              <w:t>Statistical validation of credit and market models</w:t>
            </w:r>
          </w:p>
        </w:tc>
        <w:tc>
          <w:tcPr>
            <w:tcW w:type="dxa" w:w="3120"/>
            <w:vAlign w:val="top"/>
          </w:tcPr>
          <w:p>
            <w:pPr>
              <w:spacing w:after="0"/>
              <w:jc w:val="left"/>
            </w:pPr>
            <w:r>
              <w:rPr>
                <w:rFonts w:ascii="Times New Roman" w:hAnsi="Times New Roman" w:cs="Times New Roman"/>
                <w:sz w:val="20"/>
                <w:szCs w:val="24"/>
              </w:rPr>
              <w:t>Validation of ML and generative AI, explainability, bias and fairness testing, LLM evaluation, third-party model assurance</w:t>
            </w:r>
          </w:p>
        </w:tc>
      </w:tr>
      <w:tr>
        <w:tc>
          <w:tcPr>
            <w:tcW w:type="dxa" w:w="3120"/>
            <w:vAlign w:val="top"/>
          </w:tcPr>
          <w:p>
            <w:pPr>
              <w:spacing w:after="0"/>
              <w:jc w:val="left"/>
            </w:pPr>
            <w:r>
              <w:rPr>
                <w:rFonts w:ascii="Times New Roman" w:hAnsi="Times New Roman" w:cs="Times New Roman"/>
                <w:sz w:val="20"/>
                <w:szCs w:val="24"/>
              </w:rPr>
              <w:t>Operational and ICT risk</w:t>
            </w:r>
          </w:p>
        </w:tc>
        <w:tc>
          <w:tcPr>
            <w:tcW w:type="dxa" w:w="3120"/>
            <w:vAlign w:val="top"/>
          </w:tcPr>
          <w:p>
            <w:pPr>
              <w:spacing w:after="0"/>
              <w:jc w:val="left"/>
            </w:pPr>
            <w:r>
              <w:rPr>
                <w:rFonts w:ascii="Times New Roman" w:hAnsi="Times New Roman" w:cs="Times New Roman"/>
                <w:sz w:val="20"/>
                <w:szCs w:val="24"/>
              </w:rPr>
              <w:t>RCSA facilitation, incident logs</w:t>
            </w:r>
          </w:p>
        </w:tc>
        <w:tc>
          <w:tcPr>
            <w:tcW w:type="dxa" w:w="3120"/>
            <w:vAlign w:val="top"/>
          </w:tcPr>
          <w:p>
            <w:pPr>
              <w:spacing w:after="0"/>
              <w:jc w:val="left"/>
            </w:pPr>
            <w:r>
              <w:rPr>
                <w:rFonts w:ascii="Times New Roman" w:hAnsi="Times New Roman" w:cs="Times New Roman"/>
                <w:sz w:val="20"/>
                <w:szCs w:val="24"/>
              </w:rPr>
              <w:t>DORA ICT and third-party risk, resilience testing, AI incident management</w:t>
            </w:r>
          </w:p>
        </w:tc>
      </w:tr>
      <w:tr>
        <w:tc>
          <w:tcPr>
            <w:tcW w:type="dxa" w:w="3120"/>
            <w:vAlign w:val="top"/>
          </w:tcPr>
          <w:p>
            <w:pPr>
              <w:spacing w:after="0"/>
              <w:jc w:val="left"/>
            </w:pPr>
            <w:r>
              <w:rPr>
                <w:rFonts w:ascii="Times New Roman" w:hAnsi="Times New Roman" w:cs="Times New Roman"/>
                <w:sz w:val="20"/>
                <w:szCs w:val="24"/>
              </w:rPr>
              <w:t>Internal audit</w:t>
            </w:r>
          </w:p>
        </w:tc>
        <w:tc>
          <w:tcPr>
            <w:tcW w:type="dxa" w:w="3120"/>
            <w:vAlign w:val="top"/>
          </w:tcPr>
          <w:p>
            <w:pPr>
              <w:spacing w:after="0"/>
              <w:jc w:val="left"/>
            </w:pPr>
            <w:r>
              <w:rPr>
                <w:rFonts w:ascii="Times New Roman" w:hAnsi="Times New Roman" w:cs="Times New Roman"/>
                <w:sz w:val="20"/>
                <w:szCs w:val="24"/>
              </w:rPr>
              <w:t>Cyclical assurance, manual sampling</w:t>
            </w:r>
          </w:p>
        </w:tc>
        <w:tc>
          <w:tcPr>
            <w:tcW w:type="dxa" w:w="3120"/>
            <w:vAlign w:val="top"/>
          </w:tcPr>
          <w:p>
            <w:pPr>
              <w:spacing w:after="0"/>
              <w:jc w:val="left"/>
            </w:pPr>
            <w:r>
              <w:rPr>
                <w:rFonts w:ascii="Times New Roman" w:hAnsi="Times New Roman" w:cs="Times New Roman"/>
                <w:sz w:val="20"/>
                <w:szCs w:val="24"/>
              </w:rPr>
              <w:t>Data-led and continuous auditing, auditing AI systems and governance, larger advisory role</w:t>
            </w:r>
          </w:p>
        </w:tc>
      </w:tr>
    </w:tbl>
    <w:p>
      <w:pPr>
        <w:jc w:val="both"/>
        <w:rPr>
          <w:rFonts w:ascii="Times New Roman" w:hAnsi="Times New Roman" w:cs="Times New Roman"/>
          <w:sz w:val="24"/>
          <w:szCs w:val="24"/>
        </w:rPr>
      </w:pPr>
      <w:r>
        <w:rPr>
          <w:rFonts w:ascii="Times New Roman" w:hAnsi="Times New Roman" w:cs="Times New Roman"/>
          <w:b/>
          <w:sz w:val="24"/>
          <w:szCs w:val="24"/>
        </w:rPr>
        <w:t>New AI risk and compliance role families - share of public postings (GSDC, 2026)</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Role family</w:t>
            </w:r>
          </w:p>
        </w:tc>
        <w:tc>
          <w:tcPr>
            <w:tcW w:type="dxa" w:w="3120"/>
            <w:vAlign w:val="top"/>
            <w:shd w:fill="D9D9D9" w:val="clear"/>
          </w:tcPr>
          <w:p>
            <w:pPr>
              <w:spacing w:after="0"/>
              <w:jc w:val="left"/>
            </w:pPr>
            <w:r>
              <w:rPr>
                <w:rFonts w:ascii="Times New Roman" w:hAnsi="Times New Roman" w:cs="Times New Roman"/>
                <w:b/>
                <w:sz w:val="20"/>
                <w:szCs w:val="24"/>
              </w:rPr>
              <w:t>Share of postings</w:t>
            </w:r>
          </w:p>
        </w:tc>
        <w:tc>
          <w:tcPr>
            <w:tcW w:type="dxa" w:w="3120"/>
            <w:vAlign w:val="top"/>
            <w:shd w:fill="D9D9D9" w:val="clear"/>
          </w:tcPr>
          <w:p>
            <w:pPr>
              <w:spacing w:after="0"/>
              <w:jc w:val="left"/>
            </w:pPr>
            <w:r>
              <w:rPr>
                <w:rFonts w:ascii="Times New Roman" w:hAnsi="Times New Roman" w:cs="Times New Roman"/>
                <w:b/>
                <w:sz w:val="20"/>
                <w:szCs w:val="24"/>
              </w:rPr>
              <w:t>Top hiring sector</w:t>
            </w:r>
          </w:p>
        </w:tc>
      </w:tr>
      <w:tr>
        <w:tc>
          <w:tcPr>
            <w:tcW w:type="dxa" w:w="3120"/>
            <w:vAlign w:val="top"/>
          </w:tcPr>
          <w:p>
            <w:pPr>
              <w:spacing w:after="0"/>
              <w:jc w:val="left"/>
            </w:pPr>
            <w:r>
              <w:rPr>
                <w:rFonts w:ascii="Times New Roman" w:hAnsi="Times New Roman" w:cs="Times New Roman"/>
                <w:sz w:val="20"/>
                <w:szCs w:val="24"/>
              </w:rPr>
              <w:t>AI Compliance Officer</w:t>
            </w:r>
          </w:p>
        </w:tc>
        <w:tc>
          <w:tcPr>
            <w:tcW w:type="dxa" w:w="3120"/>
            <w:vAlign w:val="top"/>
          </w:tcPr>
          <w:p>
            <w:pPr>
              <w:spacing w:after="0"/>
              <w:jc w:val="left"/>
            </w:pPr>
            <w:r>
              <w:rPr>
                <w:rFonts w:ascii="Times New Roman" w:hAnsi="Times New Roman" w:cs="Times New Roman"/>
                <w:sz w:val="20"/>
                <w:szCs w:val="24"/>
              </w:rPr>
              <w:t>22%</w:t>
            </w:r>
          </w:p>
        </w:tc>
        <w:tc>
          <w:tcPr>
            <w:tcW w:type="dxa" w:w="3120"/>
            <w:vAlign w:val="top"/>
          </w:tcPr>
          <w:p>
            <w:pPr>
              <w:spacing w:after="0"/>
              <w:jc w:val="left"/>
            </w:pPr>
            <w:r>
              <w:rPr>
                <w:rFonts w:ascii="Times New Roman" w:hAnsi="Times New Roman" w:cs="Times New Roman"/>
                <w:sz w:val="20"/>
                <w:szCs w:val="24"/>
              </w:rPr>
              <w:t>Financial services</w:t>
            </w:r>
          </w:p>
        </w:tc>
      </w:tr>
      <w:tr>
        <w:tc>
          <w:tcPr>
            <w:tcW w:type="dxa" w:w="3120"/>
            <w:vAlign w:val="top"/>
          </w:tcPr>
          <w:p>
            <w:pPr>
              <w:spacing w:after="0"/>
              <w:jc w:val="left"/>
            </w:pPr>
            <w:r>
              <w:rPr>
                <w:rFonts w:ascii="Times New Roman" w:hAnsi="Times New Roman" w:cs="Times New Roman"/>
                <w:sz w:val="20"/>
                <w:szCs w:val="24"/>
              </w:rPr>
              <w:t>Model Risk Manager</w:t>
            </w:r>
          </w:p>
        </w:tc>
        <w:tc>
          <w:tcPr>
            <w:tcW w:type="dxa" w:w="3120"/>
            <w:vAlign w:val="top"/>
          </w:tcPr>
          <w:p>
            <w:pPr>
              <w:spacing w:after="0"/>
              <w:jc w:val="left"/>
            </w:pPr>
            <w:r>
              <w:rPr>
                <w:rFonts w:ascii="Times New Roman" w:hAnsi="Times New Roman" w:cs="Times New Roman"/>
                <w:sz w:val="20"/>
                <w:szCs w:val="24"/>
              </w:rPr>
              <w:t>18%</w:t>
            </w:r>
          </w:p>
        </w:tc>
        <w:tc>
          <w:tcPr>
            <w:tcW w:type="dxa" w:w="3120"/>
            <w:vAlign w:val="top"/>
          </w:tcPr>
          <w:p>
            <w:pPr>
              <w:spacing w:after="0"/>
              <w:jc w:val="left"/>
            </w:pPr>
            <w:r>
              <w:rPr>
                <w:rFonts w:ascii="Times New Roman" w:hAnsi="Times New Roman" w:cs="Times New Roman"/>
                <w:sz w:val="20"/>
                <w:szCs w:val="24"/>
              </w:rPr>
              <w:t>Banking</w:t>
            </w:r>
          </w:p>
        </w:tc>
      </w:tr>
      <w:tr>
        <w:tc>
          <w:tcPr>
            <w:tcW w:type="dxa" w:w="3120"/>
            <w:vAlign w:val="top"/>
          </w:tcPr>
          <w:p>
            <w:pPr>
              <w:spacing w:after="0"/>
              <w:jc w:val="left"/>
            </w:pPr>
            <w:r>
              <w:rPr>
                <w:rFonts w:ascii="Times New Roman" w:hAnsi="Times New Roman" w:cs="Times New Roman"/>
                <w:sz w:val="20"/>
                <w:szCs w:val="24"/>
              </w:rPr>
              <w:t>Responsible AI Lead</w:t>
            </w:r>
          </w:p>
        </w:tc>
        <w:tc>
          <w:tcPr>
            <w:tcW w:type="dxa" w:w="3120"/>
            <w:vAlign w:val="top"/>
          </w:tcPr>
          <w:p>
            <w:pPr>
              <w:spacing w:after="0"/>
              <w:jc w:val="left"/>
            </w:pPr>
            <w:r>
              <w:rPr>
                <w:rFonts w:ascii="Times New Roman" w:hAnsi="Times New Roman" w:cs="Times New Roman"/>
                <w:sz w:val="20"/>
                <w:szCs w:val="24"/>
              </w:rPr>
              <w:t>14%</w:t>
            </w:r>
          </w:p>
        </w:tc>
        <w:tc>
          <w:tcPr>
            <w:tcW w:type="dxa" w:w="3120"/>
            <w:vAlign w:val="top"/>
          </w:tcPr>
          <w:p>
            <w:pPr>
              <w:spacing w:after="0"/>
              <w:jc w:val="left"/>
            </w:pPr>
            <w:r>
              <w:rPr>
                <w:rFonts w:ascii="Times New Roman" w:hAnsi="Times New Roman" w:cs="Times New Roman"/>
                <w:sz w:val="20"/>
                <w:szCs w:val="24"/>
              </w:rPr>
              <w:t>Big Tech / SaaS</w:t>
            </w:r>
          </w:p>
        </w:tc>
      </w:tr>
      <w:tr>
        <w:tc>
          <w:tcPr>
            <w:tcW w:type="dxa" w:w="3120"/>
            <w:vAlign w:val="top"/>
          </w:tcPr>
          <w:p>
            <w:pPr>
              <w:spacing w:after="0"/>
              <w:jc w:val="left"/>
            </w:pPr>
            <w:r>
              <w:rPr>
                <w:rFonts w:ascii="Times New Roman" w:hAnsi="Times New Roman" w:cs="Times New Roman"/>
                <w:sz w:val="20"/>
                <w:szCs w:val="24"/>
              </w:rPr>
              <w:t>AI Governance Analyst</w:t>
            </w:r>
          </w:p>
        </w:tc>
        <w:tc>
          <w:tcPr>
            <w:tcW w:type="dxa" w:w="3120"/>
            <w:vAlign w:val="top"/>
          </w:tcPr>
          <w:p>
            <w:pPr>
              <w:spacing w:after="0"/>
              <w:jc w:val="left"/>
            </w:pPr>
            <w:r>
              <w:rPr>
                <w:rFonts w:ascii="Times New Roman" w:hAnsi="Times New Roman" w:cs="Times New Roman"/>
                <w:sz w:val="20"/>
                <w:szCs w:val="24"/>
              </w:rPr>
              <w:t>12%</w:t>
            </w:r>
          </w:p>
        </w:tc>
        <w:tc>
          <w:tcPr>
            <w:tcW w:type="dxa" w:w="3120"/>
            <w:vAlign w:val="top"/>
          </w:tcPr>
          <w:p>
            <w:pPr>
              <w:spacing w:after="0"/>
              <w:jc w:val="left"/>
            </w:pPr>
            <w:r>
              <w:rPr>
                <w:rFonts w:ascii="Times New Roman" w:hAnsi="Times New Roman" w:cs="Times New Roman"/>
                <w:sz w:val="20"/>
                <w:szCs w:val="24"/>
              </w:rPr>
              <w:t>Healthcare</w:t>
            </w:r>
          </w:p>
        </w:tc>
      </w:tr>
      <w:tr>
        <w:tc>
          <w:tcPr>
            <w:tcW w:type="dxa" w:w="3120"/>
            <w:vAlign w:val="top"/>
          </w:tcPr>
          <w:p>
            <w:pPr>
              <w:spacing w:after="0"/>
              <w:jc w:val="left"/>
            </w:pPr>
            <w:r>
              <w:rPr>
                <w:rFonts w:ascii="Times New Roman" w:hAnsi="Times New Roman" w:cs="Times New Roman"/>
                <w:sz w:val="20"/>
                <w:szCs w:val="24"/>
              </w:rPr>
              <w:t>AI Risk &amp; Controls Specialist</w:t>
            </w:r>
          </w:p>
        </w:tc>
        <w:tc>
          <w:tcPr>
            <w:tcW w:type="dxa" w:w="3120"/>
            <w:vAlign w:val="top"/>
          </w:tcPr>
          <w:p>
            <w:pPr>
              <w:spacing w:after="0"/>
              <w:jc w:val="left"/>
            </w:pPr>
            <w:r>
              <w:rPr>
                <w:rFonts w:ascii="Times New Roman" w:hAnsi="Times New Roman" w:cs="Times New Roman"/>
                <w:sz w:val="20"/>
                <w:szCs w:val="24"/>
              </w:rPr>
              <w:t>10%</w:t>
            </w:r>
          </w:p>
        </w:tc>
        <w:tc>
          <w:tcPr>
            <w:tcW w:type="dxa" w:w="3120"/>
            <w:vAlign w:val="top"/>
          </w:tcPr>
          <w:p>
            <w:pPr>
              <w:spacing w:after="0"/>
              <w:jc w:val="left"/>
            </w:pPr>
            <w:r>
              <w:rPr>
                <w:rFonts w:ascii="Times New Roman" w:hAnsi="Times New Roman" w:cs="Times New Roman"/>
                <w:sz w:val="20"/>
                <w:szCs w:val="24"/>
              </w:rPr>
              <w:t>Insurance</w:t>
            </w:r>
          </w:p>
        </w:tc>
      </w:tr>
      <w:tr>
        <w:tc>
          <w:tcPr>
            <w:tcW w:type="dxa" w:w="3120"/>
            <w:vAlign w:val="top"/>
          </w:tcPr>
          <w:p>
            <w:pPr>
              <w:spacing w:after="0"/>
              <w:jc w:val="left"/>
            </w:pPr>
            <w:r>
              <w:rPr>
                <w:rFonts w:ascii="Times New Roman" w:hAnsi="Times New Roman" w:cs="Times New Roman"/>
                <w:sz w:val="20"/>
                <w:szCs w:val="24"/>
              </w:rPr>
              <w:t>AI Audit Lead</w:t>
            </w:r>
          </w:p>
        </w:tc>
        <w:tc>
          <w:tcPr>
            <w:tcW w:type="dxa" w:w="3120"/>
            <w:vAlign w:val="top"/>
          </w:tcPr>
          <w:p>
            <w:pPr>
              <w:spacing w:after="0"/>
              <w:jc w:val="left"/>
            </w:pPr>
            <w:r>
              <w:rPr>
                <w:rFonts w:ascii="Times New Roman" w:hAnsi="Times New Roman" w:cs="Times New Roman"/>
                <w:sz w:val="20"/>
                <w:szCs w:val="24"/>
              </w:rPr>
              <w:t>8%</w:t>
            </w:r>
          </w:p>
        </w:tc>
        <w:tc>
          <w:tcPr>
            <w:tcW w:type="dxa" w:w="3120"/>
            <w:vAlign w:val="top"/>
          </w:tcPr>
          <w:p>
            <w:pPr>
              <w:spacing w:after="0"/>
              <w:jc w:val="left"/>
            </w:pPr>
            <w:r>
              <w:rPr>
                <w:rFonts w:ascii="Times New Roman" w:hAnsi="Times New Roman" w:cs="Times New Roman"/>
                <w:sz w:val="20"/>
                <w:szCs w:val="24"/>
              </w:rPr>
              <w:t>Big 4 / advisory</w:t>
            </w:r>
          </w:p>
        </w:tc>
      </w:tr>
      <w:tr>
        <w:tc>
          <w:tcPr>
            <w:tcW w:type="dxa" w:w="3120"/>
            <w:vAlign w:val="top"/>
          </w:tcPr>
          <w:p>
            <w:pPr>
              <w:spacing w:after="0"/>
              <w:jc w:val="left"/>
            </w:pPr>
            <w:r>
              <w:rPr>
                <w:rFonts w:ascii="Times New Roman" w:hAnsi="Times New Roman" w:cs="Times New Roman"/>
                <w:sz w:val="20"/>
                <w:szCs w:val="24"/>
              </w:rPr>
              <w:t>Privacy &amp; AI Counsel</w:t>
            </w:r>
          </w:p>
        </w:tc>
        <w:tc>
          <w:tcPr>
            <w:tcW w:type="dxa" w:w="3120"/>
            <w:vAlign w:val="top"/>
          </w:tcPr>
          <w:p>
            <w:pPr>
              <w:spacing w:after="0"/>
              <w:jc w:val="left"/>
            </w:pPr>
            <w:r>
              <w:rPr>
                <w:rFonts w:ascii="Times New Roman" w:hAnsi="Times New Roman" w:cs="Times New Roman"/>
                <w:sz w:val="20"/>
                <w:szCs w:val="24"/>
              </w:rPr>
              <w:t>7%</w:t>
            </w:r>
          </w:p>
        </w:tc>
        <w:tc>
          <w:tcPr>
            <w:tcW w:type="dxa" w:w="3120"/>
            <w:vAlign w:val="top"/>
          </w:tcPr>
          <w:p>
            <w:pPr>
              <w:spacing w:after="0"/>
              <w:jc w:val="left"/>
            </w:pPr>
            <w:r>
              <w:rPr>
                <w:rFonts w:ascii="Times New Roman" w:hAnsi="Times New Roman" w:cs="Times New Roman"/>
                <w:sz w:val="20"/>
                <w:szCs w:val="24"/>
              </w:rPr>
              <w:t>Legal / tech</w:t>
            </w:r>
          </w:p>
        </w:tc>
      </w:tr>
      <w:tr>
        <w:tc>
          <w:tcPr>
            <w:tcW w:type="dxa" w:w="3120"/>
            <w:vAlign w:val="top"/>
          </w:tcPr>
          <w:p>
            <w:pPr>
              <w:spacing w:after="0"/>
              <w:jc w:val="left"/>
            </w:pPr>
            <w:r>
              <w:rPr>
                <w:rFonts w:ascii="Times New Roman" w:hAnsi="Times New Roman" w:cs="Times New Roman"/>
                <w:sz w:val="20"/>
                <w:szCs w:val="24"/>
              </w:rPr>
              <w:t>AI Policy Manager</w:t>
            </w:r>
          </w:p>
        </w:tc>
        <w:tc>
          <w:tcPr>
            <w:tcW w:type="dxa" w:w="3120"/>
            <w:vAlign w:val="top"/>
          </w:tcPr>
          <w:p>
            <w:pPr>
              <w:spacing w:after="0"/>
              <w:jc w:val="left"/>
            </w:pPr>
            <w:r>
              <w:rPr>
                <w:rFonts w:ascii="Times New Roman" w:hAnsi="Times New Roman" w:cs="Times New Roman"/>
                <w:sz w:val="20"/>
                <w:szCs w:val="24"/>
              </w:rPr>
              <w:t>5%</w:t>
            </w:r>
          </w:p>
        </w:tc>
        <w:tc>
          <w:tcPr>
            <w:tcW w:type="dxa" w:w="3120"/>
            <w:vAlign w:val="top"/>
          </w:tcPr>
          <w:p>
            <w:pPr>
              <w:spacing w:after="0"/>
              <w:jc w:val="left"/>
            </w:pPr>
            <w:r>
              <w:rPr>
                <w:rFonts w:ascii="Times New Roman" w:hAnsi="Times New Roman" w:cs="Times New Roman"/>
                <w:sz w:val="20"/>
                <w:szCs w:val="24"/>
              </w:rPr>
              <w:t>Public sector</w:t>
            </w:r>
          </w:p>
        </w:tc>
      </w:tr>
      <w:tr>
        <w:tc>
          <w:tcPr>
            <w:tcW w:type="dxa" w:w="3120"/>
            <w:vAlign w:val="top"/>
          </w:tcPr>
          <w:p>
            <w:pPr>
              <w:spacing w:after="0"/>
              <w:jc w:val="left"/>
            </w:pPr>
            <w:r>
              <w:rPr>
                <w:rFonts w:ascii="Times New Roman" w:hAnsi="Times New Roman" w:cs="Times New Roman"/>
                <w:sz w:val="20"/>
                <w:szCs w:val="24"/>
              </w:rPr>
              <w:t>Other / hybrid</w:t>
            </w:r>
          </w:p>
        </w:tc>
        <w:tc>
          <w:tcPr>
            <w:tcW w:type="dxa" w:w="3120"/>
            <w:vAlign w:val="top"/>
          </w:tcPr>
          <w:p>
            <w:pPr>
              <w:spacing w:after="0"/>
              <w:jc w:val="left"/>
            </w:pPr>
            <w:r>
              <w:rPr>
                <w:rFonts w:ascii="Times New Roman" w:hAnsi="Times New Roman" w:cs="Times New Roman"/>
                <w:sz w:val="20"/>
                <w:szCs w:val="24"/>
              </w:rPr>
              <w:t>4%</w:t>
            </w:r>
          </w:p>
        </w:tc>
        <w:tc>
          <w:tcPr>
            <w:tcW w:type="dxa" w:w="3120"/>
            <w:vAlign w:val="top"/>
          </w:tcPr>
          <w:p>
            <w:pPr>
              <w:spacing w:after="0"/>
              <w:jc w:val="left"/>
            </w:pPr>
            <w:r>
              <w:rPr>
                <w:rFonts w:ascii="Times New Roman" w:hAnsi="Times New Roman" w:cs="Times New Roman"/>
                <w:sz w:val="20"/>
                <w:szCs w:val="24"/>
              </w:rPr>
              <w:t>Cross-industry</w:t>
            </w:r>
          </w:p>
        </w:tc>
      </w:tr>
    </w:tbl>
    <w:p>
      <w:pPr>
        <w:jc w:val="both"/>
        <w:rPr>
          <w:rFonts w:ascii="Times New Roman" w:hAnsi="Times New Roman" w:cs="Times New Roman"/>
          <w:sz w:val="24"/>
          <w:szCs w:val="24"/>
        </w:rPr>
      </w:pPr>
      <w:r>
        <w:rPr>
          <w:rFonts w:ascii="Times New Roman" w:hAnsi="Times New Roman" w:cs="Times New Roman"/>
          <w:sz w:val="24"/>
          <w:szCs w:val="24"/>
        </w:rPr>
        <w:t xml:space="preserve">Further labour-market findings (GSDC, 2026): AI risk and compliance postings grew 187% year-on-year while general tech hiring contracted 12%; financial services accounted for 32% of postings; 68% of postings explicitly request an AI governance certification; titles such as AI Compliance Officer, Responsible AI Lead and Model Risk Manager share about 80% of duties; and hybrid skill sets (governance language plus model-lifecycle fluency) command a 24% pay premium. </w:t>
      </w:r>
      <w:r>
        <w:rPr>
          <w:rFonts w:ascii="Times New Roman" w:hAnsi="Times New Roman" w:cs="Times New Roman"/>
          <w:i/>
          <w:sz w:val="24"/>
          <w:szCs w:val="24"/>
        </w:rPr>
        <w:t>Note: the dataset is drawn mainly from US-hosted postings (Oct 2025 - Jan 2026) and is used as a directional indicator for UK and EU markets.</w:t>
      </w:r>
    </w:p>
    <w:p>
      <w:pPr>
        <w:jc w:val="both"/>
        <w:rPr>
          <w:rFonts w:ascii="Times New Roman" w:hAnsi="Times New Roman" w:cs="Times New Roman"/>
          <w:sz w:val="24"/>
          <w:szCs w:val="24"/>
        </w:rPr>
      </w:pPr>
      <w:r>
        <w:rPr>
          <w:rFonts w:ascii="Times New Roman" w:hAnsi="Times New Roman" w:cs="Times New Roman"/>
          <w:b/>
          <w:sz w:val="24"/>
          <w:szCs w:val="24"/>
        </w:rPr>
        <w:t>Skills coded from public role profiles</w:t>
      </w:r>
    </w:p>
    <w:tbl>
      <w:tblPr>
        <w:tblStyle w:val="TableGrid"/>
        <w:tblW w:type="dxa" w:w="9360"/>
        <w:tblLook w:firstColumn="1" w:firstRow="1" w:lastColumn="0" w:lastRow="0" w:noHBand="0" w:noVBand="1" w:val="04A0"/>
        <w:tblLayout w:type="autofit"/>
      </w:tblPr>
      <w:tblGrid>
        <w:gridCol w:w="4680"/>
        <w:gridCol w:w="4680"/>
      </w:tblGrid>
      <w:tr>
        <w:tc>
          <w:tcPr>
            <w:tcW w:type="dxa" w:w="4680"/>
            <w:vAlign w:val="top"/>
            <w:shd w:fill="D9D9D9" w:val="clear"/>
          </w:tcPr>
          <w:p>
            <w:pPr>
              <w:spacing w:after="0"/>
              <w:jc w:val="left"/>
            </w:pPr>
            <w:r>
              <w:rPr>
                <w:rFonts w:ascii="Times New Roman" w:hAnsi="Times New Roman" w:cs="Times New Roman"/>
                <w:b/>
                <w:sz w:val="20"/>
                <w:szCs w:val="24"/>
              </w:rPr>
              <w:t>Category</w:t>
            </w:r>
          </w:p>
        </w:tc>
        <w:tc>
          <w:tcPr>
            <w:tcW w:type="dxa" w:w="4680"/>
            <w:vAlign w:val="top"/>
            <w:shd w:fill="D9D9D9" w:val="clear"/>
          </w:tcPr>
          <w:p>
            <w:pPr>
              <w:spacing w:after="0"/>
              <w:jc w:val="left"/>
            </w:pPr>
            <w:r>
              <w:rPr>
                <w:rFonts w:ascii="Times New Roman" w:hAnsi="Times New Roman" w:cs="Times New Roman"/>
                <w:b/>
                <w:sz w:val="20"/>
                <w:szCs w:val="24"/>
              </w:rPr>
              <w:t>Skills appearing repeatedly</w:t>
            </w:r>
          </w:p>
        </w:tc>
      </w:tr>
      <w:tr>
        <w:tc>
          <w:tcPr>
            <w:tcW w:type="dxa" w:w="4680"/>
            <w:vAlign w:val="top"/>
          </w:tcPr>
          <w:p>
            <w:pPr>
              <w:spacing w:after="0"/>
              <w:jc w:val="left"/>
            </w:pPr>
            <w:r>
              <w:rPr>
                <w:rFonts w:ascii="Times New Roman" w:hAnsi="Times New Roman" w:cs="Times New Roman"/>
                <w:sz w:val="20"/>
                <w:szCs w:val="24"/>
              </w:rPr>
              <w:t>Regulatory</w:t>
            </w:r>
          </w:p>
        </w:tc>
        <w:tc>
          <w:tcPr>
            <w:tcW w:type="dxa" w:w="4680"/>
            <w:vAlign w:val="top"/>
          </w:tcPr>
          <w:p>
            <w:pPr>
              <w:spacing w:after="0"/>
              <w:jc w:val="left"/>
            </w:pPr>
            <w:r>
              <w:rPr>
                <w:rFonts w:ascii="Times New Roman" w:hAnsi="Times New Roman" w:cs="Times New Roman"/>
                <w:sz w:val="20"/>
                <w:szCs w:val="24"/>
              </w:rPr>
              <w:t>EU AI Act, DORA, SS1/23 and model risk principles, SM&amp;CR, Consumer Duty, AML rulebooks, data protection; NIST AI RMF; ISO/IEC 42001</w:t>
            </w:r>
          </w:p>
        </w:tc>
      </w:tr>
      <w:tr>
        <w:tc>
          <w:tcPr>
            <w:tcW w:type="dxa" w:w="4680"/>
            <w:vAlign w:val="top"/>
          </w:tcPr>
          <w:p>
            <w:pPr>
              <w:spacing w:after="0"/>
              <w:jc w:val="left"/>
            </w:pPr>
            <w:r>
              <w:rPr>
                <w:rFonts w:ascii="Times New Roman" w:hAnsi="Times New Roman" w:cs="Times New Roman"/>
                <w:sz w:val="20"/>
                <w:szCs w:val="24"/>
              </w:rPr>
              <w:t>Technical</w:t>
            </w:r>
          </w:p>
        </w:tc>
        <w:tc>
          <w:tcPr>
            <w:tcW w:type="dxa" w:w="4680"/>
            <w:vAlign w:val="top"/>
          </w:tcPr>
          <w:p>
            <w:pPr>
              <w:spacing w:after="0"/>
              <w:jc w:val="left"/>
            </w:pPr>
            <w:r>
              <w:rPr>
                <w:rFonts w:ascii="Times New Roman" w:hAnsi="Times New Roman" w:cs="Times New Roman"/>
                <w:sz w:val="20"/>
                <w:szCs w:val="24"/>
              </w:rPr>
              <w:t>Model risk management, AI/LLM evaluation, explainability tooling, bias and fairness testing, data lineage, privacy-by-design, vendor/third-party AI risk, AI incident response, red-teaming; SQL/Python for analytical roles</w:t>
            </w:r>
          </w:p>
        </w:tc>
      </w:tr>
      <w:tr>
        <w:tc>
          <w:tcPr>
            <w:tcW w:type="dxa" w:w="4680"/>
            <w:vAlign w:val="top"/>
          </w:tcPr>
          <w:p>
            <w:pPr>
              <w:spacing w:after="0"/>
              <w:jc w:val="left"/>
            </w:pPr>
            <w:r>
              <w:rPr>
                <w:rFonts w:ascii="Times New Roman" w:hAnsi="Times New Roman" w:cs="Times New Roman"/>
                <w:sz w:val="20"/>
                <w:szCs w:val="24"/>
              </w:rPr>
              <w:t>Analytical</w:t>
            </w:r>
          </w:p>
        </w:tc>
        <w:tc>
          <w:tcPr>
            <w:tcW w:type="dxa" w:w="4680"/>
            <w:vAlign w:val="top"/>
          </w:tcPr>
          <w:p>
            <w:pPr>
              <w:spacing w:after="0"/>
              <w:jc w:val="left"/>
            </w:pPr>
            <w:r>
              <w:rPr>
                <w:rFonts w:ascii="Times New Roman" w:hAnsi="Times New Roman" w:cs="Times New Roman"/>
                <w:sz w:val="20"/>
                <w:szCs w:val="24"/>
              </w:rPr>
              <w:t>Risk quantification, interpreting model outputs, root-cause analysis, full-population data analysis</w:t>
            </w:r>
          </w:p>
        </w:tc>
      </w:tr>
      <w:tr>
        <w:tc>
          <w:tcPr>
            <w:tcW w:type="dxa" w:w="4680"/>
            <w:vAlign w:val="top"/>
          </w:tcPr>
          <w:p>
            <w:pPr>
              <w:spacing w:after="0"/>
              <w:jc w:val="left"/>
            </w:pPr>
            <w:r>
              <w:rPr>
                <w:rFonts w:ascii="Times New Roman" w:hAnsi="Times New Roman" w:cs="Times New Roman"/>
                <w:sz w:val="20"/>
                <w:szCs w:val="24"/>
              </w:rPr>
              <w:t>Behavioural</w:t>
            </w:r>
          </w:p>
        </w:tc>
        <w:tc>
          <w:tcPr>
            <w:tcW w:type="dxa" w:w="4680"/>
            <w:vAlign w:val="top"/>
          </w:tcPr>
          <w:p>
            <w:pPr>
              <w:spacing w:after="0"/>
              <w:jc w:val="left"/>
            </w:pPr>
            <w:r>
              <w:rPr>
                <w:rFonts w:ascii="Times New Roman" w:hAnsi="Times New Roman" w:cs="Times New Roman"/>
                <w:sz w:val="20"/>
                <w:szCs w:val="24"/>
              </w:rPr>
              <w:t>Professional scepticism and effective challenge, translating technical issues for boards and regulators, stakeholder influence, change leadership, continuous learning</w:t>
            </w:r>
          </w:p>
        </w:tc>
      </w:tr>
    </w:tbl>
    <w:p>
      <w:pPr>
        <w:jc w:val="left"/>
        <w:rPr>
          <w:rFonts w:ascii="Times New Roman" w:hAnsi="Times New Roman" w:cs="Times New Roman"/>
          <w:sz w:val="24"/>
          <w:szCs w:val="24"/>
        </w:rPr>
      </w:pPr>
      <w:r>
        <w:rPr>
          <w:rFonts w:ascii="Times New Roman" w:hAnsi="Times New Roman" w:cs="Times New Roman"/>
          <w:b/>
          <w:sz w:val="24"/>
          <w:szCs w:val="24"/>
        </w:rPr>
        <w:t>5.3.4 Workforce management practices (Objectives iii and iv)</w:t>
      </w:r>
    </w:p>
    <w:tbl>
      <w:tblPr>
        <w:tblStyle w:val="TableGrid"/>
        <w:tblW w:type="dxa" w:w="9360"/>
        <w:tblLook w:firstColumn="1" w:firstRow="1" w:lastColumn="0" w:lastRow="0" w:noHBand="0" w:noVBand="1" w:val="04A0"/>
        <w:tblLayout w:type="autofit"/>
      </w:tblPr>
      <w:tblGrid>
        <w:gridCol w:w="3120"/>
        <w:gridCol w:w="3120"/>
        <w:gridCol w:w="3120"/>
      </w:tblGrid>
      <w:tr>
        <w:tc>
          <w:tcPr>
            <w:tcW w:type="dxa" w:w="3120"/>
            <w:vAlign w:val="top"/>
            <w:shd w:fill="D9D9D9" w:val="clear"/>
          </w:tcPr>
          <w:p>
            <w:pPr>
              <w:spacing w:after="0"/>
              <w:jc w:val="left"/>
            </w:pPr>
            <w:r>
              <w:rPr>
                <w:rFonts w:ascii="Times New Roman" w:hAnsi="Times New Roman" w:cs="Times New Roman"/>
                <w:b/>
                <w:sz w:val="20"/>
                <w:szCs w:val="24"/>
              </w:rPr>
              <w:t>Evidence</w:t>
            </w:r>
          </w:p>
        </w:tc>
        <w:tc>
          <w:tcPr>
            <w:tcW w:type="dxa" w:w="3120"/>
            <w:vAlign w:val="top"/>
            <w:shd w:fill="D9D9D9" w:val="clear"/>
          </w:tcPr>
          <w:p>
            <w:pPr>
              <w:spacing w:after="0"/>
              <w:jc w:val="left"/>
            </w:pPr>
            <w:r>
              <w:rPr>
                <w:rFonts w:ascii="Times New Roman" w:hAnsi="Times New Roman" w:cs="Times New Roman"/>
                <w:b/>
                <w:sz w:val="20"/>
                <w:szCs w:val="24"/>
              </w:rPr>
              <w:t>Finding</w:t>
            </w:r>
          </w:p>
        </w:tc>
        <w:tc>
          <w:tcPr>
            <w:tcW w:type="dxa" w:w="3120"/>
            <w:vAlign w:val="top"/>
            <w:shd w:fill="D9D9D9" w:val="clear"/>
          </w:tcPr>
          <w:p>
            <w:pPr>
              <w:spacing w:after="0"/>
              <w:jc w:val="left"/>
            </w:pPr>
            <w:r>
              <w:rPr>
                <w:rFonts w:ascii="Times New Roman" w:hAnsi="Times New Roman" w:cs="Times New Roman"/>
                <w:b/>
                <w:sz w:val="20"/>
                <w:szCs w:val="24"/>
              </w:rPr>
              <w:t>Source</w:t>
            </w:r>
          </w:p>
        </w:tc>
      </w:tr>
      <w:tr>
        <w:tc>
          <w:tcPr>
            <w:tcW w:type="dxa" w:w="3120"/>
            <w:vAlign w:val="top"/>
          </w:tcPr>
          <w:p>
            <w:pPr>
              <w:spacing w:after="0"/>
              <w:jc w:val="left"/>
            </w:pPr>
            <w:r>
              <w:rPr>
                <w:rFonts w:ascii="Times New Roman" w:hAnsi="Times New Roman" w:cs="Times New Roman"/>
                <w:sz w:val="20"/>
                <w:szCs w:val="24"/>
              </w:rPr>
              <w:t>Skills gaps</w:t>
            </w:r>
          </w:p>
        </w:tc>
        <w:tc>
          <w:tcPr>
            <w:tcW w:type="dxa" w:w="3120"/>
            <w:vAlign w:val="top"/>
          </w:tcPr>
          <w:p>
            <w:pPr>
              <w:spacing w:after="0"/>
              <w:jc w:val="left"/>
            </w:pPr>
            <w:r>
              <w:rPr>
                <w:rFonts w:ascii="Times New Roman" w:hAnsi="Times New Roman" w:cs="Times New Roman"/>
                <w:sz w:val="20"/>
                <w:szCs w:val="24"/>
              </w:rPr>
              <w:t>More than 40% of professionals report skills gaps in their teams in technology and data knowledge and in technical domain expertise</w:t>
            </w:r>
          </w:p>
        </w:tc>
        <w:tc>
          <w:tcPr>
            <w:tcW w:type="dxa" w:w="3120"/>
            <w:vAlign w:val="top"/>
          </w:tcPr>
          <w:p>
            <w:pPr>
              <w:spacing w:after="0"/>
              <w:jc w:val="left"/>
            </w:pPr>
            <w:r>
              <w:rPr>
                <w:rFonts w:ascii="Times New Roman" w:hAnsi="Times New Roman" w:cs="Times New Roman"/>
                <w:sz w:val="20"/>
                <w:szCs w:val="24"/>
              </w:rPr>
              <w:t>Thomson Reuters (2025)</w:t>
            </w:r>
          </w:p>
        </w:tc>
      </w:tr>
      <w:tr>
        <w:tc>
          <w:tcPr>
            <w:tcW w:type="dxa" w:w="3120"/>
            <w:vAlign w:val="top"/>
          </w:tcPr>
          <w:p>
            <w:pPr>
              <w:spacing w:after="0"/>
              <w:jc w:val="left"/>
            </w:pPr>
            <w:r>
              <w:rPr>
                <w:rFonts w:ascii="Times New Roman" w:hAnsi="Times New Roman" w:cs="Times New Roman"/>
                <w:sz w:val="20"/>
                <w:szCs w:val="24"/>
              </w:rPr>
              <w:t>Expected impact</w:t>
            </w:r>
          </w:p>
        </w:tc>
        <w:tc>
          <w:tcPr>
            <w:tcW w:type="dxa" w:w="3120"/>
            <w:vAlign w:val="top"/>
          </w:tcPr>
          <w:p>
            <w:pPr>
              <w:spacing w:after="0"/>
              <w:jc w:val="left"/>
            </w:pPr>
            <w:r>
              <w:rPr>
                <w:rFonts w:ascii="Times New Roman" w:hAnsi="Times New Roman" w:cs="Times New Roman"/>
                <w:sz w:val="20"/>
                <w:szCs w:val="24"/>
              </w:rPr>
              <w:t>80% of professionals expect AI to have a high or transformative impact on their profession within five years, but only 38% expect that change this year</w:t>
            </w:r>
          </w:p>
        </w:tc>
        <w:tc>
          <w:tcPr>
            <w:tcW w:type="dxa" w:w="3120"/>
            <w:vAlign w:val="top"/>
          </w:tcPr>
          <w:p>
            <w:pPr>
              <w:spacing w:after="0"/>
              <w:jc w:val="left"/>
            </w:pPr>
            <w:r>
              <w:rPr>
                <w:rFonts w:ascii="Times New Roman" w:hAnsi="Times New Roman" w:cs="Times New Roman"/>
                <w:sz w:val="20"/>
                <w:szCs w:val="24"/>
              </w:rPr>
              <w:t>Thomson Reuters (2025)</w:t>
            </w:r>
          </w:p>
        </w:tc>
      </w:tr>
      <w:tr>
        <w:tc>
          <w:tcPr>
            <w:tcW w:type="dxa" w:w="3120"/>
            <w:vAlign w:val="top"/>
          </w:tcPr>
          <w:p>
            <w:pPr>
              <w:spacing w:after="0"/>
              <w:jc w:val="left"/>
            </w:pPr>
            <w:r>
              <w:rPr>
                <w:rFonts w:ascii="Times New Roman" w:hAnsi="Times New Roman" w:cs="Times New Roman"/>
                <w:sz w:val="20"/>
                <w:szCs w:val="24"/>
              </w:rPr>
              <w:t>Governance roles</w:t>
            </w:r>
          </w:p>
        </w:tc>
        <w:tc>
          <w:tcPr>
            <w:tcW w:type="dxa" w:w="3120"/>
            <w:vAlign w:val="top"/>
          </w:tcPr>
          <w:p>
            <w:pPr>
              <w:spacing w:after="0"/>
              <w:jc w:val="left"/>
            </w:pPr>
            <w:r>
              <w:rPr>
                <w:rFonts w:ascii="Times New Roman" w:hAnsi="Times New Roman" w:cs="Times New Roman"/>
                <w:sz w:val="20"/>
                <w:szCs w:val="24"/>
              </w:rPr>
              <w:t>Organisations that add new roles to their governance and actively invest in AI report more benefits than those that do not</w:t>
            </w:r>
          </w:p>
        </w:tc>
        <w:tc>
          <w:tcPr>
            <w:tcW w:type="dxa" w:w="3120"/>
            <w:vAlign w:val="top"/>
          </w:tcPr>
          <w:p>
            <w:pPr>
              <w:spacing w:after="0"/>
              <w:jc w:val="left"/>
            </w:pPr>
            <w:r>
              <w:rPr>
                <w:rFonts w:ascii="Times New Roman" w:hAnsi="Times New Roman" w:cs="Times New Roman"/>
                <w:sz w:val="20"/>
                <w:szCs w:val="24"/>
              </w:rPr>
              <w:t>Thomson Reuters (2025)</w:t>
            </w:r>
          </w:p>
        </w:tc>
      </w:tr>
      <w:tr>
        <w:tc>
          <w:tcPr>
            <w:tcW w:type="dxa" w:w="3120"/>
            <w:vAlign w:val="top"/>
          </w:tcPr>
          <w:p>
            <w:pPr>
              <w:spacing w:after="0"/>
              <w:jc w:val="left"/>
            </w:pPr>
            <w:r>
              <w:rPr>
                <w:rFonts w:ascii="Times New Roman" w:hAnsi="Times New Roman" w:cs="Times New Roman"/>
                <w:sz w:val="20"/>
                <w:szCs w:val="24"/>
              </w:rPr>
              <w:t>Internal audit skills</w:t>
            </w:r>
          </w:p>
        </w:tc>
        <w:tc>
          <w:tcPr>
            <w:tcW w:type="dxa" w:w="3120"/>
            <w:vAlign w:val="top"/>
          </w:tcPr>
          <w:p>
            <w:pPr>
              <w:spacing w:after="0"/>
              <w:jc w:val="left"/>
            </w:pPr>
            <w:r>
              <w:rPr>
                <w:rFonts w:ascii="Times New Roman" w:hAnsi="Times New Roman" w:cs="Times New Roman"/>
                <w:sz w:val="20"/>
                <w:szCs w:val="24"/>
              </w:rPr>
              <w:t>96% agree experienced internal auditors must increase technology skills; 81% agree entry-level auditors will need an elevated skill set; 92% see new technology as key</w:t>
            </w:r>
          </w:p>
        </w:tc>
        <w:tc>
          <w:tcPr>
            <w:tcW w:type="dxa" w:w="3120"/>
            <w:vAlign w:val="top"/>
          </w:tcPr>
          <w:p>
            <w:pPr>
              <w:spacing w:after="0"/>
              <w:jc w:val="left"/>
            </w:pPr>
            <w:r>
              <w:rPr>
                <w:rFonts w:ascii="Times New Roman" w:hAnsi="Times New Roman" w:cs="Times New Roman"/>
                <w:sz w:val="20"/>
                <w:szCs w:val="24"/>
              </w:rPr>
              <w:t>IIA Vision 2035 (2024)</w:t>
            </w:r>
          </w:p>
        </w:tc>
      </w:tr>
      <w:tr>
        <w:tc>
          <w:tcPr>
            <w:tcW w:type="dxa" w:w="3120"/>
            <w:vAlign w:val="top"/>
          </w:tcPr>
          <w:p>
            <w:pPr>
              <w:spacing w:after="0"/>
              <w:jc w:val="left"/>
            </w:pPr>
            <w:r>
              <w:rPr>
                <w:rFonts w:ascii="Times New Roman" w:hAnsi="Times New Roman" w:cs="Times New Roman"/>
                <w:sz w:val="20"/>
                <w:szCs w:val="24"/>
              </w:rPr>
              <w:t>Internal audit role mix</w:t>
            </w:r>
          </w:p>
        </w:tc>
        <w:tc>
          <w:tcPr>
            <w:tcW w:type="dxa" w:w="3120"/>
            <w:vAlign w:val="top"/>
          </w:tcPr>
          <w:p>
            <w:pPr>
              <w:spacing w:after="0"/>
              <w:jc w:val="left"/>
            </w:pPr>
            <w:r>
              <w:rPr>
                <w:rFonts w:ascii="Times New Roman" w:hAnsi="Times New Roman" w:cs="Times New Roman"/>
                <w:sz w:val="20"/>
                <w:szCs w:val="24"/>
              </w:rPr>
              <w:t>Assurance share of work expected to fall from 76% to 59% and advisory to rise from 24% to 41%</w:t>
            </w:r>
          </w:p>
        </w:tc>
        <w:tc>
          <w:tcPr>
            <w:tcW w:type="dxa" w:w="3120"/>
            <w:vAlign w:val="top"/>
          </w:tcPr>
          <w:p>
            <w:pPr>
              <w:spacing w:after="0"/>
              <w:jc w:val="left"/>
            </w:pPr>
            <w:r>
              <w:rPr>
                <w:rFonts w:ascii="Times New Roman" w:hAnsi="Times New Roman" w:cs="Times New Roman"/>
                <w:sz w:val="20"/>
                <w:szCs w:val="24"/>
              </w:rPr>
              <w:t>IIA Vision 2035 (2024)</w:t>
            </w:r>
          </w:p>
        </w:tc>
      </w:tr>
      <w:tr>
        <w:tc>
          <w:tcPr>
            <w:tcW w:type="dxa" w:w="3120"/>
            <w:vAlign w:val="top"/>
          </w:tcPr>
          <w:p>
            <w:pPr>
              <w:spacing w:after="0"/>
              <w:jc w:val="left"/>
            </w:pPr>
            <w:r>
              <w:rPr>
                <w:rFonts w:ascii="Times New Roman" w:hAnsi="Times New Roman" w:cs="Times New Roman"/>
                <w:sz w:val="20"/>
                <w:szCs w:val="24"/>
              </w:rPr>
              <w:t>Engagement gap</w:t>
            </w:r>
          </w:p>
        </w:tc>
        <w:tc>
          <w:tcPr>
            <w:tcW w:type="dxa" w:w="3120"/>
            <w:vAlign w:val="top"/>
          </w:tcPr>
          <w:p>
            <w:pPr>
              <w:spacing w:after="0"/>
              <w:jc w:val="left"/>
            </w:pPr>
            <w:r>
              <w:rPr>
                <w:rFonts w:ascii="Times New Roman" w:hAnsi="Times New Roman" w:cs="Times New Roman"/>
                <w:sz w:val="20"/>
                <w:szCs w:val="24"/>
              </w:rPr>
              <w:t>50% of auditors with 30+ years' experience feel valued, versus 21% of those with 0-9 years</w:t>
            </w:r>
          </w:p>
        </w:tc>
        <w:tc>
          <w:tcPr>
            <w:tcW w:type="dxa" w:w="3120"/>
            <w:vAlign w:val="top"/>
          </w:tcPr>
          <w:p>
            <w:pPr>
              <w:spacing w:after="0"/>
              <w:jc w:val="left"/>
            </w:pPr>
            <w:r>
              <w:rPr>
                <w:rFonts w:ascii="Times New Roman" w:hAnsi="Times New Roman" w:cs="Times New Roman"/>
                <w:sz w:val="20"/>
                <w:szCs w:val="24"/>
              </w:rPr>
              <w:t>IIA Vision 2035 (2024)</w:t>
            </w:r>
          </w:p>
        </w:tc>
      </w:tr>
      <w:tr>
        <w:tc>
          <w:tcPr>
            <w:tcW w:type="dxa" w:w="3120"/>
            <w:vAlign w:val="top"/>
          </w:tcPr>
          <w:p>
            <w:pPr>
              <w:spacing w:after="0"/>
              <w:jc w:val="left"/>
            </w:pPr>
            <w:r>
              <w:rPr>
                <w:rFonts w:ascii="Times New Roman" w:hAnsi="Times New Roman" w:cs="Times New Roman"/>
                <w:sz w:val="20"/>
                <w:szCs w:val="24"/>
              </w:rPr>
              <w:t>Agentic AI in KYC/AML</w:t>
            </w:r>
          </w:p>
        </w:tc>
        <w:tc>
          <w:tcPr>
            <w:tcW w:type="dxa" w:w="3120"/>
            <w:vAlign w:val="top"/>
          </w:tcPr>
          <w:p>
            <w:pPr>
              <w:spacing w:after="0"/>
              <w:jc w:val="left"/>
            </w:pPr>
            <w:r>
              <w:rPr>
                <w:rFonts w:ascii="Times New Roman" w:hAnsi="Times New Roman" w:cs="Times New Roman"/>
                <w:sz w:val="20"/>
                <w:szCs w:val="24"/>
              </w:rPr>
              <w:t>Human effort shifts to exception handling, validation oversight, customer interaction and final decision-making under a human-in-the-loop design</w:t>
            </w:r>
          </w:p>
        </w:tc>
        <w:tc>
          <w:tcPr>
            <w:tcW w:type="dxa" w:w="3120"/>
            <w:vAlign w:val="top"/>
          </w:tcPr>
          <w:p>
            <w:pPr>
              <w:spacing w:after="0"/>
              <w:jc w:val="left"/>
            </w:pPr>
            <w:r>
              <w:rPr>
                <w:rFonts w:ascii="Times New Roman" w:hAnsi="Times New Roman" w:cs="Times New Roman"/>
                <w:sz w:val="20"/>
                <w:szCs w:val="24"/>
              </w:rPr>
              <w:t>IBM (2026)</w:t>
            </w:r>
          </w:p>
        </w:tc>
      </w:tr>
    </w:tbl>
    <w:p>
      <w:pPr>
        <w:jc w:val="both"/>
        <w:rPr>
          <w:rFonts w:ascii="Times New Roman" w:hAnsi="Times New Roman" w:cs="Times New Roman"/>
          <w:sz w:val="24"/>
          <w:szCs w:val="24"/>
        </w:rPr>
      </w:pPr>
      <w:r>
        <w:rPr>
          <w:rFonts w:ascii="Times New Roman" w:hAnsi="Times New Roman" w:cs="Times New Roman"/>
          <w:i/>
          <w:sz w:val="24"/>
          <w:szCs w:val="24"/>
        </w:rPr>
        <w:t>Inference:</w:t>
      </w:r>
      <w:r>
        <w:rPr>
          <w:rFonts w:ascii="Times New Roman" w:hAnsi="Times New Roman" w:cs="Times New Roman"/>
          <w:sz w:val="24"/>
          <w:szCs w:val="24"/>
        </w:rPr>
        <w:t xml:space="preserve"> GRC teams are moving from a broad base of junior processors toward a narrower base and a wider middle of experienced reviewers and specialists ("pyramid to diamond"). Combined with the lower engagement of early-career professionals, this raises a talent-pipeline question: how will future experts be developed if entry-level processing roles shrink?</w:t>
      </w:r>
    </w:p>
    <w:p>
      <w:pPr>
        <w:jc w:val="left"/>
        <w:rPr>
          <w:rFonts w:ascii="Times New Roman" w:hAnsi="Times New Roman" w:cs="Times New Roman"/>
          <w:sz w:val="24"/>
          <w:szCs w:val="24"/>
        </w:rPr>
      </w:pPr>
      <w:r>
        <w:rPr>
          <w:rFonts w:ascii="Times New Roman" w:hAnsi="Times New Roman" w:cs="Times New Roman"/>
          <w:b/>
          <w:sz w:val="24"/>
          <w:szCs w:val="24"/>
        </w:rPr>
        <w:t>5.4 Triangulation and Testing of Propositions / Hypotheses</w:t>
      </w:r>
    </w:p>
    <w:tbl>
      <w:tblPr>
        <w:tblStyle w:val="TableGrid"/>
        <w:tblW w:type="dxa" w:w="9360"/>
        <w:tblLook w:firstColumn="1" w:firstRow="1" w:lastColumn="0" w:lastRow="0" w:noHBand="0" w:noVBand="1" w:val="04A0"/>
        <w:tblLayout w:type="autofit"/>
      </w:tblPr>
      <w:tblGrid>
        <w:gridCol w:w="1560"/>
        <w:gridCol w:w="1560"/>
        <w:gridCol w:w="1560"/>
        <w:gridCol w:w="1560"/>
        <w:gridCol w:w="1560"/>
        <w:gridCol w:w="1560"/>
      </w:tblGrid>
      <w:tr>
        <w:tc>
          <w:tcPr>
            <w:tcW w:type="dxa" w:w="1560"/>
            <w:vAlign w:val="top"/>
            <w:shd w:fill="D9D9D9" w:val="clear"/>
          </w:tcPr>
          <w:p>
            <w:pPr>
              <w:spacing w:after="0"/>
              <w:jc w:val="left"/>
            </w:pPr>
            <w:r>
              <w:rPr>
                <w:rFonts w:ascii="Times New Roman" w:hAnsi="Times New Roman" w:cs="Times New Roman"/>
                <w:b/>
                <w:sz w:val="20"/>
                <w:szCs w:val="24"/>
              </w:rPr>
              <w:t>#</w:t>
            </w:r>
          </w:p>
        </w:tc>
        <w:tc>
          <w:tcPr>
            <w:tcW w:type="dxa" w:w="1560"/>
            <w:vAlign w:val="top"/>
            <w:shd w:fill="D9D9D9" w:val="clear"/>
          </w:tcPr>
          <w:p>
            <w:pPr>
              <w:spacing w:after="0"/>
              <w:jc w:val="left"/>
            </w:pPr>
            <w:r>
              <w:rPr>
                <w:rFonts w:ascii="Times New Roman" w:hAnsi="Times New Roman" w:cs="Times New Roman"/>
                <w:b/>
                <w:sz w:val="20"/>
                <w:szCs w:val="24"/>
              </w:rPr>
              <w:t>Proposition / hypothesis</w:t>
            </w:r>
          </w:p>
        </w:tc>
        <w:tc>
          <w:tcPr>
            <w:tcW w:type="dxa" w:w="1560"/>
            <w:vAlign w:val="top"/>
            <w:shd w:fill="D9D9D9" w:val="clear"/>
          </w:tcPr>
          <w:p>
            <w:pPr>
              <w:spacing w:after="0"/>
              <w:jc w:val="left"/>
            </w:pPr>
            <w:r>
              <w:rPr>
                <w:rFonts w:ascii="Times New Roman" w:hAnsi="Times New Roman" w:cs="Times New Roman"/>
                <w:b/>
                <w:sz w:val="20"/>
                <w:szCs w:val="24"/>
              </w:rPr>
              <w:t>Primary evidence</w:t>
            </w:r>
          </w:p>
        </w:tc>
        <w:tc>
          <w:tcPr>
            <w:tcW w:type="dxa" w:w="1560"/>
            <w:vAlign w:val="top"/>
            <w:shd w:fill="D9D9D9" w:val="clear"/>
          </w:tcPr>
          <w:p>
            <w:pPr>
              <w:spacing w:after="0"/>
              <w:jc w:val="left"/>
            </w:pPr>
            <w:r>
              <w:rPr>
                <w:rFonts w:ascii="Times New Roman" w:hAnsi="Times New Roman" w:cs="Times New Roman"/>
                <w:b/>
                <w:sz w:val="20"/>
                <w:szCs w:val="24"/>
              </w:rPr>
              <w:t>Secondary evidence</w:t>
            </w:r>
          </w:p>
        </w:tc>
        <w:tc>
          <w:tcPr>
            <w:tcW w:type="dxa" w:w="1560"/>
            <w:vAlign w:val="top"/>
            <w:shd w:fill="D9D9D9" w:val="clear"/>
          </w:tcPr>
          <w:p>
            <w:pPr>
              <w:spacing w:after="0"/>
              <w:jc w:val="left"/>
            </w:pPr>
            <w:r>
              <w:rPr>
                <w:rFonts w:ascii="Times New Roman" w:hAnsi="Times New Roman" w:cs="Times New Roman"/>
                <w:b/>
                <w:sz w:val="20"/>
                <w:szCs w:val="24"/>
              </w:rPr>
              <w:t>Literature</w:t>
            </w:r>
          </w:p>
        </w:tc>
        <w:tc>
          <w:tcPr>
            <w:tcW w:type="dxa" w:w="1560"/>
            <w:vAlign w:val="top"/>
            <w:shd w:fill="D9D9D9" w:val="clear"/>
          </w:tcPr>
          <w:p>
            <w:pPr>
              <w:spacing w:after="0"/>
              <w:jc w:val="left"/>
            </w:pPr>
            <w:r>
              <w:rPr>
                <w:rFonts w:ascii="Times New Roman" w:hAnsi="Times New Roman" w:cs="Times New Roman"/>
                <w:b/>
                <w:sz w:val="20"/>
                <w:szCs w:val="24"/>
              </w:rPr>
              <w:t>Result</w:t>
            </w:r>
          </w:p>
        </w:tc>
      </w:tr>
      <w:tr>
        <w:tc>
          <w:tcPr>
            <w:tcW w:type="dxa" w:w="1560"/>
            <w:vAlign w:val="top"/>
          </w:tcPr>
          <w:p>
            <w:pPr>
              <w:spacing w:after="0"/>
              <w:jc w:val="left"/>
            </w:pPr>
            <w:r>
              <w:rPr>
                <w:rFonts w:ascii="Times New Roman" w:hAnsi="Times New Roman" w:cs="Times New Roman"/>
                <w:sz w:val="20"/>
                <w:szCs w:val="24"/>
              </w:rPr>
              <w:t>P1</w:t>
            </w:r>
          </w:p>
        </w:tc>
        <w:tc>
          <w:tcPr>
            <w:tcW w:type="dxa" w:w="1560"/>
            <w:vAlign w:val="top"/>
          </w:tcPr>
          <w:p>
            <w:pPr>
              <w:spacing w:after="0"/>
              <w:jc w:val="left"/>
            </w:pPr>
            <w:r>
              <w:rPr>
                <w:rFonts w:ascii="Times New Roman" w:hAnsi="Times New Roman" w:cs="Times New Roman"/>
                <w:sz w:val="20"/>
                <w:szCs w:val="24"/>
              </w:rPr>
              <w:t>Routine tasks automated first; judgement work augmented</w:t>
            </w:r>
          </w:p>
        </w:tc>
        <w:tc>
          <w:tcPr>
            <w:tcW w:type="dxa" w:w="1560"/>
            <w:vAlign w:val="top"/>
          </w:tcPr>
          <w:p>
            <w:pPr>
              <w:spacing w:after="0"/>
              <w:jc w:val="left"/>
            </w:pPr>
            <w:r>
              <w:rPr>
                <w:rFonts w:ascii="Times New Roman" w:hAnsi="Times New Roman" w:cs="Times New Roman"/>
                <w:sz w:val="20"/>
                <w:szCs w:val="24"/>
              </w:rPr>
              <w:t>T2, T3</w:t>
            </w:r>
          </w:p>
        </w:tc>
        <w:tc>
          <w:tcPr>
            <w:tcW w:type="dxa" w:w="1560"/>
            <w:vAlign w:val="top"/>
          </w:tcPr>
          <w:p>
            <w:pPr>
              <w:spacing w:after="0"/>
              <w:jc w:val="left"/>
            </w:pPr>
            <w:r>
              <w:rPr>
                <w:rFonts w:ascii="Times New Roman" w:hAnsi="Times New Roman" w:cs="Times New Roman"/>
                <w:sz w:val="20"/>
                <w:szCs w:val="24"/>
              </w:rPr>
              <w:t>Job-description shift from execution to review; agentic KYC/AML</w:t>
            </w:r>
          </w:p>
        </w:tc>
        <w:tc>
          <w:tcPr>
            <w:tcW w:type="dxa" w:w="1560"/>
            <w:vAlign w:val="top"/>
          </w:tcPr>
          <w:p>
            <w:pPr>
              <w:spacing w:after="0"/>
              <w:jc w:val="left"/>
            </w:pPr>
            <w:r>
              <w:rPr>
                <w:rFonts w:ascii="Times New Roman" w:hAnsi="Times New Roman" w:cs="Times New Roman"/>
                <w:sz w:val="20"/>
                <w:szCs w:val="24"/>
              </w:rPr>
              <w:t>Autor (2015); Frey &amp; Osborne (2017)</w:t>
            </w:r>
          </w:p>
        </w:tc>
        <w:tc>
          <w:tcPr>
            <w:tcW w:type="dxa" w:w="1560"/>
            <w:vAlign w:val="top"/>
          </w:tcPr>
          <w:p>
            <w:pPr>
              <w:spacing w:after="0"/>
              <w:jc w:val="left"/>
            </w:pPr>
            <w:r>
              <w:rPr>
                <w:rFonts w:ascii="Times New Roman" w:hAnsi="Times New Roman" w:cs="Times New Roman"/>
                <w:b/>
                <w:sz w:val="20"/>
                <w:szCs w:val="24"/>
              </w:rPr>
              <w:t>Supported</w:t>
            </w:r>
          </w:p>
        </w:tc>
      </w:tr>
      <w:tr>
        <w:tc>
          <w:tcPr>
            <w:tcW w:type="dxa" w:w="1560"/>
            <w:vAlign w:val="top"/>
          </w:tcPr>
          <w:p>
            <w:pPr>
              <w:spacing w:after="0"/>
              <w:jc w:val="left"/>
            </w:pPr>
            <w:r>
              <w:rPr>
                <w:rFonts w:ascii="Times New Roman" w:hAnsi="Times New Roman" w:cs="Times New Roman"/>
                <w:sz w:val="20"/>
                <w:szCs w:val="24"/>
              </w:rPr>
              <w:t>P2</w:t>
            </w:r>
          </w:p>
        </w:tc>
        <w:tc>
          <w:tcPr>
            <w:tcW w:type="dxa" w:w="1560"/>
            <w:vAlign w:val="top"/>
          </w:tcPr>
          <w:p>
            <w:pPr>
              <w:spacing w:after="0"/>
              <w:jc w:val="left"/>
            </w:pPr>
            <w:r>
              <w:rPr>
                <w:rFonts w:ascii="Times New Roman" w:hAnsi="Times New Roman" w:cs="Times New Roman"/>
                <w:sz w:val="20"/>
                <w:szCs w:val="24"/>
              </w:rPr>
              <w:t>Regulation makes competence and oversight compliance conditions</w:t>
            </w:r>
          </w:p>
        </w:tc>
        <w:tc>
          <w:tcPr>
            <w:tcW w:type="dxa" w:w="1560"/>
            <w:vAlign w:val="top"/>
          </w:tcPr>
          <w:p>
            <w:pPr>
              <w:spacing w:after="0"/>
              <w:jc w:val="left"/>
            </w:pPr>
            <w:r>
              <w:rPr>
                <w:rFonts w:ascii="Times New Roman" w:hAnsi="Times New Roman" w:cs="Times New Roman"/>
                <w:sz w:val="20"/>
                <w:szCs w:val="24"/>
              </w:rPr>
              <w:t>T4, T6; items 26-27</w:t>
            </w:r>
          </w:p>
        </w:tc>
        <w:tc>
          <w:tcPr>
            <w:tcW w:type="dxa" w:w="1560"/>
            <w:vAlign w:val="top"/>
          </w:tcPr>
          <w:p>
            <w:pPr>
              <w:spacing w:after="0"/>
              <w:jc w:val="left"/>
            </w:pPr>
            <w:r>
              <w:rPr>
                <w:rFonts w:ascii="Times New Roman" w:hAnsi="Times New Roman" w:cs="Times New Roman"/>
                <w:sz w:val="20"/>
                <w:szCs w:val="24"/>
              </w:rPr>
              <w:t>DORA, AI Act, SS1/23, SM&amp;CR, AMLR</w:t>
            </w:r>
          </w:p>
        </w:tc>
        <w:tc>
          <w:tcPr>
            <w:tcW w:type="dxa" w:w="1560"/>
            <w:vAlign w:val="top"/>
          </w:tcPr>
          <w:p>
            <w:pPr>
              <w:spacing w:after="0"/>
              <w:jc w:val="left"/>
            </w:pPr>
            <w:r>
              <w:rPr>
                <w:rFonts w:ascii="Times New Roman" w:hAnsi="Times New Roman" w:cs="Times New Roman"/>
                <w:sz w:val="20"/>
                <w:szCs w:val="24"/>
              </w:rPr>
              <w:t>Buckley et al. (2020)</w:t>
            </w:r>
          </w:p>
        </w:tc>
        <w:tc>
          <w:tcPr>
            <w:tcW w:type="dxa" w:w="1560"/>
            <w:vAlign w:val="top"/>
          </w:tcPr>
          <w:p>
            <w:pPr>
              <w:spacing w:after="0"/>
              <w:jc w:val="left"/>
            </w:pPr>
            <w:r>
              <w:rPr>
                <w:rFonts w:ascii="Times New Roman" w:hAnsi="Times New Roman" w:cs="Times New Roman"/>
                <w:b/>
                <w:sz w:val="20"/>
                <w:szCs w:val="24"/>
              </w:rPr>
              <w:t>Supported in texts; partially in practice</w:t>
            </w:r>
          </w:p>
        </w:tc>
      </w:tr>
      <w:tr>
        <w:tc>
          <w:tcPr>
            <w:tcW w:type="dxa" w:w="1560"/>
            <w:vAlign w:val="top"/>
          </w:tcPr>
          <w:p>
            <w:pPr>
              <w:spacing w:after="0"/>
              <w:jc w:val="left"/>
            </w:pPr>
            <w:r>
              <w:rPr>
                <w:rFonts w:ascii="Times New Roman" w:hAnsi="Times New Roman" w:cs="Times New Roman"/>
                <w:sz w:val="20"/>
                <w:szCs w:val="24"/>
              </w:rPr>
              <w:t>P3</w:t>
            </w:r>
          </w:p>
        </w:tc>
        <w:tc>
          <w:tcPr>
            <w:tcW w:type="dxa" w:w="1560"/>
            <w:vAlign w:val="top"/>
          </w:tcPr>
          <w:p>
            <w:pPr>
              <w:spacing w:after="0"/>
              <w:jc w:val="left"/>
            </w:pPr>
            <w:r>
              <w:rPr>
                <w:rFonts w:ascii="Times New Roman" w:hAnsi="Times New Roman" w:cs="Times New Roman"/>
                <w:sz w:val="20"/>
                <w:szCs w:val="24"/>
              </w:rPr>
              <w:t>Hybrid technical + domain skill profile required</w:t>
            </w:r>
          </w:p>
        </w:tc>
        <w:tc>
          <w:tcPr>
            <w:tcW w:type="dxa" w:w="1560"/>
            <w:vAlign w:val="top"/>
          </w:tcPr>
          <w:p>
            <w:pPr>
              <w:spacing w:after="0"/>
              <w:jc w:val="left"/>
            </w:pPr>
            <w:r>
              <w:rPr>
                <w:rFonts w:ascii="Times New Roman" w:hAnsi="Times New Roman" w:cs="Times New Roman"/>
                <w:sz w:val="20"/>
                <w:szCs w:val="24"/>
              </w:rPr>
              <w:t>T7; items 24-25</w:t>
            </w:r>
          </w:p>
        </w:tc>
        <w:tc>
          <w:tcPr>
            <w:tcW w:type="dxa" w:w="1560"/>
            <w:vAlign w:val="top"/>
          </w:tcPr>
          <w:p>
            <w:pPr>
              <w:spacing w:after="0"/>
              <w:jc w:val="left"/>
            </w:pPr>
            <w:r>
              <w:rPr>
                <w:rFonts w:ascii="Times New Roman" w:hAnsi="Times New Roman" w:cs="Times New Roman"/>
                <w:sz w:val="20"/>
                <w:szCs w:val="24"/>
              </w:rPr>
              <w:t>Skill coding; 24% hybrid premium; &gt;40% skills gaps</w:t>
            </w:r>
          </w:p>
        </w:tc>
        <w:tc>
          <w:tcPr>
            <w:tcW w:type="dxa" w:w="1560"/>
            <w:vAlign w:val="top"/>
          </w:tcPr>
          <w:p>
            <w:pPr>
              <w:spacing w:after="0"/>
              <w:jc w:val="left"/>
            </w:pPr>
            <w:r>
              <w:rPr>
                <w:rFonts w:ascii="Times New Roman" w:hAnsi="Times New Roman" w:cs="Times New Roman"/>
                <w:sz w:val="20"/>
                <w:szCs w:val="24"/>
              </w:rPr>
              <w:t>Cascio &amp; Montealegre (2016)</w:t>
            </w:r>
          </w:p>
        </w:tc>
        <w:tc>
          <w:tcPr>
            <w:tcW w:type="dxa" w:w="1560"/>
            <w:vAlign w:val="top"/>
          </w:tcPr>
          <w:p>
            <w:pPr>
              <w:spacing w:after="0"/>
              <w:jc w:val="left"/>
            </w:pPr>
            <w:r>
              <w:rPr>
                <w:rFonts w:ascii="Times New Roman" w:hAnsi="Times New Roman" w:cs="Times New Roman"/>
                <w:b/>
                <w:sz w:val="20"/>
                <w:szCs w:val="24"/>
              </w:rPr>
              <w:t>Supported</w:t>
            </w:r>
          </w:p>
        </w:tc>
      </w:tr>
      <w:tr>
        <w:tc>
          <w:tcPr>
            <w:tcW w:type="dxa" w:w="1560"/>
            <w:vAlign w:val="top"/>
          </w:tcPr>
          <w:p>
            <w:pPr>
              <w:spacing w:after="0"/>
              <w:jc w:val="left"/>
            </w:pPr>
            <w:r>
              <w:rPr>
                <w:rFonts w:ascii="Times New Roman" w:hAnsi="Times New Roman" w:cs="Times New Roman"/>
                <w:sz w:val="20"/>
                <w:szCs w:val="24"/>
              </w:rPr>
              <w:t>P4</w:t>
            </w:r>
          </w:p>
        </w:tc>
        <w:tc>
          <w:tcPr>
            <w:tcW w:type="dxa" w:w="1560"/>
            <w:vAlign w:val="top"/>
          </w:tcPr>
          <w:p>
            <w:pPr>
              <w:spacing w:after="0"/>
              <w:jc w:val="left"/>
            </w:pPr>
            <w:r>
              <w:rPr>
                <w:rFonts w:ascii="Times New Roman" w:hAnsi="Times New Roman" w:cs="Times New Roman"/>
                <w:sz w:val="20"/>
                <w:szCs w:val="24"/>
              </w:rPr>
              <w:t>Institutional knowledge loss is a material restructuring risk</w:t>
            </w:r>
          </w:p>
        </w:tc>
        <w:tc>
          <w:tcPr>
            <w:tcW w:type="dxa" w:w="1560"/>
            <w:vAlign w:val="top"/>
          </w:tcPr>
          <w:p>
            <w:pPr>
              <w:spacing w:after="0"/>
              <w:jc w:val="left"/>
            </w:pPr>
            <w:r>
              <w:rPr>
                <w:rFonts w:ascii="Times New Roman" w:hAnsi="Times New Roman" w:cs="Times New Roman"/>
                <w:sz w:val="20"/>
                <w:szCs w:val="24"/>
              </w:rPr>
              <w:t>T8</w:t>
            </w:r>
          </w:p>
        </w:tc>
        <w:tc>
          <w:tcPr>
            <w:tcW w:type="dxa" w:w="1560"/>
            <w:vAlign w:val="top"/>
          </w:tcPr>
          <w:p>
            <w:pPr>
              <w:spacing w:after="0"/>
              <w:jc w:val="left"/>
            </w:pPr>
            <w:r>
              <w:rPr>
                <w:rFonts w:ascii="Times New Roman" w:hAnsi="Times New Roman" w:cs="Times New Roman"/>
                <w:sz w:val="20"/>
                <w:szCs w:val="24"/>
              </w:rPr>
              <w:t>Knowledge capture treated as AI-deployment prerequisite</w:t>
            </w:r>
          </w:p>
        </w:tc>
        <w:tc>
          <w:tcPr>
            <w:tcW w:type="dxa" w:w="1560"/>
            <w:vAlign w:val="top"/>
          </w:tcPr>
          <w:p>
            <w:pPr>
              <w:spacing w:after="0"/>
              <w:jc w:val="left"/>
            </w:pPr>
            <w:r>
              <w:rPr>
                <w:rFonts w:ascii="Times New Roman" w:hAnsi="Times New Roman" w:cs="Times New Roman"/>
                <w:sz w:val="20"/>
                <w:szCs w:val="24"/>
              </w:rPr>
              <w:t>Extends Autor (2015)</w:t>
            </w:r>
          </w:p>
        </w:tc>
        <w:tc>
          <w:tcPr>
            <w:tcW w:type="dxa" w:w="1560"/>
            <w:vAlign w:val="top"/>
          </w:tcPr>
          <w:p>
            <w:pPr>
              <w:spacing w:after="0"/>
              <w:jc w:val="left"/>
            </w:pPr>
            <w:r>
              <w:rPr>
                <w:rFonts w:ascii="Times New Roman" w:hAnsi="Times New Roman" w:cs="Times New Roman"/>
                <w:b/>
                <w:sz w:val="20"/>
                <w:szCs w:val="24"/>
              </w:rPr>
              <w:t>Supported - emergent contribution</w:t>
            </w:r>
          </w:p>
        </w:tc>
      </w:tr>
      <w:tr>
        <w:tc>
          <w:tcPr>
            <w:tcW w:type="dxa" w:w="1560"/>
            <w:vAlign w:val="top"/>
          </w:tcPr>
          <w:p>
            <w:pPr>
              <w:spacing w:after="0"/>
              <w:jc w:val="left"/>
            </w:pPr>
            <w:r>
              <w:rPr>
                <w:rFonts w:ascii="Times New Roman" w:hAnsi="Times New Roman" w:cs="Times New Roman"/>
                <w:sz w:val="20"/>
                <w:szCs w:val="24"/>
              </w:rPr>
              <w:t>H1</w:t>
            </w:r>
          </w:p>
        </w:tc>
        <w:tc>
          <w:tcPr>
            <w:tcW w:type="dxa" w:w="1560"/>
            <w:vAlign w:val="top"/>
          </w:tcPr>
          <w:p>
            <w:pPr>
              <w:spacing w:after="0"/>
              <w:jc w:val="left"/>
            </w:pPr>
            <w:r>
              <w:rPr>
                <w:rFonts w:ascii="Times New Roman" w:hAnsi="Times New Roman" w:cs="Times New Roman"/>
                <w:sz w:val="20"/>
                <w:szCs w:val="24"/>
              </w:rPr>
              <w:t>Usefulness &gt; midpoint</w:t>
            </w:r>
          </w:p>
        </w:tc>
        <w:tc>
          <w:tcPr>
            <w:tcW w:type="dxa" w:w="1560"/>
            <w:vAlign w:val="top"/>
          </w:tcPr>
          <w:p>
            <w:pPr>
              <w:spacing w:after="0"/>
              <w:jc w:val="left"/>
            </w:pPr>
            <w:r>
              <w:rPr>
                <w:rFonts w:ascii="Times New Roman" w:hAnsi="Times New Roman" w:cs="Times New Roman"/>
                <w:sz w:val="20"/>
                <w:szCs w:val="24"/>
              </w:rPr>
              <w:t>T1, T10</w:t>
            </w:r>
          </w:p>
        </w:tc>
        <w:tc>
          <w:tcPr>
            <w:tcW w:type="dxa" w:w="1560"/>
            <w:vAlign w:val="top"/>
          </w:tcPr>
          <w:p>
            <w:pPr>
              <w:spacing w:after="0"/>
              <w:jc w:val="left"/>
            </w:pPr>
            <w:r>
              <w:rPr>
                <w:rFonts w:ascii="Times New Roman" w:hAnsi="Times New Roman" w:cs="Times New Roman"/>
                <w:sz w:val="20"/>
                <w:szCs w:val="24"/>
              </w:rPr>
              <w:t>53% of organisations already see ROI (Thomson Reuters, 2025)</w:t>
            </w:r>
          </w:p>
        </w:tc>
        <w:tc>
          <w:tcPr>
            <w:tcW w:type="dxa" w:w="1560"/>
            <w:vAlign w:val="top"/>
          </w:tcPr>
          <w:p>
            <w:pPr>
              <w:spacing w:after="0"/>
              <w:jc w:val="left"/>
            </w:pPr>
            <w:r>
              <w:rPr>
                <w:rFonts w:ascii="Times New Roman" w:hAnsi="Times New Roman" w:cs="Times New Roman"/>
                <w:sz w:val="20"/>
                <w:szCs w:val="24"/>
              </w:rPr>
              <w:t>Davis (1989)</w:t>
            </w:r>
          </w:p>
        </w:tc>
        <w:tc>
          <w:tcPr>
            <w:tcW w:type="dxa" w:w="1560"/>
            <w:vAlign w:val="top"/>
          </w:tcPr>
          <w:p>
            <w:pPr>
              <w:spacing w:after="0"/>
              <w:jc w:val="left"/>
            </w:pPr>
            <w:r>
              <w:rPr>
                <w:rFonts w:ascii="Times New Roman" w:hAnsi="Times New Roman" w:cs="Times New Roman"/>
                <w:b/>
                <w:sz w:val="20"/>
                <w:szCs w:val="24"/>
              </w:rPr>
              <w:t>Directionally supported (3.58)</w:t>
            </w:r>
            <w:r>
              <w:rPr>
                <w:rFonts w:ascii="Times New Roman" w:hAnsi="Times New Roman" w:cs="Times New Roman"/>
                <w:sz w:val="20"/>
                <w:szCs w:val="24"/>
              </w:rPr>
              <w:t>; formal test on final data file</w:t>
            </w:r>
          </w:p>
        </w:tc>
      </w:tr>
      <w:tr>
        <w:tc>
          <w:tcPr>
            <w:tcW w:type="dxa" w:w="1560"/>
            <w:vAlign w:val="top"/>
          </w:tcPr>
          <w:p>
            <w:pPr>
              <w:spacing w:after="0"/>
              <w:jc w:val="left"/>
            </w:pPr>
            <w:r>
              <w:rPr>
                <w:rFonts w:ascii="Times New Roman" w:hAnsi="Times New Roman" w:cs="Times New Roman"/>
                <w:sz w:val="20"/>
                <w:szCs w:val="24"/>
              </w:rPr>
              <w:t>H2</w:t>
            </w:r>
          </w:p>
        </w:tc>
        <w:tc>
          <w:tcPr>
            <w:tcW w:type="dxa" w:w="1560"/>
            <w:vAlign w:val="top"/>
          </w:tcPr>
          <w:p>
            <w:pPr>
              <w:spacing w:after="0"/>
              <w:jc w:val="left"/>
            </w:pPr>
            <w:r>
              <w:rPr>
                <w:rFonts w:ascii="Times New Roman" w:hAnsi="Times New Roman" w:cs="Times New Roman"/>
                <w:sz w:val="20"/>
                <w:szCs w:val="24"/>
              </w:rPr>
              <w:t>Ease of use &gt; midpoint</w:t>
            </w:r>
          </w:p>
        </w:tc>
        <w:tc>
          <w:tcPr>
            <w:tcW w:type="dxa" w:w="1560"/>
            <w:vAlign w:val="top"/>
          </w:tcPr>
          <w:p>
            <w:pPr>
              <w:spacing w:after="0"/>
              <w:jc w:val="left"/>
            </w:pPr>
            <w:r>
              <w:rPr>
                <w:rFonts w:ascii="Times New Roman" w:hAnsi="Times New Roman" w:cs="Times New Roman"/>
                <w:sz w:val="20"/>
                <w:szCs w:val="24"/>
              </w:rPr>
              <w:t>T10</w:t>
            </w:r>
          </w:p>
        </w:tc>
        <w:tc>
          <w:tcPr>
            <w:tcW w:type="dxa" w:w="1560"/>
            <w:vAlign w:val="top"/>
          </w:tcPr>
          <w:p>
            <w:pPr>
              <w:spacing w:after="0"/>
              <w:jc w:val="left"/>
            </w:pPr>
            <w:r>
              <w:rPr>
                <w:rFonts w:ascii="Times New Roman" w:hAnsi="Times New Roman" w:cs="Times New Roman"/>
                <w:sz w:val="20"/>
                <w:szCs w:val="24"/>
              </w:rPr>
              <w:t>-</w:t>
            </w:r>
          </w:p>
        </w:tc>
        <w:tc>
          <w:tcPr>
            <w:tcW w:type="dxa" w:w="1560"/>
            <w:vAlign w:val="top"/>
          </w:tcPr>
          <w:p>
            <w:pPr>
              <w:spacing w:after="0"/>
              <w:jc w:val="left"/>
            </w:pPr>
            <w:r>
              <w:rPr>
                <w:rFonts w:ascii="Times New Roman" w:hAnsi="Times New Roman" w:cs="Times New Roman"/>
                <w:sz w:val="20"/>
                <w:szCs w:val="24"/>
              </w:rPr>
              <w:t>Davis (1989)</w:t>
            </w:r>
          </w:p>
        </w:tc>
        <w:tc>
          <w:tcPr>
            <w:tcW w:type="dxa" w:w="1560"/>
            <w:vAlign w:val="top"/>
          </w:tcPr>
          <w:p>
            <w:pPr>
              <w:spacing w:after="0"/>
              <w:jc w:val="left"/>
            </w:pPr>
            <w:r>
              <w:rPr>
                <w:rFonts w:ascii="Times New Roman" w:hAnsi="Times New Roman" w:cs="Times New Roman"/>
                <w:b/>
                <w:sz w:val="20"/>
                <w:szCs w:val="24"/>
              </w:rPr>
              <w:t>Directionally supported (4.00)</w:t>
            </w:r>
            <w:r>
              <w:rPr>
                <w:rFonts w:ascii="Times New Roman" w:hAnsi="Times New Roman" w:cs="Times New Roman"/>
                <w:sz w:val="20"/>
                <w:szCs w:val="24"/>
              </w:rPr>
              <w:t>; formal test on final data file</w:t>
            </w:r>
          </w:p>
        </w:tc>
      </w:tr>
      <w:tr>
        <w:tc>
          <w:tcPr>
            <w:tcW w:type="dxa" w:w="1560"/>
            <w:vAlign w:val="top"/>
          </w:tcPr>
          <w:p>
            <w:pPr>
              <w:spacing w:after="0"/>
              <w:jc w:val="left"/>
            </w:pPr>
            <w:r>
              <w:rPr>
                <w:rFonts w:ascii="Times New Roman" w:hAnsi="Times New Roman" w:cs="Times New Roman"/>
                <w:sz w:val="20"/>
                <w:szCs w:val="24"/>
              </w:rPr>
              <w:t>H3</w:t>
            </w:r>
          </w:p>
        </w:tc>
        <w:tc>
          <w:tcPr>
            <w:tcW w:type="dxa" w:w="1560"/>
            <w:vAlign w:val="top"/>
          </w:tcPr>
          <w:p>
            <w:pPr>
              <w:spacing w:after="0"/>
              <w:jc w:val="left"/>
            </w:pPr>
            <w:r>
              <w:rPr>
                <w:rFonts w:ascii="Times New Roman" w:hAnsi="Times New Roman" w:cs="Times New Roman"/>
                <w:sz w:val="20"/>
                <w:szCs w:val="24"/>
              </w:rPr>
              <w:t>Roles expected to change substantially</w:t>
            </w:r>
          </w:p>
        </w:tc>
        <w:tc>
          <w:tcPr>
            <w:tcW w:type="dxa" w:w="1560"/>
            <w:vAlign w:val="top"/>
          </w:tcPr>
          <w:p>
            <w:pPr>
              <w:spacing w:after="0"/>
              <w:jc w:val="left"/>
            </w:pPr>
            <w:r>
              <w:rPr>
                <w:rFonts w:ascii="Times New Roman" w:hAnsi="Times New Roman" w:cs="Times New Roman"/>
                <w:sz w:val="20"/>
                <w:szCs w:val="24"/>
              </w:rPr>
              <w:t>T3</w:t>
            </w:r>
          </w:p>
        </w:tc>
        <w:tc>
          <w:tcPr>
            <w:tcW w:type="dxa" w:w="1560"/>
            <w:vAlign w:val="top"/>
          </w:tcPr>
          <w:p>
            <w:pPr>
              <w:spacing w:after="0"/>
              <w:jc w:val="left"/>
            </w:pPr>
            <w:r>
              <w:rPr>
                <w:rFonts w:ascii="Times New Roman" w:hAnsi="Times New Roman" w:cs="Times New Roman"/>
                <w:sz w:val="20"/>
                <w:szCs w:val="24"/>
              </w:rPr>
              <w:t>80% expect transformative impact</w:t>
            </w:r>
          </w:p>
        </w:tc>
        <w:tc>
          <w:tcPr>
            <w:tcW w:type="dxa" w:w="1560"/>
            <w:vAlign w:val="top"/>
          </w:tcPr>
          <w:p>
            <w:pPr>
              <w:spacing w:after="0"/>
              <w:jc w:val="left"/>
            </w:pPr>
            <w:r>
              <w:rPr>
                <w:rFonts w:ascii="Times New Roman" w:hAnsi="Times New Roman" w:cs="Times New Roman"/>
                <w:sz w:val="20"/>
                <w:szCs w:val="24"/>
              </w:rPr>
              <w:t>Brougham &amp; Haar (2018)</w:t>
            </w:r>
          </w:p>
        </w:tc>
        <w:tc>
          <w:tcPr>
            <w:tcW w:type="dxa" w:w="1560"/>
            <w:vAlign w:val="top"/>
          </w:tcPr>
          <w:p>
            <w:pPr>
              <w:spacing w:after="0"/>
              <w:jc w:val="left"/>
            </w:pPr>
            <w:r>
              <w:rPr>
                <w:rFonts w:ascii="Times New Roman" w:hAnsi="Times New Roman" w:cs="Times New Roman"/>
                <w:b/>
                <w:sz w:val="20"/>
                <w:szCs w:val="24"/>
              </w:rPr>
              <w:t>Directionally supported (4.33)</w:t>
            </w:r>
            <w:r>
              <w:rPr>
                <w:rFonts w:ascii="Times New Roman" w:hAnsi="Times New Roman" w:cs="Times New Roman"/>
                <w:sz w:val="20"/>
                <w:szCs w:val="24"/>
              </w:rPr>
              <w:t>; formal test on final data file</w:t>
            </w:r>
          </w:p>
        </w:tc>
      </w:tr>
      <w:tr>
        <w:tc>
          <w:tcPr>
            <w:tcW w:type="dxa" w:w="1560"/>
            <w:vAlign w:val="top"/>
          </w:tcPr>
          <w:p>
            <w:pPr>
              <w:spacing w:after="0"/>
              <w:jc w:val="left"/>
            </w:pPr>
            <w:r>
              <w:rPr>
                <w:rFonts w:ascii="Times New Roman" w:hAnsi="Times New Roman" w:cs="Times New Roman"/>
                <w:sz w:val="20"/>
                <w:szCs w:val="24"/>
              </w:rPr>
              <w:t>H4</w:t>
            </w:r>
          </w:p>
        </w:tc>
        <w:tc>
          <w:tcPr>
            <w:tcW w:type="dxa" w:w="1560"/>
            <w:vAlign w:val="top"/>
          </w:tcPr>
          <w:p>
            <w:pPr>
              <w:spacing w:after="0"/>
              <w:jc w:val="left"/>
            </w:pPr>
            <w:r>
              <w:rPr>
                <w:rFonts w:ascii="Times New Roman" w:hAnsi="Times New Roman" w:cs="Times New Roman"/>
                <w:sz w:val="20"/>
                <w:szCs w:val="24"/>
              </w:rPr>
              <w:t>Trust conditional: reliance &lt; reliability</w:t>
            </w:r>
          </w:p>
        </w:tc>
        <w:tc>
          <w:tcPr>
            <w:tcW w:type="dxa" w:w="1560"/>
            <w:vAlign w:val="top"/>
          </w:tcPr>
          <w:p>
            <w:pPr>
              <w:spacing w:after="0"/>
              <w:jc w:val="left"/>
            </w:pPr>
            <w:r>
              <w:rPr>
                <w:rFonts w:ascii="Times New Roman" w:hAnsi="Times New Roman" w:cs="Times New Roman"/>
                <w:sz w:val="20"/>
                <w:szCs w:val="24"/>
              </w:rPr>
              <w:t>T4</w:t>
            </w:r>
          </w:p>
        </w:tc>
        <w:tc>
          <w:tcPr>
            <w:tcW w:type="dxa" w:w="1560"/>
            <w:vAlign w:val="top"/>
          </w:tcPr>
          <w:p>
            <w:pPr>
              <w:spacing w:after="0"/>
              <w:jc w:val="left"/>
            </w:pPr>
            <w:r>
              <w:rPr>
                <w:rFonts w:ascii="Times New Roman" w:hAnsi="Times New Roman" w:cs="Times New Roman"/>
                <w:sz w:val="20"/>
                <w:szCs w:val="24"/>
              </w:rPr>
              <w:t>46% only partial understanding of AI</w:t>
            </w:r>
          </w:p>
        </w:tc>
        <w:tc>
          <w:tcPr>
            <w:tcW w:type="dxa" w:w="1560"/>
            <w:vAlign w:val="top"/>
          </w:tcPr>
          <w:p>
            <w:pPr>
              <w:spacing w:after="0"/>
              <w:jc w:val="left"/>
            </w:pPr>
            <w:r>
              <w:rPr>
                <w:rFonts w:ascii="Times New Roman" w:hAnsi="Times New Roman" w:cs="Times New Roman"/>
                <w:sz w:val="20"/>
                <w:szCs w:val="24"/>
              </w:rPr>
              <w:t>Glikson &amp; Woolley (2020)</w:t>
            </w:r>
          </w:p>
        </w:tc>
        <w:tc>
          <w:tcPr>
            <w:tcW w:type="dxa" w:w="1560"/>
            <w:vAlign w:val="top"/>
          </w:tcPr>
          <w:p>
            <w:pPr>
              <w:spacing w:after="0"/>
              <w:jc w:val="left"/>
            </w:pPr>
            <w:r>
              <w:rPr>
                <w:rFonts w:ascii="Times New Roman" w:hAnsi="Times New Roman" w:cs="Times New Roman"/>
                <w:b/>
                <w:sz w:val="20"/>
                <w:szCs w:val="24"/>
              </w:rPr>
              <w:t>Not supported on the current means (3.67 = 3.67), but reliance shows greater dispersion; supported qualitatively by T4.</w:t>
            </w:r>
            <w:r>
              <w:rPr>
                <w:rFonts w:ascii="Times New Roman" w:hAnsi="Times New Roman" w:cs="Times New Roman"/>
                <w:sz w:val="20"/>
                <w:szCs w:val="24"/>
              </w:rPr>
              <w:t xml:space="preserve"> Formal test on final data file</w:t>
            </w:r>
          </w:p>
        </w:tc>
      </w:tr>
    </w:tbl>
    <w:p>
      <w:pPr>
        <w:jc w:val="left"/>
        <w:rPr>
          <w:rFonts w:ascii="Times New Roman" w:hAnsi="Times New Roman" w:cs="Times New Roman"/>
          <w:sz w:val="24"/>
          <w:szCs w:val="24"/>
        </w:rPr>
      </w:pPr>
      <w:r>
        <w:rPr>
          <w:rFonts w:ascii="Times New Roman" w:hAnsi="Times New Roman" w:cs="Times New Roman"/>
          <w:b/>
          <w:sz w:val="24"/>
          <w:szCs w:val="24"/>
        </w:rPr>
        <w:t>5.5 GRC Role-Impact Map (Preliminary Output)</w:t>
      </w:r>
    </w:p>
    <w:tbl>
      <w:tblPr>
        <w:tblStyle w:val="TableGrid"/>
        <w:tblW w:type="dxa" w:w="9360"/>
        <w:tblLook w:firstColumn="1" w:firstRow="1" w:lastColumn="0" w:lastRow="0" w:noHBand="0" w:noVBand="1" w:val="04A0"/>
        <w:tblLayout w:type="autofit"/>
      </w:tblPr>
      <w:tblGrid>
        <w:gridCol w:w="4680"/>
        <w:gridCol w:w="4680"/>
      </w:tblGrid>
      <w:tr>
        <w:tc>
          <w:tcPr>
            <w:tcW w:type="dxa" w:w="4680"/>
            <w:vAlign w:val="top"/>
            <w:shd w:fill="D9D9D9" w:val="clear"/>
          </w:tcPr>
          <w:p>
            <w:pPr>
              <w:spacing w:after="0"/>
              <w:jc w:val="left"/>
            </w:pPr>
            <w:r>
              <w:rPr>
                <w:rFonts w:ascii="Times New Roman" w:hAnsi="Times New Roman" w:cs="Times New Roman"/>
                <w:b/>
                <w:sz w:val="20"/>
                <w:szCs w:val="24"/>
              </w:rPr>
              <w:t>Category</w:t>
            </w:r>
          </w:p>
        </w:tc>
        <w:tc>
          <w:tcPr>
            <w:tcW w:type="dxa" w:w="4680"/>
            <w:vAlign w:val="top"/>
            <w:shd w:fill="D9D9D9" w:val="clear"/>
          </w:tcPr>
          <w:p>
            <w:pPr>
              <w:spacing w:after="0"/>
              <w:jc w:val="left"/>
            </w:pPr>
            <w:r>
              <w:rPr>
                <w:rFonts w:ascii="Times New Roman" w:hAnsi="Times New Roman" w:cs="Times New Roman"/>
                <w:b/>
                <w:sz w:val="20"/>
                <w:szCs w:val="24"/>
              </w:rPr>
              <w:t>GRC activities and roles</w:t>
            </w:r>
          </w:p>
        </w:tc>
      </w:tr>
      <w:tr>
        <w:tc>
          <w:tcPr>
            <w:tcW w:type="dxa" w:w="4680"/>
            <w:vAlign w:val="top"/>
          </w:tcPr>
          <w:p>
            <w:pPr>
              <w:spacing w:after="0"/>
              <w:jc w:val="left"/>
            </w:pPr>
            <w:r>
              <w:rPr>
                <w:rFonts w:ascii="Times New Roman" w:hAnsi="Times New Roman" w:cs="Times New Roman"/>
                <w:b/>
                <w:sz w:val="20"/>
                <w:szCs w:val="24"/>
              </w:rPr>
              <w:t>Automated (substitution)</w:t>
            </w:r>
          </w:p>
        </w:tc>
        <w:tc>
          <w:tcPr>
            <w:tcW w:type="dxa" w:w="4680"/>
            <w:vAlign w:val="top"/>
          </w:tcPr>
          <w:p>
            <w:pPr>
              <w:spacing w:after="0"/>
              <w:jc w:val="left"/>
            </w:pPr>
            <w:r>
              <w:rPr>
                <w:rFonts w:ascii="Times New Roman" w:hAnsi="Times New Roman" w:cs="Times New Roman"/>
                <w:sz w:val="20"/>
                <w:szCs w:val="24"/>
              </w:rPr>
              <w:t>Data collection and consolidation for reporting; cross-format reconciliation; MI and dashboards; rules-based control monitoring; first-level alert triage; document classification and periodic KYC refresh; execution-focused control testing</w:t>
            </w:r>
          </w:p>
        </w:tc>
      </w:tr>
      <w:tr>
        <w:tc>
          <w:tcPr>
            <w:tcW w:type="dxa" w:w="4680"/>
            <w:vAlign w:val="top"/>
          </w:tcPr>
          <w:p>
            <w:pPr>
              <w:spacing w:after="0"/>
              <w:jc w:val="left"/>
            </w:pPr>
            <w:r>
              <w:rPr>
                <w:rFonts w:ascii="Times New Roman" w:hAnsi="Times New Roman" w:cs="Times New Roman"/>
                <w:b/>
                <w:sz w:val="20"/>
                <w:szCs w:val="24"/>
              </w:rPr>
              <w:t>Augmented (complementarity)</w:t>
            </w:r>
          </w:p>
        </w:tc>
        <w:tc>
          <w:tcPr>
            <w:tcW w:type="dxa" w:w="4680"/>
            <w:vAlign w:val="top"/>
          </w:tcPr>
          <w:p>
            <w:pPr>
              <w:spacing w:after="0"/>
              <w:jc w:val="left"/>
            </w:pPr>
            <w:r>
              <w:rPr>
                <w:rFonts w:ascii="Times New Roman" w:hAnsi="Times New Roman" w:cs="Times New Roman"/>
                <w:sz w:val="20"/>
                <w:szCs w:val="24"/>
              </w:rPr>
              <w:t>Alert investigation; KYC/CDD risk judgement; regulatory change impact assessment; control design; model validation; audit planning and fieldwork; risk assessment; regulatory reporting review; compliance advisory</w:t>
            </w:r>
          </w:p>
        </w:tc>
      </w:tr>
      <w:tr>
        <w:tc>
          <w:tcPr>
            <w:tcW w:type="dxa" w:w="4680"/>
            <w:vAlign w:val="top"/>
          </w:tcPr>
          <w:p>
            <w:pPr>
              <w:spacing w:after="0"/>
              <w:jc w:val="left"/>
            </w:pPr>
            <w:r>
              <w:rPr>
                <w:rFonts w:ascii="Times New Roman" w:hAnsi="Times New Roman" w:cs="Times New Roman"/>
                <w:b/>
                <w:sz w:val="20"/>
                <w:szCs w:val="24"/>
              </w:rPr>
              <w:t>Newly created</w:t>
            </w:r>
          </w:p>
        </w:tc>
        <w:tc>
          <w:tcPr>
            <w:tcW w:type="dxa" w:w="4680"/>
            <w:vAlign w:val="top"/>
          </w:tcPr>
          <w:p>
            <w:pPr>
              <w:spacing w:after="0"/>
              <w:jc w:val="left"/>
            </w:pPr>
            <w:r>
              <w:rPr>
                <w:rFonts w:ascii="Times New Roman" w:hAnsi="Times New Roman" w:cs="Times New Roman"/>
                <w:sz w:val="20"/>
                <w:szCs w:val="24"/>
              </w:rPr>
              <w:t>AI governance lead; AI compliance officer / responsible-AI lead; AI model risk validator; AI audit lead; AI risk and controls specialist; financial crime data scientist; controls automation engineer / RegTech product owner; ICT third-party and resilience risk manager; human-in-the-loop supervisor of AI agents; knowledge and AI-literacy lead</w:t>
            </w:r>
          </w:p>
        </w:tc>
      </w:tr>
      <w:tr>
        <w:tc>
          <w:tcPr>
            <w:tcW w:type="dxa" w:w="4680"/>
            <w:vAlign w:val="top"/>
          </w:tcPr>
          <w:p>
            <w:pPr>
              <w:spacing w:after="0"/>
              <w:jc w:val="left"/>
            </w:pPr>
            <w:r>
              <w:rPr>
                <w:rFonts w:ascii="Times New Roman" w:hAnsi="Times New Roman" w:cs="Times New Roman"/>
                <w:b/>
                <w:sz w:val="20"/>
                <w:szCs w:val="24"/>
              </w:rPr>
              <w:t>Human-retained</w:t>
            </w:r>
          </w:p>
        </w:tc>
        <w:tc>
          <w:tcPr>
            <w:tcW w:type="dxa" w:w="4680"/>
            <w:vAlign w:val="top"/>
          </w:tcPr>
          <w:p>
            <w:pPr>
              <w:spacing w:after="0"/>
              <w:jc w:val="left"/>
            </w:pPr>
            <w:r>
              <w:rPr>
                <w:rFonts w:ascii="Times New Roman" w:hAnsi="Times New Roman" w:cs="Times New Roman"/>
                <w:sz w:val="20"/>
                <w:szCs w:val="24"/>
              </w:rPr>
              <w:t>Interpreting regulatory intent; challenging risk decisions; agreeing remediation; assurance to boards and regulators; final accountability under SM&amp;CR and DORA; ethical and conduct judgements</w:t>
            </w:r>
          </w:p>
        </w:tc>
      </w:tr>
    </w:tbl>
    <w:p>
      <w:pPr>
        <w:jc w:val="left"/>
        <w:rPr>
          <w:rFonts w:ascii="Times New Roman" w:hAnsi="Times New Roman" w:cs="Times New Roman"/>
          <w:sz w:val="24"/>
          <w:szCs w:val="24"/>
        </w:rPr>
      </w:pPr>
      <w:r>
        <w:rPr>
          <w:rFonts w:ascii="Times New Roman" w:hAnsi="Times New Roman" w:cs="Times New Roman"/>
          <w:b/>
          <w:sz w:val="24"/>
          <w:szCs w:val="24"/>
        </w:rPr>
        <w:t>5.6 Preliminary Workforce Transformation Framework</w:t>
      </w:r>
    </w:p>
    <w:tbl>
      <w:tblPr>
        <w:tblStyle w:val="TableGrid"/>
        <w:tblW w:type="dxa" w:w="9360"/>
        <w:tblLook w:firstColumn="1" w:firstRow="1" w:lastColumn="0" w:lastRow="0" w:noHBand="0" w:noVBand="1" w:val="04A0"/>
        <w:tblLayout w:type="autofit"/>
      </w:tblPr>
      <w:tblGrid>
        <w:gridCol w:w="2340"/>
        <w:gridCol w:w="2340"/>
        <w:gridCol w:w="2340"/>
        <w:gridCol w:w="2340"/>
      </w:tblGrid>
      <w:tr>
        <w:tc>
          <w:tcPr>
            <w:tcW w:type="dxa" w:w="2340"/>
            <w:vAlign w:val="top"/>
            <w:shd w:fill="D9D9D9" w:val="clear"/>
          </w:tcPr>
          <w:p>
            <w:pPr>
              <w:spacing w:after="0"/>
              <w:jc w:val="left"/>
            </w:pPr>
            <w:r>
              <w:rPr>
                <w:rFonts w:ascii="Times New Roman" w:hAnsi="Times New Roman" w:cs="Times New Roman"/>
                <w:b/>
                <w:sz w:val="20"/>
                <w:szCs w:val="24"/>
              </w:rPr>
              <w:t>Stage</w:t>
            </w:r>
          </w:p>
        </w:tc>
        <w:tc>
          <w:tcPr>
            <w:tcW w:type="dxa" w:w="2340"/>
            <w:vAlign w:val="top"/>
            <w:shd w:fill="D9D9D9" w:val="clear"/>
          </w:tcPr>
          <w:p>
            <w:pPr>
              <w:spacing w:after="0"/>
              <w:jc w:val="left"/>
            </w:pPr>
            <w:r>
              <w:rPr>
                <w:rFonts w:ascii="Times New Roman" w:hAnsi="Times New Roman" w:cs="Times New Roman"/>
                <w:b/>
                <w:sz w:val="20"/>
                <w:szCs w:val="24"/>
              </w:rPr>
              <w:t>Management decision</w:t>
            </w:r>
          </w:p>
        </w:tc>
        <w:tc>
          <w:tcPr>
            <w:tcW w:type="dxa" w:w="2340"/>
            <w:vAlign w:val="top"/>
            <w:shd w:fill="D9D9D9" w:val="clear"/>
          </w:tcPr>
          <w:p>
            <w:pPr>
              <w:spacing w:after="0"/>
              <w:jc w:val="left"/>
            </w:pPr>
            <w:r>
              <w:rPr>
                <w:rFonts w:ascii="Times New Roman" w:hAnsi="Times New Roman" w:cs="Times New Roman"/>
                <w:b/>
                <w:sz w:val="20"/>
                <w:szCs w:val="24"/>
              </w:rPr>
              <w:t>Key actions</w:t>
            </w:r>
          </w:p>
        </w:tc>
        <w:tc>
          <w:tcPr>
            <w:tcW w:type="dxa" w:w="2340"/>
            <w:vAlign w:val="top"/>
            <w:shd w:fill="D9D9D9" w:val="clear"/>
          </w:tcPr>
          <w:p>
            <w:pPr>
              <w:spacing w:after="0"/>
              <w:jc w:val="left"/>
            </w:pPr>
            <w:r>
              <w:rPr>
                <w:rFonts w:ascii="Times New Roman" w:hAnsi="Times New Roman" w:cs="Times New Roman"/>
                <w:b/>
                <w:sz w:val="20"/>
                <w:szCs w:val="24"/>
              </w:rPr>
              <w:t>Grounding</w:t>
            </w:r>
          </w:p>
        </w:tc>
      </w:tr>
      <w:tr>
        <w:tc>
          <w:tcPr>
            <w:tcW w:type="dxa" w:w="2340"/>
            <w:vAlign w:val="top"/>
          </w:tcPr>
          <w:p>
            <w:pPr>
              <w:spacing w:after="0"/>
              <w:jc w:val="left"/>
            </w:pPr>
            <w:r>
              <w:rPr>
                <w:rFonts w:ascii="Times New Roman" w:hAnsi="Times New Roman" w:cs="Times New Roman"/>
                <w:sz w:val="20"/>
                <w:szCs w:val="24"/>
              </w:rPr>
              <w:t>1. Diagnose</w:t>
            </w:r>
          </w:p>
        </w:tc>
        <w:tc>
          <w:tcPr>
            <w:tcW w:type="dxa" w:w="2340"/>
            <w:vAlign w:val="top"/>
          </w:tcPr>
          <w:p>
            <w:pPr>
              <w:spacing w:after="0"/>
              <w:jc w:val="left"/>
            </w:pPr>
            <w:r>
              <w:rPr>
                <w:rFonts w:ascii="Times New Roman" w:hAnsi="Times New Roman" w:cs="Times New Roman"/>
                <w:sz w:val="20"/>
                <w:szCs w:val="24"/>
              </w:rPr>
              <w:t>Which activities are exposed and which people hold critical knowledge?</w:t>
            </w:r>
          </w:p>
        </w:tc>
        <w:tc>
          <w:tcPr>
            <w:tcW w:type="dxa" w:w="2340"/>
            <w:vAlign w:val="top"/>
          </w:tcPr>
          <w:p>
            <w:pPr>
              <w:spacing w:after="0"/>
              <w:jc w:val="left"/>
            </w:pPr>
            <w:r>
              <w:rPr>
                <w:rFonts w:ascii="Times New Roman" w:hAnsi="Times New Roman" w:cs="Times New Roman"/>
                <w:sz w:val="20"/>
                <w:szCs w:val="24"/>
              </w:rPr>
              <w:t>Activity-level mapping (automated / augmented / retained); AI inventory; identify knowledge-critical roles</w:t>
            </w:r>
          </w:p>
        </w:tc>
        <w:tc>
          <w:tcPr>
            <w:tcW w:type="dxa" w:w="2340"/>
            <w:vAlign w:val="top"/>
          </w:tcPr>
          <w:p>
            <w:pPr>
              <w:spacing w:after="0"/>
              <w:jc w:val="left"/>
            </w:pPr>
            <w:r>
              <w:rPr>
                <w:rFonts w:ascii="Times New Roman" w:hAnsi="Times New Roman" w:cs="Times New Roman"/>
                <w:sz w:val="20"/>
                <w:szCs w:val="24"/>
              </w:rPr>
              <w:t>P1, T2, T8</w:t>
            </w:r>
          </w:p>
        </w:tc>
      </w:tr>
      <w:tr>
        <w:tc>
          <w:tcPr>
            <w:tcW w:type="dxa" w:w="2340"/>
            <w:vAlign w:val="top"/>
          </w:tcPr>
          <w:p>
            <w:pPr>
              <w:spacing w:after="0"/>
              <w:jc w:val="left"/>
            </w:pPr>
            <w:r>
              <w:rPr>
                <w:rFonts w:ascii="Times New Roman" w:hAnsi="Times New Roman" w:cs="Times New Roman"/>
                <w:sz w:val="20"/>
                <w:szCs w:val="24"/>
              </w:rPr>
              <w:t>2. Protect knowledge</w:t>
            </w:r>
          </w:p>
        </w:tc>
        <w:tc>
          <w:tcPr>
            <w:tcW w:type="dxa" w:w="2340"/>
            <w:vAlign w:val="top"/>
          </w:tcPr>
          <w:p>
            <w:pPr>
              <w:spacing w:after="0"/>
              <w:jc w:val="left"/>
            </w:pPr>
            <w:r>
              <w:rPr>
                <w:rFonts w:ascii="Times New Roman" w:hAnsi="Times New Roman" w:cs="Times New Roman"/>
                <w:sz w:val="20"/>
                <w:szCs w:val="24"/>
              </w:rPr>
              <w:t>How is tacit expertise preserved before change?</w:t>
            </w:r>
          </w:p>
        </w:tc>
        <w:tc>
          <w:tcPr>
            <w:tcW w:type="dxa" w:w="2340"/>
            <w:vAlign w:val="top"/>
          </w:tcPr>
          <w:p>
            <w:pPr>
              <w:spacing w:after="0"/>
              <w:jc w:val="left"/>
            </w:pPr>
            <w:r>
              <w:rPr>
                <w:rFonts w:ascii="Times New Roman" w:hAnsi="Times New Roman" w:cs="Times New Roman"/>
                <w:sz w:val="20"/>
                <w:szCs w:val="24"/>
              </w:rPr>
              <w:t>Knowledge capture, procedure codification, mentoring; no material reductions until capture is complete</w:t>
            </w:r>
          </w:p>
        </w:tc>
        <w:tc>
          <w:tcPr>
            <w:tcW w:type="dxa" w:w="2340"/>
            <w:vAlign w:val="top"/>
          </w:tcPr>
          <w:p>
            <w:pPr>
              <w:spacing w:after="0"/>
              <w:jc w:val="left"/>
            </w:pPr>
            <w:r>
              <w:rPr>
                <w:rFonts w:ascii="Times New Roman" w:hAnsi="Times New Roman" w:cs="Times New Roman"/>
                <w:sz w:val="20"/>
                <w:szCs w:val="24"/>
              </w:rPr>
              <w:t>P4, T8</w:t>
            </w:r>
          </w:p>
        </w:tc>
      </w:tr>
      <w:tr>
        <w:tc>
          <w:tcPr>
            <w:tcW w:type="dxa" w:w="2340"/>
            <w:vAlign w:val="top"/>
          </w:tcPr>
          <w:p>
            <w:pPr>
              <w:spacing w:after="0"/>
              <w:jc w:val="left"/>
            </w:pPr>
            <w:r>
              <w:rPr>
                <w:rFonts w:ascii="Times New Roman" w:hAnsi="Times New Roman" w:cs="Times New Roman"/>
                <w:sz w:val="20"/>
                <w:szCs w:val="24"/>
              </w:rPr>
              <w:t>3. Redesign roles</w:t>
            </w:r>
          </w:p>
        </w:tc>
        <w:tc>
          <w:tcPr>
            <w:tcW w:type="dxa" w:w="2340"/>
            <w:vAlign w:val="top"/>
          </w:tcPr>
          <w:p>
            <w:pPr>
              <w:spacing w:after="0"/>
              <w:jc w:val="left"/>
            </w:pPr>
            <w:r>
              <w:rPr>
                <w:rFonts w:ascii="Times New Roman" w:hAnsi="Times New Roman" w:cs="Times New Roman"/>
                <w:sz w:val="20"/>
                <w:szCs w:val="24"/>
              </w:rPr>
              <w:t>Which roles are redesigned, reduced or created?</w:t>
            </w:r>
          </w:p>
        </w:tc>
        <w:tc>
          <w:tcPr>
            <w:tcW w:type="dxa" w:w="2340"/>
            <w:vAlign w:val="top"/>
          </w:tcPr>
          <w:p>
            <w:pPr>
              <w:spacing w:after="0"/>
              <w:jc w:val="left"/>
            </w:pPr>
            <w:r>
              <w:rPr>
                <w:rFonts w:ascii="Times New Roman" w:hAnsi="Times New Roman" w:cs="Times New Roman"/>
                <w:sz w:val="20"/>
                <w:szCs w:val="24"/>
              </w:rPr>
              <w:t>Rewrite job descriptions toward review, challenge and system ownership; create AI governance, validation and assurance roles; protect developmental entry roles</w:t>
            </w:r>
          </w:p>
        </w:tc>
        <w:tc>
          <w:tcPr>
            <w:tcW w:type="dxa" w:w="2340"/>
            <w:vAlign w:val="top"/>
          </w:tcPr>
          <w:p>
            <w:pPr>
              <w:spacing w:after="0"/>
              <w:jc w:val="left"/>
            </w:pPr>
            <w:r>
              <w:rPr>
                <w:rFonts w:ascii="Times New Roman" w:hAnsi="Times New Roman" w:cs="Times New Roman"/>
                <w:sz w:val="20"/>
                <w:szCs w:val="24"/>
              </w:rPr>
              <w:t>5.3.3, 5.5</w:t>
            </w:r>
          </w:p>
        </w:tc>
      </w:tr>
      <w:tr>
        <w:tc>
          <w:tcPr>
            <w:tcW w:type="dxa" w:w="2340"/>
            <w:vAlign w:val="top"/>
          </w:tcPr>
          <w:p>
            <w:pPr>
              <w:spacing w:after="0"/>
              <w:jc w:val="left"/>
            </w:pPr>
            <w:r>
              <w:rPr>
                <w:rFonts w:ascii="Times New Roman" w:hAnsi="Times New Roman" w:cs="Times New Roman"/>
                <w:sz w:val="20"/>
                <w:szCs w:val="24"/>
              </w:rPr>
              <w:t>4. Build oversight competence</w:t>
            </w:r>
          </w:p>
        </w:tc>
        <w:tc>
          <w:tcPr>
            <w:tcW w:type="dxa" w:w="2340"/>
            <w:vAlign w:val="top"/>
          </w:tcPr>
          <w:p>
            <w:pPr>
              <w:spacing w:after="0"/>
              <w:jc w:val="left"/>
            </w:pPr>
            <w:r>
              <w:rPr>
                <w:rFonts w:ascii="Times New Roman" w:hAnsi="Times New Roman" w:cs="Times New Roman"/>
                <w:sz w:val="20"/>
                <w:szCs w:val="24"/>
              </w:rPr>
              <w:t>Can accountable people meaningfully challenge AI?</w:t>
            </w:r>
          </w:p>
        </w:tc>
        <w:tc>
          <w:tcPr>
            <w:tcW w:type="dxa" w:w="2340"/>
            <w:vAlign w:val="top"/>
          </w:tcPr>
          <w:p>
            <w:pPr>
              <w:spacing w:after="0"/>
              <w:jc w:val="left"/>
            </w:pPr>
            <w:r>
              <w:rPr>
                <w:rFonts w:ascii="Times New Roman" w:hAnsi="Times New Roman" w:cs="Times New Roman"/>
                <w:sz w:val="20"/>
                <w:szCs w:val="24"/>
              </w:rPr>
              <w:t>Tiered AI literacy (staff, overseers, model owners, board); competence matrix linked to DORA, AI Act, SS1/23, SM&amp;CR; evidence of training</w:t>
            </w:r>
          </w:p>
        </w:tc>
        <w:tc>
          <w:tcPr>
            <w:tcW w:type="dxa" w:w="2340"/>
            <w:vAlign w:val="top"/>
          </w:tcPr>
          <w:p>
            <w:pPr>
              <w:spacing w:after="0"/>
              <w:jc w:val="left"/>
            </w:pPr>
            <w:r>
              <w:rPr>
                <w:rFonts w:ascii="Times New Roman" w:hAnsi="Times New Roman" w:cs="Times New Roman"/>
                <w:sz w:val="20"/>
                <w:szCs w:val="24"/>
              </w:rPr>
              <w:t>P2, T5, 5.3.2</w:t>
            </w:r>
          </w:p>
        </w:tc>
      </w:tr>
      <w:tr>
        <w:tc>
          <w:tcPr>
            <w:tcW w:type="dxa" w:w="2340"/>
            <w:vAlign w:val="top"/>
          </w:tcPr>
          <w:p>
            <w:pPr>
              <w:spacing w:after="0"/>
              <w:jc w:val="left"/>
            </w:pPr>
            <w:r>
              <w:rPr>
                <w:rFonts w:ascii="Times New Roman" w:hAnsi="Times New Roman" w:cs="Times New Roman"/>
                <w:sz w:val="20"/>
                <w:szCs w:val="24"/>
              </w:rPr>
              <w:t>5. Reskill and source</w:t>
            </w:r>
          </w:p>
        </w:tc>
        <w:tc>
          <w:tcPr>
            <w:tcW w:type="dxa" w:w="2340"/>
            <w:vAlign w:val="top"/>
          </w:tcPr>
          <w:p>
            <w:pPr>
              <w:spacing w:after="0"/>
              <w:jc w:val="left"/>
            </w:pPr>
            <w:r>
              <w:rPr>
                <w:rFonts w:ascii="Times New Roman" w:hAnsi="Times New Roman" w:cs="Times New Roman"/>
                <w:sz w:val="20"/>
                <w:szCs w:val="24"/>
              </w:rPr>
              <w:t>Build, buy or borrow?</w:t>
            </w:r>
          </w:p>
        </w:tc>
        <w:tc>
          <w:tcPr>
            <w:tcW w:type="dxa" w:w="2340"/>
            <w:vAlign w:val="top"/>
          </w:tcPr>
          <w:p>
            <w:pPr>
              <w:spacing w:after="0"/>
              <w:jc w:val="left"/>
            </w:pPr>
            <w:r>
              <w:rPr>
                <w:rFonts w:ascii="Times New Roman" w:hAnsi="Times New Roman" w:cs="Times New Roman"/>
                <w:sz w:val="20"/>
                <w:szCs w:val="24"/>
              </w:rPr>
              <w:t>Build hybrid skills through regulation-by-domain modules and embedded prompts; buy scarce AI-risk specialists; borrow vendor capacity under DORA third-party controls</w:t>
            </w:r>
          </w:p>
        </w:tc>
        <w:tc>
          <w:tcPr>
            <w:tcW w:type="dxa" w:w="2340"/>
            <w:vAlign w:val="top"/>
          </w:tcPr>
          <w:p>
            <w:pPr>
              <w:spacing w:after="0"/>
              <w:jc w:val="left"/>
            </w:pPr>
            <w:r>
              <w:rPr>
                <w:rFonts w:ascii="Times New Roman" w:hAnsi="Times New Roman" w:cs="Times New Roman"/>
                <w:sz w:val="20"/>
                <w:szCs w:val="24"/>
              </w:rPr>
              <w:t>P3, T7, T9</w:t>
            </w:r>
          </w:p>
        </w:tc>
      </w:tr>
      <w:tr>
        <w:tc>
          <w:tcPr>
            <w:tcW w:type="dxa" w:w="2340"/>
            <w:vAlign w:val="top"/>
          </w:tcPr>
          <w:p>
            <w:pPr>
              <w:spacing w:after="0"/>
              <w:jc w:val="left"/>
            </w:pPr>
            <w:r>
              <w:rPr>
                <w:rFonts w:ascii="Times New Roman" w:hAnsi="Times New Roman" w:cs="Times New Roman"/>
                <w:sz w:val="20"/>
                <w:szCs w:val="24"/>
              </w:rPr>
              <w:t>6. Secure trust and adoption</w:t>
            </w:r>
          </w:p>
        </w:tc>
        <w:tc>
          <w:tcPr>
            <w:tcW w:type="dxa" w:w="2340"/>
            <w:vAlign w:val="top"/>
          </w:tcPr>
          <w:p>
            <w:pPr>
              <w:spacing w:after="0"/>
              <w:jc w:val="left"/>
            </w:pPr>
            <w:r>
              <w:rPr>
                <w:rFonts w:ascii="Times New Roman" w:hAnsi="Times New Roman" w:cs="Times New Roman"/>
                <w:sz w:val="20"/>
                <w:szCs w:val="24"/>
              </w:rPr>
              <w:t>Will staff rely on AI appropriately?</w:t>
            </w:r>
          </w:p>
        </w:tc>
        <w:tc>
          <w:tcPr>
            <w:tcW w:type="dxa" w:w="2340"/>
            <w:vAlign w:val="top"/>
          </w:tcPr>
          <w:p>
            <w:pPr>
              <w:spacing w:after="0"/>
              <w:jc w:val="left"/>
            </w:pPr>
            <w:r>
              <w:rPr>
                <w:rFonts w:ascii="Times New Roman" w:hAnsi="Times New Roman" w:cs="Times New Roman"/>
                <w:sz w:val="20"/>
                <w:szCs w:val="24"/>
              </w:rPr>
              <w:t>Explainability at point of use; clear override routes; demonstrate usefulness in daily work</w:t>
            </w:r>
          </w:p>
        </w:tc>
        <w:tc>
          <w:tcPr>
            <w:tcW w:type="dxa" w:w="2340"/>
            <w:vAlign w:val="top"/>
          </w:tcPr>
          <w:p>
            <w:pPr>
              <w:spacing w:after="0"/>
              <w:jc w:val="left"/>
            </w:pPr>
            <w:r>
              <w:rPr>
                <w:rFonts w:ascii="Times New Roman" w:hAnsi="Times New Roman" w:cs="Times New Roman"/>
                <w:sz w:val="20"/>
                <w:szCs w:val="24"/>
              </w:rPr>
              <w:t>H1, H4, T10</w:t>
            </w:r>
          </w:p>
        </w:tc>
      </w:tr>
      <w:tr>
        <w:tc>
          <w:tcPr>
            <w:tcW w:type="dxa" w:w="2340"/>
            <w:vAlign w:val="top"/>
          </w:tcPr>
          <w:p>
            <w:pPr>
              <w:spacing w:after="0"/>
              <w:jc w:val="left"/>
            </w:pPr>
            <w:r>
              <w:rPr>
                <w:rFonts w:ascii="Times New Roman" w:hAnsi="Times New Roman" w:cs="Times New Roman"/>
                <w:sz w:val="20"/>
                <w:szCs w:val="24"/>
              </w:rPr>
              <w:t>7. Lead change and retain talent</w:t>
            </w:r>
          </w:p>
        </w:tc>
        <w:tc>
          <w:tcPr>
            <w:tcW w:type="dxa" w:w="2340"/>
            <w:vAlign w:val="top"/>
          </w:tcPr>
          <w:p>
            <w:pPr>
              <w:spacing w:after="0"/>
              <w:jc w:val="left"/>
            </w:pPr>
            <w:r>
              <w:rPr>
                <w:rFonts w:ascii="Times New Roman" w:hAnsi="Times New Roman" w:cs="Times New Roman"/>
                <w:sz w:val="20"/>
                <w:szCs w:val="24"/>
              </w:rPr>
              <w:t>How are engagement and commitment sustained?</w:t>
            </w:r>
          </w:p>
        </w:tc>
        <w:tc>
          <w:tcPr>
            <w:tcW w:type="dxa" w:w="2340"/>
            <w:vAlign w:val="top"/>
          </w:tcPr>
          <w:p>
            <w:pPr>
              <w:spacing w:after="0"/>
              <w:jc w:val="left"/>
            </w:pPr>
            <w:r>
              <w:rPr>
                <w:rFonts w:ascii="Times New Roman" w:hAnsi="Times New Roman" w:cs="Times New Roman"/>
                <w:sz w:val="20"/>
                <w:szCs w:val="24"/>
              </w:rPr>
              <w:t>Transparent communication on role impact; career pathways from processing to investigation, QA and data roles; targeted support for junior staff</w:t>
            </w:r>
          </w:p>
        </w:tc>
        <w:tc>
          <w:tcPr>
            <w:tcW w:type="dxa" w:w="2340"/>
            <w:vAlign w:val="top"/>
          </w:tcPr>
          <w:p>
            <w:pPr>
              <w:spacing w:after="0"/>
              <w:jc w:val="left"/>
            </w:pPr>
            <w:r>
              <w:rPr>
                <w:rFonts w:ascii="Times New Roman" w:hAnsi="Times New Roman" w:cs="Times New Roman"/>
                <w:sz w:val="20"/>
                <w:szCs w:val="24"/>
              </w:rPr>
              <w:t>H3, T10, Construct G</w:t>
            </w:r>
          </w:p>
        </w:tc>
      </w:tr>
    </w:tbl>
    <w:p>
      <w:pPr>
        <w:jc w:val="both"/>
        <w:rPr>
          <w:rFonts w:ascii="Times New Roman" w:hAnsi="Times New Roman" w:cs="Times New Roman"/>
          <w:sz w:val="24"/>
          <w:szCs w:val="24"/>
        </w:rPr>
      </w:pPr>
      <w:r>
        <w:rPr>
          <w:rFonts w:ascii="Times New Roman" w:hAnsi="Times New Roman" w:cs="Times New Roman"/>
          <w:b/>
          <w:sz w:val="24"/>
          <w:szCs w:val="24"/>
        </w:rPr>
        <w:t>Cross-cutting enablers:</w:t>
      </w:r>
      <w:r>
        <w:rPr>
          <w:rFonts w:ascii="Times New Roman" w:hAnsi="Times New Roman" w:cs="Times New Roman"/>
          <w:sz w:val="24"/>
          <w:szCs w:val="24"/>
        </w:rPr>
        <w:t xml:space="preserve"> data quality and lineage; clear accountability mapping; continuous monitoring of AI performance and workforce indicators.</w:t>
      </w:r>
    </w:p>
    <w:p>
      <w:pPr>
        <w:jc w:val="left"/>
        <w:rPr>
          <w:rFonts w:ascii="Times New Roman" w:hAnsi="Times New Roman" w:cs="Times New Roman"/>
          <w:sz w:val="24"/>
          <w:szCs w:val="24"/>
        </w:rPr>
      </w:pPr>
      <w:r>
        <w:rPr>
          <w:rFonts w:ascii="Times New Roman" w:hAnsi="Times New Roman" w:cs="Times New Roman"/>
          <w:b/>
          <w:sz w:val="24"/>
          <w:szCs w:val="24"/>
        </w:rPr>
        <w:t>5.7 Summary of Findings Against Objectives</w:t>
      </w:r>
    </w:p>
    <w:tbl>
      <w:tblPr>
        <w:tblStyle w:val="TableGrid"/>
        <w:tblW w:type="dxa" w:w="9360"/>
        <w:tblLook w:firstColumn="1" w:firstRow="1" w:lastColumn="0" w:lastRow="0" w:noHBand="0" w:noVBand="1" w:val="04A0"/>
        <w:tblLayout w:type="autofit"/>
      </w:tblPr>
      <w:tblGrid>
        <w:gridCol w:w="4680"/>
        <w:gridCol w:w="4680"/>
      </w:tblGrid>
      <w:tr>
        <w:tc>
          <w:tcPr>
            <w:tcW w:type="dxa" w:w="4680"/>
            <w:vAlign w:val="top"/>
            <w:shd w:fill="D9D9D9" w:val="clear"/>
          </w:tcPr>
          <w:p>
            <w:pPr>
              <w:spacing w:after="0"/>
              <w:jc w:val="left"/>
            </w:pPr>
            <w:r>
              <w:rPr>
                <w:rFonts w:ascii="Times New Roman" w:hAnsi="Times New Roman" w:cs="Times New Roman"/>
                <w:b/>
                <w:sz w:val="20"/>
                <w:szCs w:val="24"/>
              </w:rPr>
              <w:t>Objective</w:t>
            </w:r>
          </w:p>
        </w:tc>
        <w:tc>
          <w:tcPr>
            <w:tcW w:type="dxa" w:w="4680"/>
            <w:vAlign w:val="top"/>
            <w:shd w:fill="D9D9D9" w:val="clear"/>
          </w:tcPr>
          <w:p>
            <w:pPr>
              <w:spacing w:after="0"/>
              <w:jc w:val="left"/>
            </w:pPr>
            <w:r>
              <w:rPr>
                <w:rFonts w:ascii="Times New Roman" w:hAnsi="Times New Roman" w:cs="Times New Roman"/>
                <w:b/>
                <w:sz w:val="20"/>
                <w:szCs w:val="24"/>
              </w:rPr>
              <w:t>Key finding</w:t>
            </w:r>
          </w:p>
        </w:tc>
      </w:tr>
      <w:tr>
        <w:tc>
          <w:tcPr>
            <w:tcW w:type="dxa" w:w="4680"/>
            <w:vAlign w:val="top"/>
          </w:tcPr>
          <w:p>
            <w:pPr>
              <w:spacing w:after="0"/>
              <w:jc w:val="left"/>
            </w:pPr>
            <w:r>
              <w:rPr>
                <w:rFonts w:ascii="Times New Roman" w:hAnsi="Times New Roman" w:cs="Times New Roman"/>
                <w:sz w:val="20"/>
                <w:szCs w:val="24"/>
              </w:rPr>
              <w:t>(i)</w:t>
            </w:r>
          </w:p>
        </w:tc>
        <w:tc>
          <w:tcPr>
            <w:tcW w:type="dxa" w:w="4680"/>
            <w:vAlign w:val="top"/>
          </w:tcPr>
          <w:p>
            <w:pPr>
              <w:spacing w:after="0"/>
              <w:jc w:val="left"/>
            </w:pPr>
            <w:r>
              <w:rPr>
                <w:rFonts w:ascii="Times New Roman" w:hAnsi="Times New Roman" w:cs="Times New Roman"/>
                <w:sz w:val="20"/>
                <w:szCs w:val="24"/>
              </w:rPr>
              <w:t>Automation of routine, rules-based GRC work is established; AI is largely augmentative and maturing; execution and testing roles contract first, while review, investigation and AI governance roles grow.</w:t>
            </w:r>
          </w:p>
        </w:tc>
      </w:tr>
      <w:tr>
        <w:tc>
          <w:tcPr>
            <w:tcW w:type="dxa" w:w="4680"/>
            <w:vAlign w:val="top"/>
          </w:tcPr>
          <w:p>
            <w:pPr>
              <w:spacing w:after="0"/>
              <w:jc w:val="left"/>
            </w:pPr>
            <w:r>
              <w:rPr>
                <w:rFonts w:ascii="Times New Roman" w:hAnsi="Times New Roman" w:cs="Times New Roman"/>
                <w:sz w:val="20"/>
                <w:szCs w:val="24"/>
              </w:rPr>
              <w:t>(ii)</w:t>
            </w:r>
          </w:p>
        </w:tc>
        <w:tc>
          <w:tcPr>
            <w:tcW w:type="dxa" w:w="4680"/>
            <w:vAlign w:val="top"/>
          </w:tcPr>
          <w:p>
            <w:pPr>
              <w:spacing w:after="0"/>
              <w:jc w:val="left"/>
            </w:pPr>
            <w:r>
              <w:rPr>
                <w:rFonts w:ascii="Times New Roman" w:hAnsi="Times New Roman" w:cs="Times New Roman"/>
                <w:sz w:val="20"/>
                <w:szCs w:val="24"/>
              </w:rPr>
              <w:t>DORA, the EU AI Act, SS1/23 and SM&amp;CR convert competence and human oversight into obligations, but these have not yet been fully translated into role-level practice; senior-level understanding of AI is the critical weak point.</w:t>
            </w:r>
          </w:p>
        </w:tc>
      </w:tr>
      <w:tr>
        <w:tc>
          <w:tcPr>
            <w:tcW w:type="dxa" w:w="4680"/>
            <w:vAlign w:val="top"/>
          </w:tcPr>
          <w:p>
            <w:pPr>
              <w:spacing w:after="0"/>
              <w:jc w:val="left"/>
            </w:pPr>
            <w:r>
              <w:rPr>
                <w:rFonts w:ascii="Times New Roman" w:hAnsi="Times New Roman" w:cs="Times New Roman"/>
                <w:sz w:val="20"/>
                <w:szCs w:val="24"/>
              </w:rPr>
              <w:t>(iii)</w:t>
            </w:r>
          </w:p>
        </w:tc>
        <w:tc>
          <w:tcPr>
            <w:tcW w:type="dxa" w:w="4680"/>
            <w:vAlign w:val="top"/>
          </w:tcPr>
          <w:p>
            <w:pPr>
              <w:spacing w:after="0"/>
              <w:jc w:val="left"/>
            </w:pPr>
            <w:r>
              <w:rPr>
                <w:rFonts w:ascii="Times New Roman" w:hAnsi="Times New Roman" w:cs="Times New Roman"/>
                <w:sz w:val="20"/>
                <w:szCs w:val="24"/>
              </w:rPr>
              <w:t>A hybrid technical-plus-domain profile is required; gaps are largest in AI risk, analytics and risk quantification; training lags demand; institutional knowledge loss is a major hidden risk.</w:t>
            </w:r>
          </w:p>
        </w:tc>
      </w:tr>
      <w:tr>
        <w:tc>
          <w:tcPr>
            <w:tcW w:type="dxa" w:w="4680"/>
            <w:vAlign w:val="top"/>
          </w:tcPr>
          <w:p>
            <w:pPr>
              <w:spacing w:after="0"/>
              <w:jc w:val="left"/>
            </w:pPr>
            <w:r>
              <w:rPr>
                <w:rFonts w:ascii="Times New Roman" w:hAnsi="Times New Roman" w:cs="Times New Roman"/>
                <w:sz w:val="20"/>
                <w:szCs w:val="24"/>
              </w:rPr>
              <w:t>(iv)</w:t>
            </w:r>
          </w:p>
        </w:tc>
        <w:tc>
          <w:tcPr>
            <w:tcW w:type="dxa" w:w="4680"/>
            <w:vAlign w:val="top"/>
          </w:tcPr>
          <w:p>
            <w:pPr>
              <w:spacing w:after="0"/>
              <w:jc w:val="left"/>
            </w:pPr>
            <w:r>
              <w:rPr>
                <w:rFonts w:ascii="Times New Roman" w:hAnsi="Times New Roman" w:cs="Times New Roman"/>
                <w:sz w:val="20"/>
                <w:szCs w:val="24"/>
              </w:rPr>
              <w:t>Ease of use drives adoption, but trust is conditional on transparency and the ability to validate; change is accepted as inevitable, while anxiety concentrates among junior staff and change management is weak.</w:t>
            </w:r>
          </w:p>
        </w:tc>
      </w:tr>
      <w:tr>
        <w:tc>
          <w:tcPr>
            <w:tcW w:type="dxa" w:w="4680"/>
            <w:vAlign w:val="top"/>
          </w:tcPr>
          <w:p>
            <w:pPr>
              <w:spacing w:after="0"/>
              <w:jc w:val="left"/>
            </w:pPr>
            <w:r>
              <w:rPr>
                <w:rFonts w:ascii="Times New Roman" w:hAnsi="Times New Roman" w:cs="Times New Roman"/>
                <w:sz w:val="20"/>
                <w:szCs w:val="24"/>
              </w:rPr>
              <w:t>(v)</w:t>
            </w:r>
          </w:p>
        </w:tc>
        <w:tc>
          <w:tcPr>
            <w:tcW w:type="dxa" w:w="4680"/>
            <w:vAlign w:val="top"/>
          </w:tcPr>
          <w:p>
            <w:pPr>
              <w:spacing w:after="0"/>
              <w:jc w:val="left"/>
            </w:pPr>
            <w:r>
              <w:rPr>
                <w:rFonts w:ascii="Times New Roman" w:hAnsi="Times New Roman" w:cs="Times New Roman"/>
                <w:sz w:val="20"/>
                <w:szCs w:val="24"/>
              </w:rPr>
              <w:t>A seven-stage, sequenced workforce transformation framework is proposed, with knowledge protection preceding restructuring.</w:t>
            </w:r>
          </w:p>
        </w:tc>
      </w:tr>
    </w:tbl>
    <w:p w:rsidR="00FB30CE" w:rsidRPr="009C676B" w:rsidRDefault="00853F2A" w:rsidP="009C676B">
      <w:pPr>
        <w:rPr>
          <w:rFonts w:ascii="Times New Roman" w:hAnsi="Times New Roman" w:cs="Times New Roman"/>
          <w:sz w:val="24"/>
          <w:szCs w:val="24"/>
        </w:rPr>
      </w:pPr>
      <w:r w:rsidRPr="009C676B">
        <w:rPr>
          <w:rFonts w:ascii="Times New Roman" w:hAnsi="Times New Roman" w:cs="Times New Roman"/>
          <w:b/>
          <w:sz w:val="24"/>
          <w:szCs w:val="24"/>
        </w:rPr>
        <w:t xml:space="preserve"> </w:t>
      </w:r>
      <w:r w:rsidR="009C676B" w:rsidRPr="009C676B">
        <w:rPr>
          <w:rFonts w:ascii="Times New Roman" w:hAnsi="Times New Roman" w:cs="Times New Roman"/>
          <w:b/>
          <w:sz w:val="24"/>
          <w:szCs w:val="24"/>
        </w:rPr>
        <w:t>6 WORK TO BE DONE</w:t>
      </w:r>
      <w:r w:rsidR="009C676B">
        <w:rPr>
          <w:rFonts w:ascii="Times New Roman" w:hAnsi="Times New Roman" w:cs="Times New Roman"/>
          <w:sz w:val="24"/>
          <w:szCs w:val="24"/>
        </w:rPr>
        <w:t xml:space="preserve"> (</w:t>
      </w:r>
      <w:r w:rsidR="009C676B" w:rsidRPr="009C676B">
        <w:rPr>
          <w:rFonts w:ascii="Times New Roman" w:hAnsi="Times New Roman" w:cs="Times New Roman"/>
          <w:sz w:val="24"/>
          <w:szCs w:val="24"/>
        </w:rPr>
        <w:t xml:space="preserve">Further work </w:t>
      </w:r>
      <w:r w:rsidR="009C676B">
        <w:rPr>
          <w:rFonts w:ascii="Times New Roman" w:hAnsi="Times New Roman" w:cs="Times New Roman"/>
          <w:sz w:val="24"/>
          <w:szCs w:val="24"/>
        </w:rPr>
        <w:t>to be completed is to be listed)</w:t>
      </w:r>
    </w:p>
    <w:p w:rsidR="00FB30CE" w:rsidRDefault="00FB30CE">
      <w:pPr>
        <w:rPr>
          <w:rFonts w:ascii="Times New Roman" w:hAnsi="Times New Roman" w:cs="Times New Roman"/>
          <w:sz w:val="24"/>
          <w:szCs w:val="24"/>
        </w:rPr>
      </w:pP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Continue primary data collection with additional respondents from first-line compliance, financial crime operations and HR business partners, to strengthen Objectives (iii) and (iv) and balance the current technology-leaning perspective.</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Run Cronbach's alpha for constructs A, B, C, D and G and the Wilcoxon signed-rank tests for H1-H4 on the final data file.</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Compare constructs between practitioner and managerial respondents, and between UK and EU respondents, as planned in the first review.</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Complete the content analysis of annual, Pillar 3 and operational-resilience disclosures of the selected large UK and EU banks, reported in anonymised form.</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Validate the GRC role-impact map and the workforce transformation framework with selected senior respondents.</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Draft recommendations for GRC and HR leadership and finalise the full project report in the prescribed format by 26 October 2026.</w:t>
      </w:r>
    </w:p>
    <w:p>
      <w:pPr>
        <w:numPr>
          <w:ilvl w:val="0"/>
          <w:numId w:val="4"/>
        </w:numPr>
        <w:jc w:val="left"/>
        <w:rPr>
          <w:rFonts w:ascii="Times New Roman" w:hAnsi="Times New Roman" w:cs="Times New Roman"/>
          <w:sz w:val="24"/>
          <w:szCs w:val="24"/>
        </w:rPr>
      </w:pPr>
      <w:r>
        <w:rPr>
          <w:rFonts w:ascii="Times New Roman" w:hAnsi="Times New Roman" w:cs="Times New Roman"/>
          <w:sz w:val="24"/>
          <w:szCs w:val="24"/>
        </w:rPr>
        <w:t>Prepare the viva voce presentation for November 2026.</w:t>
      </w:r>
    </w:p>
    <w:p w:rsidR="00853F2A" w:rsidRDefault="009C676B" w:rsidP="00853F2A">
      <w:pPr>
        <w:rPr>
          <w:rFonts w:ascii="Times New Roman" w:hAnsi="Times New Roman" w:cs="Times New Roman"/>
          <w:sz w:val="24"/>
          <w:szCs w:val="24"/>
        </w:rPr>
      </w:pPr>
      <w:r>
        <w:rPr>
          <w:rFonts w:ascii="Times New Roman" w:hAnsi="Times New Roman" w:cs="Times New Roman"/>
          <w:b/>
          <w:sz w:val="24"/>
          <w:szCs w:val="24"/>
        </w:rPr>
        <w:t xml:space="preserve">7 </w:t>
      </w:r>
      <w:r w:rsidR="00853F2A" w:rsidRPr="003D7D70">
        <w:rPr>
          <w:rFonts w:ascii="Times New Roman" w:hAnsi="Times New Roman" w:cs="Times New Roman"/>
          <w:b/>
          <w:sz w:val="24"/>
          <w:szCs w:val="24"/>
        </w:rPr>
        <w:t>REFERENCES</w:t>
      </w:r>
      <w:r w:rsidR="00853F2A" w:rsidRPr="00853F2A">
        <w:rPr>
          <w:rFonts w:ascii="Times New Roman" w:hAnsi="Times New Roman" w:cs="Times New Roman"/>
          <w:sz w:val="24"/>
          <w:szCs w:val="24"/>
        </w:rPr>
        <w:t xml:space="preserve"> </w:t>
      </w:r>
      <w:r w:rsidR="00FB30CE">
        <w:rPr>
          <w:rFonts w:ascii="Times New Roman" w:hAnsi="Times New Roman" w:cs="Times New Roman"/>
          <w:sz w:val="24"/>
          <w:szCs w:val="24"/>
        </w:rPr>
        <w:t>(</w:t>
      </w:r>
      <w:r w:rsidR="00853F2A" w:rsidRPr="00853F2A">
        <w:rPr>
          <w:rFonts w:ascii="Times New Roman" w:hAnsi="Times New Roman" w:cs="Times New Roman"/>
          <w:sz w:val="24"/>
          <w:szCs w:val="24"/>
        </w:rPr>
        <w:t xml:space="preserve">The list of journal papers reviewed must be documented as per the format </w:t>
      </w:r>
      <w:r w:rsidR="00FB30CE">
        <w:rPr>
          <w:rFonts w:ascii="Times New Roman" w:hAnsi="Times New Roman" w:cs="Times New Roman"/>
          <w:sz w:val="24"/>
          <w:szCs w:val="24"/>
        </w:rPr>
        <w:t>sent in the guidelines earlier).</w:t>
      </w:r>
    </w:p>
    <w:p w:rsidR="00853F2A" w:rsidRDefault="00853F2A" w:rsidP="00853F2A">
      <w:pPr>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b/>
          <w:sz w:val="24"/>
          <w:szCs w:val="24"/>
        </w:rPr>
        <w:t>Journal papers reviewed</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Arner, D. W., Barberis, J., &amp; Buckley, R. P. (2017). FinTech, RegTech, and the reconceptualization of financial regulation. </w:t>
      </w:r>
      <w:r>
        <w:rPr>
          <w:rFonts w:ascii="Times New Roman" w:hAnsi="Times New Roman" w:cs="Times New Roman"/>
          <w:i/>
          <w:sz w:val="24"/>
          <w:szCs w:val="24"/>
        </w:rPr>
        <w:t>Northwestern Journal of International Law &amp; Business, 37</w:t>
      </w:r>
      <w:r>
        <w:rPr>
          <w:rFonts w:ascii="Times New Roman" w:hAnsi="Times New Roman" w:cs="Times New Roman"/>
          <w:sz w:val="24"/>
          <w:szCs w:val="24"/>
        </w:rPr>
        <w:t>(3), 371-413.</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Autor, D. H. (2015). Why are there still so many jobs? The history and future of workplace automation. </w:t>
      </w:r>
      <w:r>
        <w:rPr>
          <w:rFonts w:ascii="Times New Roman" w:hAnsi="Times New Roman" w:cs="Times New Roman"/>
          <w:i/>
          <w:sz w:val="24"/>
          <w:szCs w:val="24"/>
        </w:rPr>
        <w:t>Journal of Economic Perspectives, 29</w:t>
      </w:r>
      <w:r>
        <w:rPr>
          <w:rFonts w:ascii="Times New Roman" w:hAnsi="Times New Roman" w:cs="Times New Roman"/>
          <w:sz w:val="24"/>
          <w:szCs w:val="24"/>
        </w:rPr>
        <w:t>(3), 3-30.</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Brougham, D., &amp; Haar, J. (2018). Smart technology, artificial intelligence, robotics, and algorithms (STARA): Employees' perceptions of our future workplace. </w:t>
      </w:r>
      <w:r>
        <w:rPr>
          <w:rFonts w:ascii="Times New Roman" w:hAnsi="Times New Roman" w:cs="Times New Roman"/>
          <w:i/>
          <w:sz w:val="24"/>
          <w:szCs w:val="24"/>
        </w:rPr>
        <w:t>Journal of Management &amp; Organization, 24</w:t>
      </w:r>
      <w:r>
        <w:rPr>
          <w:rFonts w:ascii="Times New Roman" w:hAnsi="Times New Roman" w:cs="Times New Roman"/>
          <w:sz w:val="24"/>
          <w:szCs w:val="24"/>
        </w:rPr>
        <w:t>(2), 239-257.</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Buckley, R. P., Arner, D. W., Zetzsche, D. A., &amp; Weber, R. H. (2020). The road to RegTech: The (astonishing) example of the European Union. </w:t>
      </w:r>
      <w:r>
        <w:rPr>
          <w:rFonts w:ascii="Times New Roman" w:hAnsi="Times New Roman" w:cs="Times New Roman"/>
          <w:i/>
          <w:sz w:val="24"/>
          <w:szCs w:val="24"/>
        </w:rPr>
        <w:t>Journal of Banking Regulation, 21</w:t>
      </w:r>
      <w:r>
        <w:rPr>
          <w:rFonts w:ascii="Times New Roman" w:hAnsi="Times New Roman" w:cs="Times New Roman"/>
          <w:sz w:val="24"/>
          <w:szCs w:val="24"/>
        </w:rPr>
        <w:t>(1), 26-36.</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Cascio, W. F., &amp; Montealegre, R. (2016). How technology is changing work and organizations. </w:t>
      </w:r>
      <w:r>
        <w:rPr>
          <w:rFonts w:ascii="Times New Roman" w:hAnsi="Times New Roman" w:cs="Times New Roman"/>
          <w:i/>
          <w:sz w:val="24"/>
          <w:szCs w:val="24"/>
        </w:rPr>
        <w:t>Annual Review of Organizational Psychology and Organizational Behavior, 3</w:t>
      </w:r>
      <w:r>
        <w:rPr>
          <w:rFonts w:ascii="Times New Roman" w:hAnsi="Times New Roman" w:cs="Times New Roman"/>
          <w:sz w:val="24"/>
          <w:szCs w:val="24"/>
        </w:rPr>
        <w:t>(1), 349-375.</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Davis, F. D. (1989). Perceived usefulness, perceived ease of use, and user acceptance of information technology. </w:t>
      </w:r>
      <w:r>
        <w:rPr>
          <w:rFonts w:ascii="Times New Roman" w:hAnsi="Times New Roman" w:cs="Times New Roman"/>
          <w:i/>
          <w:sz w:val="24"/>
          <w:szCs w:val="24"/>
        </w:rPr>
        <w:t>MIS Quarterly, 13</w:t>
      </w:r>
      <w:r>
        <w:rPr>
          <w:rFonts w:ascii="Times New Roman" w:hAnsi="Times New Roman" w:cs="Times New Roman"/>
          <w:sz w:val="24"/>
          <w:szCs w:val="24"/>
        </w:rPr>
        <w:t>(3), 319-340.</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Frey, C. B., &amp; Osborne, M. A. (2017). The future of employment: How susceptible are jobs to computerisation? </w:t>
      </w:r>
      <w:r>
        <w:rPr>
          <w:rFonts w:ascii="Times New Roman" w:hAnsi="Times New Roman" w:cs="Times New Roman"/>
          <w:i/>
          <w:sz w:val="24"/>
          <w:szCs w:val="24"/>
        </w:rPr>
        <w:t>Technological Forecasting and Social Change, 114</w:t>
      </w:r>
      <w:r>
        <w:rPr>
          <w:rFonts w:ascii="Times New Roman" w:hAnsi="Times New Roman" w:cs="Times New Roman"/>
          <w:sz w:val="24"/>
          <w:szCs w:val="24"/>
        </w:rPr>
        <w:t>, 254-280.</w:t>
      </w:r>
    </w:p>
    <w:p>
      <w:pPr>
        <w:numPr>
          <w:ilvl w:val="0"/>
          <w:numId w:val="5"/>
        </w:numPr>
        <w:jc w:val="left"/>
        <w:rPr>
          <w:rFonts w:ascii="Times New Roman" w:hAnsi="Times New Roman" w:cs="Times New Roman"/>
          <w:sz w:val="24"/>
          <w:szCs w:val="24"/>
        </w:rPr>
      </w:pPr>
      <w:r>
        <w:rPr>
          <w:rFonts w:ascii="Times New Roman" w:hAnsi="Times New Roman" w:cs="Times New Roman"/>
          <w:sz w:val="24"/>
          <w:szCs w:val="24"/>
        </w:rPr>
        <w:t xml:space="preserve">Glikson, E., &amp; Woolley, A. W. (2020). Human trust in artificial intelligence: Review of empirical research. </w:t>
      </w:r>
      <w:r>
        <w:rPr>
          <w:rFonts w:ascii="Times New Roman" w:hAnsi="Times New Roman" w:cs="Times New Roman"/>
          <w:i/>
          <w:sz w:val="24"/>
          <w:szCs w:val="24"/>
        </w:rPr>
        <w:t>Academy of Management Annals, 14</w:t>
      </w:r>
      <w:r>
        <w:rPr>
          <w:rFonts w:ascii="Times New Roman" w:hAnsi="Times New Roman" w:cs="Times New Roman"/>
          <w:sz w:val="24"/>
          <w:szCs w:val="24"/>
        </w:rPr>
        <w:t>(2), 627-660.</w:t>
      </w:r>
    </w:p>
    <w:p>
      <w:pPr>
        <w:jc w:val="both"/>
        <w:rPr>
          <w:rFonts w:ascii="Times New Roman" w:hAnsi="Times New Roman" w:cs="Times New Roman"/>
          <w:sz w:val="24"/>
          <w:szCs w:val="24"/>
        </w:rPr>
      </w:pPr>
      <w:r>
        <w:rPr>
          <w:rFonts w:ascii="Times New Roman" w:hAnsi="Times New Roman" w:cs="Times New Roman"/>
          <w:b/>
          <w:sz w:val="24"/>
          <w:szCs w:val="24"/>
        </w:rPr>
        <w:t>Regulatory, supervisory and industry sources</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Bank of England &amp; Financial Conduct Authority. (2024). </w:t>
      </w:r>
      <w:r>
        <w:rPr>
          <w:rFonts w:ascii="Times New Roman" w:hAnsi="Times New Roman" w:cs="Times New Roman"/>
          <w:i/>
          <w:sz w:val="24"/>
          <w:szCs w:val="24"/>
        </w:rPr>
        <w:t>Artificial intelligence in UK financial services - 2024</w:t>
      </w:r>
      <w:r>
        <w:rPr>
          <w:rFonts w:ascii="Times New Roman" w:hAnsi="Times New Roman" w:cs="Times New Roman"/>
          <w:sz w:val="24"/>
          <w:szCs w:val="24"/>
        </w:rPr>
        <w:t>. London: Bank of England.</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Prudential Regulation Authority. (2023). </w:t>
      </w:r>
      <w:r>
        <w:rPr>
          <w:rFonts w:ascii="Times New Roman" w:hAnsi="Times New Roman" w:cs="Times New Roman"/>
          <w:i/>
          <w:sz w:val="24"/>
          <w:szCs w:val="24"/>
        </w:rPr>
        <w:t>Supervisory Statement SS1/23: Model risk management principles for banks</w:t>
      </w:r>
      <w:r>
        <w:rPr>
          <w:rFonts w:ascii="Times New Roman" w:hAnsi="Times New Roman" w:cs="Times New Roman"/>
          <w:sz w:val="24"/>
          <w:szCs w:val="24"/>
        </w:rPr>
        <w:t>. London: Bank of England.</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Financial Conduct Authority. (2024). </w:t>
      </w:r>
      <w:r>
        <w:rPr>
          <w:rFonts w:ascii="Times New Roman" w:hAnsi="Times New Roman" w:cs="Times New Roman"/>
          <w:i/>
          <w:sz w:val="24"/>
          <w:szCs w:val="24"/>
        </w:rPr>
        <w:t>AI Update</w:t>
      </w:r>
      <w:r>
        <w:rPr>
          <w:rFonts w:ascii="Times New Roman" w:hAnsi="Times New Roman" w:cs="Times New Roman"/>
          <w:sz w:val="24"/>
          <w:szCs w:val="24"/>
        </w:rPr>
        <w:t>. London: FCA.</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European Union. (2022). Regulation (EU) 2022/2554 on digital operational resilience for the financial sector (DORA). </w:t>
      </w:r>
      <w:r>
        <w:rPr>
          <w:rFonts w:ascii="Times New Roman" w:hAnsi="Times New Roman" w:cs="Times New Roman"/>
          <w:i/>
          <w:sz w:val="24"/>
          <w:szCs w:val="24"/>
        </w:rPr>
        <w:t>Official Journal of the European Union</w:t>
      </w:r>
      <w:r>
        <w:rPr>
          <w:rFonts w:ascii="Times New Roman" w:hAnsi="Times New Roman" w:cs="Times New Roman"/>
          <w:sz w:val="24"/>
          <w:szCs w:val="24"/>
        </w:rPr>
        <w:t>, L 333.</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European Union. (2024). Regulation (EU) 2024/1689 laying down harmonised rules on artificial intelligence (Artificial Intelligence Act). </w:t>
      </w:r>
      <w:r>
        <w:rPr>
          <w:rFonts w:ascii="Times New Roman" w:hAnsi="Times New Roman" w:cs="Times New Roman"/>
          <w:i/>
          <w:sz w:val="24"/>
          <w:szCs w:val="24"/>
        </w:rPr>
        <w:t>Official Journal of the European Union</w:t>
      </w:r>
      <w:r>
        <w:rPr>
          <w:rFonts w:ascii="Times New Roman" w:hAnsi="Times New Roman" w:cs="Times New Roman"/>
          <w:sz w:val="24"/>
          <w:szCs w:val="24"/>
        </w:rPr>
        <w:t>.</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European Union. (2026). Regulation (EU) 2026/1744 amending Regulation (EU) 2024/1689 (Digital Omnibus on AI). </w:t>
      </w:r>
      <w:r>
        <w:rPr>
          <w:rFonts w:ascii="Times New Roman" w:hAnsi="Times New Roman" w:cs="Times New Roman"/>
          <w:i/>
          <w:sz w:val="24"/>
          <w:szCs w:val="24"/>
        </w:rPr>
        <w:t>Official Journal of the European Union</w:t>
      </w:r>
      <w:r>
        <w:rPr>
          <w:rFonts w:ascii="Times New Roman" w:hAnsi="Times New Roman" w:cs="Times New Roman"/>
          <w:sz w:val="24"/>
          <w:szCs w:val="24"/>
        </w:rPr>
        <w:t>.</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European Union. (2024). Regulation (EU) 2024/1624 on the prevention of the use of the financial system for money laundering or terrorist financing; Regulation (EU) 2024/1620 establishing the Anti-Money Laundering Authority.</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European Central Bank. (2025). </w:t>
      </w:r>
      <w:r>
        <w:rPr>
          <w:rFonts w:ascii="Times New Roman" w:hAnsi="Times New Roman" w:cs="Times New Roman"/>
          <w:i/>
          <w:sz w:val="24"/>
          <w:szCs w:val="24"/>
        </w:rPr>
        <w:t>ECB Banking Supervision: Supervisory priorities 2026-28</w:t>
      </w:r>
      <w:r>
        <w:rPr>
          <w:rFonts w:ascii="Times New Roman" w:hAnsi="Times New Roman" w:cs="Times New Roman"/>
          <w:sz w:val="24"/>
          <w:szCs w:val="24"/>
        </w:rPr>
        <w:t>. Frankfurt: ECB.</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Thomson Reuters. (2025). </w:t>
      </w:r>
      <w:r>
        <w:rPr>
          <w:rFonts w:ascii="Times New Roman" w:hAnsi="Times New Roman" w:cs="Times New Roman"/>
          <w:i/>
          <w:sz w:val="24"/>
          <w:szCs w:val="24"/>
        </w:rPr>
        <w:t>Future of Professionals Report 2025</w:t>
      </w:r>
      <w:r>
        <w:rPr>
          <w:rFonts w:ascii="Times New Roman" w:hAnsi="Times New Roman" w:cs="Times New Roman"/>
          <w:sz w:val="24"/>
          <w:szCs w:val="24"/>
        </w:rPr>
        <w:t>. Thomson Reuters Institute.</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Internal Audit Foundation &amp; The Institute of Internal Auditors. (2024). </w:t>
      </w:r>
      <w:r>
        <w:rPr>
          <w:rFonts w:ascii="Times New Roman" w:hAnsi="Times New Roman" w:cs="Times New Roman"/>
          <w:i/>
          <w:sz w:val="24"/>
          <w:szCs w:val="24"/>
        </w:rPr>
        <w:t>Internal Audit: Vision 2035 - Creating Our Future Together</w:t>
      </w:r>
      <w:r>
        <w:rPr>
          <w:rFonts w:ascii="Times New Roman" w:hAnsi="Times New Roman" w:cs="Times New Roman"/>
          <w:sz w:val="24"/>
          <w:szCs w:val="24"/>
        </w:rPr>
        <w:t>.</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Global Skill Development Council. (2026). </w:t>
      </w:r>
      <w:r>
        <w:rPr>
          <w:rFonts w:ascii="Times New Roman" w:hAnsi="Times New Roman" w:cs="Times New Roman"/>
          <w:i/>
          <w:sz w:val="24"/>
          <w:szCs w:val="24"/>
        </w:rPr>
        <w:t>AI Risk &amp; Compliance Jobs Report 2026</w:t>
      </w:r>
      <w:r>
        <w:rPr>
          <w:rFonts w:ascii="Times New Roman" w:hAnsi="Times New Roman" w:cs="Times New Roman"/>
          <w:sz w:val="24"/>
          <w:szCs w:val="24"/>
        </w:rPr>
        <w:t>.</w:t>
      </w:r>
    </w:p>
    <w:p>
      <w:pPr>
        <w:numPr>
          <w:ilvl w:val="0"/>
          <w:numId w:val="6"/>
        </w:numPr>
        <w:jc w:val="left"/>
        <w:rPr>
          <w:rFonts w:ascii="Times New Roman" w:hAnsi="Times New Roman" w:cs="Times New Roman"/>
          <w:sz w:val="24"/>
          <w:szCs w:val="24"/>
        </w:rPr>
      </w:pPr>
      <w:r>
        <w:rPr>
          <w:rFonts w:ascii="Times New Roman" w:hAnsi="Times New Roman" w:cs="Times New Roman"/>
          <w:sz w:val="24"/>
          <w:szCs w:val="24"/>
        </w:rPr>
        <w:t xml:space="preserve">IBM. (2026). </w:t>
      </w:r>
      <w:r>
        <w:rPr>
          <w:rFonts w:ascii="Times New Roman" w:hAnsi="Times New Roman" w:cs="Times New Roman"/>
          <w:i/>
          <w:sz w:val="24"/>
          <w:szCs w:val="24"/>
        </w:rPr>
        <w:t>Agentic AI is rewriting KYC and AML in banking</w:t>
      </w:r>
      <w:r>
        <w:rPr>
          <w:rFonts w:ascii="Times New Roman" w:hAnsi="Times New Roman" w:cs="Times New Roman"/>
          <w:sz w:val="24"/>
          <w:szCs w:val="24"/>
        </w:rPr>
        <w:t>. IBM Think.</w:t>
      </w:r>
    </w:p>
    <w:p w:rsidR="00853F2A" w:rsidRDefault="00853F2A" w:rsidP="00853F2A">
      <w:pPr>
        <w:rPr>
          <w:rFonts w:ascii="Times New Roman" w:hAnsi="Times New Roman" w:cs="Times New Roman"/>
          <w:sz w:val="24"/>
          <w:szCs w:val="24"/>
        </w:rPr>
      </w:pPr>
    </w:p>
    <w:p w:rsidR="00853F2A" w:rsidRPr="00853F2A" w:rsidRDefault="00853F2A" w:rsidP="00853F2A">
      <w:pPr>
        <w:rPr>
          <w:rFonts w:ascii="Times New Roman" w:hAnsi="Times New Roman" w:cs="Times New Roman"/>
          <w:sz w:val="24"/>
          <w:szCs w:val="24"/>
        </w:rPr>
      </w:pPr>
    </w:p>
    <w:p w:rsidR="00943399" w:rsidRPr="00D80F26" w:rsidRDefault="002638E4" w:rsidP="00853F2A">
      <w:pPr>
        <w:rPr>
          <w:rFonts w:ascii="Times New Roman" w:hAnsi="Times New Roman" w:cs="Times New Roman"/>
          <w:b/>
          <w:sz w:val="24"/>
          <w:szCs w:val="24"/>
        </w:rPr>
      </w:pPr>
      <w:r w:rsidRPr="00D80F26">
        <w:rPr>
          <w:rFonts w:ascii="Times New Roman" w:hAnsi="Times New Roman" w:cs="Times New Roman"/>
          <w:b/>
          <w:sz w:val="24"/>
          <w:szCs w:val="24"/>
        </w:rPr>
        <w:t xml:space="preserve">(Signature of Student) </w:t>
      </w:r>
      <w:r w:rsidRPr="00D80F26">
        <w:rPr>
          <w:rFonts w:ascii="Times New Roman" w:hAnsi="Times New Roman" w:cs="Times New Roman"/>
          <w:b/>
          <w:sz w:val="24"/>
          <w:szCs w:val="24"/>
        </w:rPr>
        <w:tab/>
      </w:r>
      <w:r w:rsidRPr="00D80F26">
        <w:rPr>
          <w:rFonts w:ascii="Times New Roman" w:hAnsi="Times New Roman" w:cs="Times New Roman"/>
          <w:b/>
          <w:sz w:val="24"/>
          <w:szCs w:val="24"/>
        </w:rPr>
        <w:tab/>
      </w:r>
      <w:r w:rsidRPr="00D80F26">
        <w:rPr>
          <w:rFonts w:ascii="Times New Roman" w:hAnsi="Times New Roman" w:cs="Times New Roman"/>
          <w:b/>
          <w:sz w:val="24"/>
          <w:szCs w:val="24"/>
        </w:rPr>
        <w:tab/>
      </w:r>
      <w:r w:rsidRPr="00D80F26">
        <w:rPr>
          <w:rFonts w:ascii="Times New Roman" w:hAnsi="Times New Roman" w:cs="Times New Roman"/>
          <w:b/>
          <w:sz w:val="24"/>
          <w:szCs w:val="24"/>
        </w:rPr>
        <w:tab/>
        <w:t xml:space="preserve">(Signature of </w:t>
      </w:r>
      <w:r w:rsidRPr="00D80F26">
        <w:rPr>
          <w:rFonts w:ascii="Times New Roman" w:eastAsia="Times New Roman" w:hAnsi="Times New Roman" w:cs="Times New Roman"/>
          <w:b/>
          <w:bCs/>
          <w:color w:val="000000" w:themeColor="text1"/>
          <w:sz w:val="24"/>
          <w:szCs w:val="24"/>
        </w:rPr>
        <w:t>Project Supervisor / Guide</w:t>
      </w:r>
      <w:r w:rsidRPr="00D80F26">
        <w:rPr>
          <w:rFonts w:ascii="Times New Roman" w:hAnsi="Times New Roman" w:cs="Times New Roman"/>
          <w:b/>
          <w:sz w:val="24"/>
          <w:szCs w:val="24"/>
        </w:rPr>
        <w:t>)</w:t>
      </w:r>
    </w:p>
    <w:sectPr w:rsidR="00943399" w:rsidRPr="00D80F26" w:rsidSect="008100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E663D"/>
    <w:multiLevelType w:val="hybridMultilevel"/>
    <w:tmpl w:val="6B308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lvlOverride w:ilvl="0">
      <w:startOverride w:val="9"/>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53F2A"/>
    <w:rsid w:val="000054B9"/>
    <w:rsid w:val="00154ED6"/>
    <w:rsid w:val="002638E4"/>
    <w:rsid w:val="002A7AF1"/>
    <w:rsid w:val="003D7D70"/>
    <w:rsid w:val="00613F12"/>
    <w:rsid w:val="006D3D44"/>
    <w:rsid w:val="006D76F5"/>
    <w:rsid w:val="00810082"/>
    <w:rsid w:val="00853F2A"/>
    <w:rsid w:val="00886652"/>
    <w:rsid w:val="00943399"/>
    <w:rsid w:val="009A4C56"/>
    <w:rsid w:val="009C676B"/>
    <w:rsid w:val="00AB0B3C"/>
    <w:rsid w:val="00B3455A"/>
    <w:rsid w:val="00CD027B"/>
    <w:rsid w:val="00D30870"/>
    <w:rsid w:val="00D80F26"/>
    <w:rsid w:val="00F63B7D"/>
    <w:rsid w:val="00FB30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0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53F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53F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2023-09-25T10:46:00Z</dcterms:created>
  <dcterms:modified xsi:type="dcterms:W3CDTF">2024-02-09T09:33:00Z</dcterms:modified>
</cp:coreProperties>
</file>