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87d0ae78e27604b8fddda94afa40d7cc159625"/>
    <w:p>
      <w:pPr>
        <w:pStyle w:val="Heading1"/>
      </w:pPr>
      <w:r>
        <w:t xml:space="preserve">DeepFeat, Inc. — Change Management Compensating Control Policy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Active policy. Documents the compensating control satisfying</w:t>
      </w:r>
      <w:r>
        <w:t xml:space="preserve"> </w:t>
      </w:r>
      <w:r>
        <w:t xml:space="preserve">SOC 2</w:t>
      </w:r>
      <w:r>
        <w:t xml:space="preserve"> </w:t>
      </w:r>
      <w:r>
        <w:rPr>
          <w:rStyle w:val="VerbatimChar"/>
        </w:rPr>
        <w:t xml:space="preserve">CC8.1</w:t>
      </w:r>
      <w:r>
        <w:t xml:space="preserve"> </w:t>
      </w:r>
      <w:r>
        <w:t xml:space="preserve">(Change Management) and</w:t>
      </w:r>
      <w:r>
        <w:t xml:space="preserve"> </w:t>
      </w:r>
      <w:r>
        <w:rPr>
          <w:rStyle w:val="VerbatimChar"/>
        </w:rPr>
        <w:t xml:space="preserve">CC5.2</w:t>
      </w:r>
      <w:r>
        <w:t xml:space="preserve"> </w:t>
      </w:r>
      <w:r>
        <w:t xml:space="preserve">(General Controls Over</w:t>
      </w:r>
      <w:r>
        <w:t xml:space="preserve"> </w:t>
      </w:r>
      <w:r>
        <w:t xml:space="preserve">Technology) during the period DeepFeat, Inc. operates with a single</w:t>
      </w:r>
      <w:r>
        <w:t xml:space="preserve"> </w:t>
      </w:r>
      <w:r>
        <w:t xml:space="preserve">engineer. Supersedes ad hoc practice as of the effective date below.</w:t>
      </w:r>
    </w:p>
    <w:p>
      <w:pPr>
        <w:pStyle w:val="FirstParagraph"/>
      </w:pPr>
      <w:r>
        <w:rPr>
          <w:bCs/>
          <w:b/>
        </w:rPr>
        <w:t xml:space="preserve">Policy Owner:</w:t>
      </w:r>
      <w:r>
        <w:t xml:space="preserve"> </w:t>
      </w:r>
      <w:r>
        <w:t xml:space="preserve">Chief Technology Officer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2026-08-16</w:t>
      </w:r>
      <w:r>
        <w:t xml:space="preserve"> </w:t>
      </w:r>
      <w:r>
        <w:rPr>
          <w:bCs/>
          <w:b/>
        </w:rPr>
        <w:t xml:space="preserve">Review cadence:</w:t>
      </w:r>
      <w:r>
        <w:t xml:space="preserve"> </w:t>
      </w:r>
      <w:r>
        <w:t xml:space="preserve">Revisit immediately upon hiring a second engineer, or</w:t>
      </w:r>
      <w:r>
        <w:t xml:space="preserve"> </w:t>
      </w:r>
      <w:r>
        <w:t xml:space="preserve">annually, whichever comes first.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SOC 2</w:t>
      </w:r>
      <w:r>
        <w:t xml:space="preserve"> </w:t>
      </w:r>
      <w:r>
        <w:rPr>
          <w:rStyle w:val="VerbatimChar"/>
        </w:rPr>
        <w:t xml:space="preserve">CC8.1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CC5.2</w:t>
      </w:r>
      <w:r>
        <w:t xml:space="preserve"> </w:t>
      </w:r>
      <w:r>
        <w:t xml:space="preserve">expect that changes to production systems are</w:t>
      </w:r>
      <w:r>
        <w:t xml:space="preserve"> </w:t>
      </w:r>
      <w:r>
        <w:t xml:space="preserve">reviewed by someone other than the person who made them before those</w:t>
      </w:r>
      <w:r>
        <w:t xml:space="preserve"> </w:t>
      </w:r>
      <w:r>
        <w:t xml:space="preserve">changes merge. This policy documents why DeepFeat, Inc. cannot satisfy that</w:t>
      </w:r>
      <w:r>
        <w:t xml:space="preserve"> </w:t>
      </w:r>
      <w:r>
        <w:t xml:space="preserve">expectation through unassisted human review alone, and defines the specific</w:t>
      </w:r>
      <w:r>
        <w:t xml:space="preserve"> </w:t>
      </w:r>
      <w:r>
        <w:t xml:space="preserve">compensating control the company uses instead.</w:t>
      </w:r>
    </w:p>
    <w:bookmarkEnd w:id="20"/>
    <w:bookmarkStart w:id="21" w:name="the-constraint"/>
    <w:p>
      <w:pPr>
        <w:pStyle w:val="Heading2"/>
      </w:pPr>
      <w:r>
        <w:t xml:space="preserve">2. The constraint</w:t>
      </w:r>
    </w:p>
    <w:p>
      <w:pPr>
        <w:pStyle w:val="FirstParagraph"/>
      </w:pPr>
      <w:r>
        <w:t xml:space="preserve">DeepFeat, Inc. has one engineer (the CTO). The Chief Executive Officer,</w:t>
      </w:r>
      <w:r>
        <w:t xml:space="preserve"> </w:t>
      </w:r>
      <w:r>
        <w:t xml:space="preserve">Matthew Bockelmann, does not have an engineering background and cannot</w:t>
      </w:r>
      <w:r>
        <w:t xml:space="preserve"> </w:t>
      </w:r>
      <w:r>
        <w:t xml:space="preserve">meaningfully evaluate source code for correctness. Requiring a second</w:t>
      </w:r>
      <w:r>
        <w:t xml:space="preserve"> </w:t>
      </w:r>
      <w:r>
        <w:t xml:space="preserve">engineer’s approval on every pull request is not achievable at this stage</w:t>
      </w:r>
      <w:r>
        <w:t xml:space="preserve"> </w:t>
      </w:r>
      <w:r>
        <w:t xml:space="preserve">without either hiring an additional engineer or creating a bottleneck that</w:t>
      </w:r>
      <w:r>
        <w:t xml:space="preserve"> </w:t>
      </w:r>
      <w:r>
        <w:t xml:space="preserve">would, in practice, get worked around — a worse outcome than a properly</w:t>
      </w:r>
      <w:r>
        <w:t xml:space="preserve"> </w:t>
      </w:r>
      <w:r>
        <w:t xml:space="preserve">documented and monitored compensating control.</w:t>
      </w:r>
    </w:p>
    <w:p>
      <w:pPr>
        <w:pStyle w:val="BodyText"/>
      </w:pPr>
      <w:r>
        <w:t xml:space="preserve">This is a structural limitation of company size, not a gap in intent or</w:t>
      </w:r>
      <w:r>
        <w:t xml:space="preserve"> </w:t>
      </w:r>
      <w:r>
        <w:t xml:space="preserve">process discipline.</w:t>
      </w:r>
    </w:p>
    <w:bookmarkEnd w:id="21"/>
    <w:bookmarkStart w:id="22" w:name="why-this-control-matters"/>
    <w:p>
      <w:pPr>
        <w:pStyle w:val="Heading2"/>
      </w:pPr>
      <w:r>
        <w:t xml:space="preserve">3. Why this control matters</w:t>
      </w:r>
    </w:p>
    <w:p>
      <w:pPr>
        <w:pStyle w:val="FirstParagraph"/>
      </w:pPr>
      <w:r>
        <w:t xml:space="preserve">A SOC 2 Type II audit samples change records across the observation window</w:t>
      </w:r>
      <w:r>
        <w:t xml:space="preserve"> </w:t>
      </w:r>
      <w:r>
        <w:t xml:space="preserve">and checks each one for an approver who was not the change’s author. A</w:t>
      </w:r>
      <w:r>
        <w:t xml:space="preserve"> </w:t>
      </w:r>
      <w:r>
        <w:t xml:space="preserve">single self-merged pull request with no recorded approver, found in that</w:t>
      </w:r>
      <w:r>
        <w:t xml:space="preserve"> </w:t>
      </w:r>
      <w:r>
        <w:t xml:space="preserve">sample, is a real exception against a critical control — regardless of the</w:t>
      </w:r>
      <w:r>
        <w:t xml:space="preserve"> </w:t>
      </w:r>
      <w:r>
        <w:t xml:space="preserve">overall quality or intent of the company’s engineering practice. The</w:t>
      </w:r>
      <w:r>
        <w:t xml:space="preserve"> </w:t>
      </w:r>
      <w:r>
        <w:t xml:space="preserve">control described below exists specifically to close that gap.</w:t>
      </w:r>
    </w:p>
    <w:bookmarkEnd w:id="22"/>
    <w:bookmarkStart w:id="25" w:name="the-compensating-control"/>
    <w:p>
      <w:pPr>
        <w:pStyle w:val="Heading2"/>
      </w:pPr>
      <w:r>
        <w:t xml:space="preserve">4. The compensating control</w:t>
      </w:r>
    </w:p>
    <w:p>
      <w:pPr>
        <w:pStyle w:val="FirstParagraph"/>
      </w:pPr>
      <w:r>
        <w:t xml:space="preserve">DeepFeat, Inc. implements a two-part compensating control, effective</w:t>
      </w:r>
      <w:r>
        <w:t xml:space="preserve"> </w:t>
      </w:r>
      <w:r>
        <w:t xml:space="preserve">2026-08-16:</w:t>
      </w:r>
    </w:p>
    <w:bookmarkStart w:id="23" w:name="automated-review-on-every-pull-request"/>
    <w:p>
      <w:pPr>
        <w:pStyle w:val="Heading3"/>
      </w:pPr>
      <w:r>
        <w:t xml:space="preserve">4.1 Automated review on every pull request</w:t>
      </w:r>
    </w:p>
    <w:p>
      <w:pPr>
        <w:pStyle w:val="FirstParagraph"/>
      </w:pPr>
      <w:r>
        <w:t xml:space="preserve">An AI-based review system (Claude, via the</w:t>
      </w:r>
      <w:r>
        <w:t xml:space="preserve"> </w:t>
      </w:r>
      <w:r>
        <w:rPr>
          <w:rStyle w:val="VerbatimChar"/>
        </w:rPr>
        <w:t xml:space="preserve">DeepFeat/pr-governance</w:t>
      </w:r>
      <w:r>
        <w:t xml:space="preserve"> </w:t>
      </w:r>
      <w:r>
        <w:t xml:space="preserve">shared</w:t>
      </w:r>
      <w:r>
        <w:t xml:space="preserve"> </w:t>
      </w:r>
      <w:r>
        <w:t xml:space="preserve">workflow) reviews every pull request against the target repository’s</w:t>
      </w:r>
      <w:r>
        <w:t xml:space="preserve"> </w:t>
      </w:r>
      <w:r>
        <w:t xml:space="preserve">stated engineering conventions, checking for defects, security issues, and</w:t>
      </w:r>
      <w:r>
        <w:t xml:space="preserve"> </w:t>
      </w:r>
      <w:r>
        <w:t xml:space="preserve">missing test coverage. The system submits a</w:t>
      </w:r>
      <w:r>
        <w:t xml:space="preserve"> </w:t>
      </w:r>
      <w:r>
        <w:rPr>
          <w:bCs/>
          <w:b/>
        </w:rPr>
        <w:t xml:space="preserve">formal GitHub pull request</w:t>
      </w:r>
      <w:r>
        <w:rPr>
          <w:bCs/>
          <w:b/>
        </w:rP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— an approval or a request for changes — not merely a comment.</w:t>
      </w:r>
    </w:p>
    <w:p>
      <w:pPr>
        <w:pStyle w:val="BodyText"/>
      </w:pPr>
      <w:r>
        <w:t xml:space="preserve">This is a deliberate and disclosed design choice: an automated system is</w:t>
      </w:r>
      <w:r>
        <w:t xml:space="preserve"> </w:t>
      </w:r>
      <w:r>
        <w:t xml:space="preserve">the entity satisfying the</w:t>
      </w:r>
      <w:r>
        <w:t xml:space="preserve"> </w:t>
      </w:r>
      <w:r>
        <w:t xml:space="preserve">“</w:t>
      </w:r>
      <w:r>
        <w:t xml:space="preserve">approving review</w:t>
      </w:r>
      <w:r>
        <w:t xml:space="preserve">”</w:t>
      </w:r>
      <w:r>
        <w:t xml:space="preserve"> </w:t>
      </w:r>
      <w:r>
        <w:t xml:space="preserve">requirement on most pull</w:t>
      </w:r>
      <w:r>
        <w:t xml:space="preserve"> </w:t>
      </w:r>
      <w:r>
        <w:t xml:space="preserve">requests. It closes the</w:t>
      </w:r>
      <w:r>
        <w:t xml:space="preserve"> </w:t>
      </w:r>
      <w:r>
        <w:rPr>
          <w:iCs/>
          <w:i/>
        </w:rPr>
        <w:t xml:space="preserve">sampling</w:t>
      </w:r>
      <w:r>
        <w:t xml:space="preserve"> </w:t>
      </w:r>
      <w:r>
        <w:t xml:space="preserve">risk described in Section 3 — every</w:t>
      </w:r>
      <w:r>
        <w:t xml:space="preserve"> </w:t>
      </w:r>
      <w:r>
        <w:t xml:space="preserve">change has a recorded, non-author approver — but it does not substitute</w:t>
      </w:r>
      <w:r>
        <w:t xml:space="preserve"> </w:t>
      </w:r>
      <w:r>
        <w:t xml:space="preserve">for human judgment about business risk. That is the purpose of Section 4.2.</w:t>
      </w:r>
    </w:p>
    <w:p>
      <w:pPr>
        <w:pStyle w:val="BodyText"/>
      </w:pPr>
      <w:r>
        <w:t xml:space="preserve">This control is enforced technically, not only by convention: an</w:t>
      </w:r>
      <w:r>
        <w:t xml:space="preserve"> </w:t>
      </w:r>
      <w:r>
        <w:t xml:space="preserve">organization-wide GitHub branch protection ruleset requires at least one</w:t>
      </w:r>
      <w:r>
        <w:t xml:space="preserve"> </w:t>
      </w:r>
      <w:r>
        <w:t xml:space="preserve">approving review on every pull request to every DeepFeat, Inc. repository,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no bypass permitted for any user, including administrators</w:t>
      </w:r>
      <w:r>
        <w:t xml:space="preserve">.</w:t>
      </w:r>
    </w:p>
    <w:bookmarkEnd w:id="23"/>
    <w:bookmarkStart w:id="24" w:name="monthly-human-review-of-material-changes"/>
    <w:p>
      <w:pPr>
        <w:pStyle w:val="Heading3"/>
      </w:pPr>
      <w:r>
        <w:t xml:space="preserve">4.2 Monthly human review of material changes</w:t>
      </w:r>
    </w:p>
    <w:p>
      <w:pPr>
        <w:pStyle w:val="FirstParagraph"/>
      </w:pPr>
      <w:r>
        <w:t xml:space="preserve">Pull requests touching authentication, access control, data handling, or</w:t>
      </w:r>
      <w:r>
        <w:t xml:space="preserve"> </w:t>
      </w:r>
      <w:r>
        <w:t xml:space="preserve">infrastructure are automatically labeled</w:t>
      </w:r>
      <w:r>
        <w:t xml:space="preserve"> </w:t>
      </w:r>
      <w:r>
        <w:rPr>
          <w:rStyle w:val="VerbatimChar"/>
        </w:rPr>
        <w:t xml:space="preserve">security-relevant</w:t>
      </w:r>
      <w:r>
        <w:t xml:space="preserve">. Once each</w:t>
      </w:r>
      <w:r>
        <w:t xml:space="preserve"> </w:t>
      </w:r>
      <w:r>
        <w:t xml:space="preserve">month, a summary of all such changes merged in the preceding period is</w:t>
      </w:r>
      <w:r>
        <w:t xml:space="preserve"> </w:t>
      </w:r>
      <w:r>
        <w:t xml:space="preserve">compiled and assigned to the Chief Executive Officer for review.</w:t>
      </w:r>
    </w:p>
    <w:p>
      <w:pPr>
        <w:pStyle w:val="BodyText"/>
      </w:pPr>
      <w:r>
        <w:t xml:space="preserve">This review is conducted at the level of business risk — confirming the</w:t>
      </w:r>
      <w:r>
        <w:t xml:space="preserve"> </w:t>
      </w:r>
      <w:r>
        <w:t xml:space="preserve">CEO understands what changed, why, and that it is consistent with</w:t>
      </w:r>
      <w:r>
        <w:t xml:space="preserve"> </w:t>
      </w:r>
      <w:r>
        <w:t xml:space="preserve">DeepFeat, Inc.’s obligations to its customers — rather than a technical</w:t>
      </w:r>
      <w:r>
        <w:t xml:space="preserve"> </w:t>
      </w:r>
      <w:r>
        <w:t xml:space="preserve">correctness review, which is outside the CEO’s domain of expertise. The</w:t>
      </w:r>
      <w:r>
        <w:t xml:space="preserve"> </w:t>
      </w:r>
      <w:r>
        <w:t xml:space="preserve">CEO records sign-off in writing on each monthly review; that written</w:t>
      </w:r>
      <w:r>
        <w:t xml:space="preserve"> </w:t>
      </w:r>
      <w:r>
        <w:t xml:space="preserve">record is retained as the audit evidence for this control.</w:t>
      </w:r>
    </w:p>
    <w:bookmarkEnd w:id="24"/>
    <w:bookmarkEnd w:id="25"/>
    <w:bookmarkStart w:id="26" w:name="scope"/>
    <w:p>
      <w:pPr>
        <w:pStyle w:val="Heading2"/>
      </w:pPr>
      <w:r>
        <w:t xml:space="preserve">5. Scope</w:t>
      </w:r>
    </w:p>
    <w:p>
      <w:pPr>
        <w:pStyle w:val="FirstParagraph"/>
      </w:pPr>
      <w:r>
        <w:t xml:space="preserve">This policy applies to all repositories owned by the DeepFeat, Inc. GitHub</w:t>
      </w:r>
      <w:r>
        <w:t xml:space="preserve"> </w:t>
      </w:r>
      <w:r>
        <w:t xml:space="preserve">organization.</w:t>
      </w:r>
    </w:p>
    <w:bookmarkEnd w:id="26"/>
    <w:bookmarkStart w:id="27" w:name="historical-exception"/>
    <w:p>
      <w:pPr>
        <w:pStyle w:val="Heading2"/>
      </w:pPr>
      <w:r>
        <w:t xml:space="preserve">6. Historical exception</w:t>
      </w:r>
    </w:p>
    <w:p>
      <w:pPr>
        <w:pStyle w:val="FirstParagraph"/>
      </w:pPr>
      <w:r>
        <w:t xml:space="preserve">Pull requests merged before 2026-08-16 were merged without a second</w:t>
      </w:r>
      <w:r>
        <w:t xml:space="preserve"> </w:t>
      </w:r>
      <w:r>
        <w:t xml:space="preserve">reviewer, by necessity: no compensating control existed prior to this</w:t>
      </w:r>
      <w:r>
        <w:t xml:space="preserve"> </w:t>
      </w:r>
      <w:r>
        <w:t xml:space="preserve">policy’s effective date, and no second technical reviewer was available.</w:t>
      </w:r>
      <w:r>
        <w:t xml:space="preserve"> </w:t>
      </w:r>
      <w:r>
        <w:t xml:space="preserve">This is documented as a dated, bounded exception. All pull requests merged</w:t>
      </w:r>
      <w:r>
        <w:t xml:space="preserve"> </w:t>
      </w:r>
      <w:r>
        <w:t xml:space="preserve">on or after 2026-08-16 are subject to the controls described in Section 4</w:t>
      </w:r>
      <w:r>
        <w:t xml:space="preserve"> </w:t>
      </w:r>
      <w:r>
        <w:t xml:space="preserve">without exception.</w:t>
      </w:r>
    </w:p>
    <w:bookmarkEnd w:id="27"/>
    <w:bookmarkStart w:id="28" w:name="revision-trigger"/>
    <w:p>
      <w:pPr>
        <w:pStyle w:val="Heading2"/>
      </w:pPr>
      <w:r>
        <w:t xml:space="preserve">7. Revision trigger</w:t>
      </w:r>
    </w:p>
    <w:p>
      <w:pPr>
        <w:pStyle w:val="FirstParagraph"/>
      </w:pPr>
      <w:r>
        <w:t xml:space="preserve">Upon DeepFeat, Inc. hiring a second engineer, Section 4.1’s automated</w:t>
      </w:r>
      <w:r>
        <w:t xml:space="preserve"> </w:t>
      </w:r>
      <w:r>
        <w:t xml:space="preserve">approval should be downgraded from an approving reviewer to a required</w:t>
      </w:r>
      <w:r>
        <w:t xml:space="preserve"> </w:t>
      </w:r>
      <w:r>
        <w:t xml:space="preserve">status check, and a genuine second engineer’s review should become the</w:t>
      </w:r>
      <w:r>
        <w:t xml:space="preserve"> </w:t>
      </w:r>
      <w:r>
        <w:t xml:space="preserve">approving reviewer of record. This policy must be revised at that time.</w:t>
      </w:r>
    </w:p>
    <w:p>
      <w:r>
        <w:pict>
          <v:rect style="width:0;height:1.5pt" o:hralign="center" o:hrstd="t" o:hr="t"/>
        </w:pict>
      </w:r>
    </w:p>
    <w:bookmarkEnd w:id="28"/>
    <w:bookmarkStart w:id="29" w:name="cross-references"/>
    <w:p>
      <w:pPr>
        <w:pStyle w:val="Heading2"/>
      </w:pPr>
      <w:r>
        <w:t xml:space="preserve">Cross-references</w:t>
      </w:r>
    </w:p>
    <w:p>
      <w:pPr>
        <w:numPr>
          <w:ilvl w:val="0"/>
          <w:numId w:val="1001"/>
        </w:numPr>
        <w:pStyle w:val="Compact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DeepFeat/pr-governance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review.yml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auto-label.yml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monthly-retro.yml</w:t>
      </w:r>
    </w:p>
    <w:p>
      <w:pPr>
        <w:numPr>
          <w:ilvl w:val="0"/>
          <w:numId w:val="1001"/>
        </w:numPr>
        <w:pStyle w:val="Compact"/>
      </w:pPr>
      <w:r>
        <w:t xml:space="preserve">Organization-wide branch protection: GitHub organization ruleset</w:t>
      </w:r>
      <w:r>
        <w:t xml:space="preserve"> </w:t>
      </w:r>
      <w:r>
        <w:t xml:space="preserve">“</w:t>
      </w:r>
      <w:r>
        <w:t xml:space="preserve">Org-Level SOC 2 Protect Main</w:t>
      </w:r>
      <w:r>
        <w:t xml:space="preserve">”</w:t>
      </w:r>
    </w:p>
    <w:bookmarkEnd w:id="29"/>
    <w:bookmarkEnd w:id="30"/>
    <w:sectPr>
      <w:headerReference r:id="rId9" w:type="default"/>
      <w:footerReference r:id="rId10" w:type="default"/>
      <w:pgMar w:bottom="1440" w:footer="720" w:header="720" w:left="1440" w:right="1440" w:top="18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6"/>
      </w:rPr>
      <w:t>DeepFeat, Inc. — Confidential — Internal Use Only</w:t>
    </w:r>
  </w:p>
  <w:p>
    <w:pPr>
      <w:jc w:val="center"/>
    </w:pPr>
    <w:r>
      <w:rPr>
        <w:color w:val="64748B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03642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epfea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642" cy="32400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</w:pPr>
    <w:r>
      <w:rPr>
        <w:rFonts w:ascii="Calibri" w:hAnsi="Calibri"/>
        <w:b/>
        <w:color w:val="0891B2"/>
        <w:sz w:val="18"/>
      </w:rPr>
      <w:t>DeepFeat, Inc.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color w:val="1E293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80" w:before="0"/>
      <w:jc w:val="center"/>
    </w:pPr>
    <w:rPr>
      <w:rFonts w:ascii="Calibri" w:asciiTheme="majorHAnsi" w:cstheme="majorBidi" w:eastAsiaTheme="majorEastAsia" w:hAnsi="Calibri" w:hAnsiTheme="majorHAnsi"/>
      <w:b/>
      <w:bCs/>
      <w:color w:val="1E293B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440"/>
      <w:outlineLvl w:val="0"/>
    </w:pPr>
    <w:rPr>
      <w:rFonts w:ascii="Calibri" w:asciiTheme="majorHAnsi" w:cstheme="majorBidi" w:eastAsiaTheme="majorEastAsia" w:hAnsi="Calibri" w:hAnsiTheme="majorHAnsi"/>
      <w:b/>
      <w:bCs/>
      <w:color w:val="0891B2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320"/>
      <w:outlineLvl w:val="1"/>
    </w:pPr>
    <w:rPr>
      <w:rFonts w:ascii="Calibri" w:asciiTheme="majorHAnsi" w:cstheme="majorBidi" w:eastAsiaTheme="majorEastAsia" w:hAnsi="Calibri" w:hAnsiTheme="majorHAnsi"/>
      <w:b/>
      <w:bCs/>
      <w:color w:val="1E293B"/>
      <w:sz w:val="27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64748B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200" w:before="100"/>
      <w:ind w:firstLine="0" w:left="432" w:right="480"/>
    </w:pPr>
    <w:rPr>
      <w:rFonts w:ascii="Calibri" w:hAnsi="Calibri"/>
      <w:i/>
      <w:color w:val="64748B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8C4CC" w:space="0" w:sz="4" w:val="single"/>
        <w:left w:color="B8C4CC" w:space="0" w:sz="4" w:val="single"/>
        <w:bottom w:color="B8C4CC" w:space="0" w:sz="4" w:val="single"/>
        <w:right w:color="B8C4CC" w:space="0" w:sz="4" w:val="single"/>
        <w:insideH w:color="B8C4CC" w:space="0" w:sz="4" w:val="single"/>
        <w:insideV w:color="B8C4CC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tblStylePr w:type="firstRow">
      <w:pPr/>
      <w:rPr>
        <w:b/>
        <w:color w:val="FFFFFF"/>
      </w:rPr>
      <w:tcPr>
        <w:shd w:color="auto" w:fill="0891B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891B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2026-08-16T20:41:10Z</dcterms:created>
  <dcterms:modified xsi:type="dcterms:W3CDTF">2026-08-16T20:41:10Z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