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D23C8"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13C99"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0C182"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1CD5185A"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Ag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F609A">
        <w:t xml:space="preserve"> </w:t>
      </w:r>
      <w:r w:rsidR="00070F78">
        <w:t xml:space="preserve">is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using the </w:t>
      </w:r>
      <w:r w:rsidR="008F697F">
        <w:t xml:space="preserve">daily climate and </w:t>
      </w:r>
      <w:r w:rsidR="00070F78">
        <w:t xml:space="preserve">simulated </w:t>
      </w:r>
      <w:r w:rsidR="000E07DD">
        <w:t>ag</w:t>
      </w:r>
      <w:r w:rsidR="008F697F">
        <w:t>ricultural field</w:t>
      </w:r>
      <w:r w:rsidR="00070F78">
        <w:t xml:space="preserve"> conditions.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Ag Package</w:t>
      </w:r>
      <w:r w:rsidR="000C2A19">
        <w:t xml:space="preserve"> </w:t>
      </w:r>
      <w:r w:rsidR="00157256">
        <w:t>solves for</w:t>
      </w:r>
      <w:r w:rsidR="00BA4462">
        <w:t xml:space="preserve"> NIWR</w:t>
      </w:r>
      <w:r w:rsidR="00157256">
        <w:t xml:space="preserve"> by calculating the required irrigation amount that minimizes the difference between potential crop evapotranspiration (ET) and the actual simulated 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proofErr w:type="spellStart"/>
      <w:r w:rsidR="004420F3">
        <w:t>soilzone</w:t>
      </w:r>
      <w:proofErr w:type="spellEnd"/>
      <w:r w:rsidR="004420F3">
        <w:t xml:space="preserve"> module for integrated GSFLOW simulations. Combined with </w:t>
      </w:r>
      <w:r w:rsidR="00986637">
        <w:t xml:space="preserve">MODFLOW and </w:t>
      </w:r>
      <w:r w:rsidR="004420F3">
        <w:t>GSFLOW, the</w:t>
      </w:r>
      <w:r w:rsidR="000A2EA6">
        <w:t xml:space="preserve"> Ag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lastRenderedPageBreak/>
        <w:t>Introduction</w:t>
      </w:r>
      <w:bookmarkEnd w:id="5"/>
    </w:p>
    <w:p w14:paraId="3A01D41A" w14:textId="17D1BC3E"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w:t>
      </w:r>
      <w:r w:rsidR="00A5617C">
        <w:t xml:space="preserve">e the ET deficit throughout </w:t>
      </w:r>
      <w:r w:rsidR="00E90B94">
        <w:t>growing periods</w:t>
      </w:r>
      <w:r w:rsidR="00A5617C">
        <w:t xml:space="preserve">, or it can be estimated by triggering </w:t>
      </w:r>
      <w:r w:rsidR="008F21F5">
        <w:t xml:space="preserve">an irrigation event with set period </w:t>
      </w:r>
      <w:r w:rsidR="003E17F5">
        <w:t xml:space="preserve">length </w:t>
      </w:r>
      <w:r w:rsidR="008F21F5">
        <w:t xml:space="preserve">and </w:t>
      </w:r>
      <w:r w:rsidR="003E17F5">
        <w:t xml:space="preserve">irrigation </w:t>
      </w:r>
      <w:r w:rsidR="008F21F5">
        <w:t>rate</w:t>
      </w:r>
      <w:r w:rsidR="00A5617C">
        <w:t xml:space="preserve">. </w:t>
      </w:r>
      <w:r w:rsidR="00E90B94">
        <w:t>As ET is directly dependent on the soil saturation, minimizing the ET deficit will result in optimal soil saturation for a crop</w:t>
      </w:r>
      <w:r w:rsidR="003E17F5">
        <w:t>, whereas using the ET deficit to trigger an irrigation event can be realistic where irrigation period length and rates are generally known</w:t>
      </w:r>
      <w:r w:rsidR="00E90B94">
        <w:t>.</w:t>
      </w:r>
      <w:r w:rsidR="007B5E0F">
        <w:t xml:space="preserve"> </w:t>
      </w:r>
      <w:r w:rsidR="00E90B94">
        <w:t>A new p</w:t>
      </w:r>
      <w:r w:rsidR="00414116">
        <w:t>ack</w:t>
      </w:r>
      <w:r w:rsidR="000E07DD">
        <w:t>ag</w:t>
      </w:r>
      <w:r w:rsidR="00414116">
        <w:t>e</w:t>
      </w:r>
      <w:r w:rsidR="0036620A">
        <w:t xml:space="preserve"> </w:t>
      </w:r>
      <w:r w:rsidR="00E90B94">
        <w:t>developed for MODFLOW and GSFLOW called the Agricultural (Ag)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3908C041" w:rsidR="0036620A" w:rsidRDefault="00E90B94" w:rsidP="00315A3C">
      <w:pPr>
        <w:pStyle w:val="BodyText"/>
      </w:pPr>
      <w:r>
        <w:t>The</w:t>
      </w:r>
      <w:r w:rsidR="0036620A">
        <w:t xml:space="preserve"> </w:t>
      </w:r>
      <w:r>
        <w:t>Ag P</w:t>
      </w:r>
      <w:r w:rsidR="00414116">
        <w:t>ack</w:t>
      </w:r>
      <w:r w:rsidR="000E07DD">
        <w:t>ag</w:t>
      </w:r>
      <w:r w:rsidR="00414116">
        <w:t>e</w:t>
      </w:r>
      <w:r w:rsidR="0036620A">
        <w:t xml:space="preserve"> is integrated into the MODFLOW and GSFLOW </w:t>
      </w:r>
      <w:r w:rsidR="0092778F">
        <w:t>solutions and</w:t>
      </w:r>
      <w:r w:rsidR="0036620A">
        <w:t xml:space="preserve"> can simulate </w:t>
      </w:r>
      <w:r w:rsidR="00D7218A">
        <w:t xml:space="preserve">land use change and </w:t>
      </w:r>
      <w:r>
        <w:t>daily climate variability in the estimation</w:t>
      </w:r>
      <w:r w:rsidR="00D7218A">
        <w:t xml:space="preserve"> </w:t>
      </w:r>
      <w:r>
        <w:t>potential ET and water use at a regional scale</w:t>
      </w:r>
      <w:r w:rsidR="00774831">
        <w:t xml:space="preserve">. </w:t>
      </w:r>
      <w:r w:rsidR="005B25CA">
        <w:t xml:space="preserve">The new </w:t>
      </w:r>
      <w:r w:rsidR="00414116">
        <w:t>Pack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0C0788AA" w:rsidR="007C10F9" w:rsidRDefault="000E07DD" w:rsidP="00315A3C">
      <w:pPr>
        <w:pStyle w:val="BodyText"/>
      </w:pPr>
      <w:r>
        <w:t>ag</w:t>
      </w:r>
      <w:r w:rsidR="00FD5D38">
        <w:t xml:space="preserve">ricultural demand is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w:t>
      </w:r>
      <w:r>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w:t>
      </w:r>
      <w:r>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t>ag</w:t>
      </w:r>
      <w:r w:rsidR="00D27FF8">
        <w:t xml:space="preserve">ement. The </w:t>
      </w:r>
      <w:r>
        <w:t>ag</w:t>
      </w:r>
      <w:r w:rsidR="004F150F">
        <w:t>ricultural (</w:t>
      </w:r>
      <w:r w:rsidR="006D5580">
        <w:t>A</w:t>
      </w:r>
      <w:r>
        <w:t>g</w:t>
      </w:r>
      <w:r w:rsidR="004F150F">
        <w:t xml:space="preserve">) </w:t>
      </w:r>
      <w:r w:rsidR="005609D3">
        <w:t xml:space="preserve">Water Use </w:t>
      </w:r>
      <w:r w:rsidR="00414116">
        <w:t>Pack</w:t>
      </w:r>
      <w:r>
        <w:t>ag</w:t>
      </w:r>
      <w:r w:rsidR="00414116">
        <w:t>e</w:t>
      </w:r>
      <w:r w:rsidR="00D27FF8">
        <w:t xml:space="preserve"> for MODFLOW and GSFLOW provides a wholistic approach for representing </w:t>
      </w:r>
      <w:r>
        <w:t>ag</w:t>
      </w:r>
      <w:r w:rsidR="006D5580">
        <w:t>riculture</w:t>
      </w:r>
      <w:r w:rsidR="00D27FF8">
        <w:t xml:space="preserve">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414DC463" w:rsidR="00D0273B" w:rsidRDefault="00190617" w:rsidP="00315A3C">
      <w:pPr>
        <w:pStyle w:val="BodyText"/>
      </w:pPr>
      <w:r>
        <w:t>This report describes t</w:t>
      </w:r>
      <w:r w:rsidR="00D0273B">
        <w:t xml:space="preserve">he </w:t>
      </w:r>
      <w:r w:rsidR="006D5580">
        <w:t>A</w:t>
      </w:r>
      <w:r w:rsidR="000E07DD">
        <w:t>g</w:t>
      </w:r>
      <w:r w:rsidR="00D0273B">
        <w:t>ricultural W</w:t>
      </w:r>
      <w:r w:rsidR="004F150F">
        <w:t>ater-Use</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Ag Package</w:t>
      </w:r>
      <w:r w:rsidR="00395D00">
        <w:t xml:space="preserve"> </w:t>
      </w:r>
      <w:r w:rsidR="00D0273B">
        <w:t xml:space="preserve">has 4 major </w:t>
      </w:r>
      <w:r w:rsidR="006D5580">
        <w:t>capabilities, including 1) application of</w:t>
      </w:r>
      <w:r w:rsidR="00D0273B">
        <w:t xml:space="preserve"> water flowing in SFR2 diversion segments as </w:t>
      </w:r>
      <w:r w:rsidR="002A5C58">
        <w:t>irrigation</w:t>
      </w:r>
      <w:r w:rsidR="00D0273B">
        <w:t xml:space="preserve"> to UZF1</w:t>
      </w:r>
      <w:r w:rsidR="00395D00">
        <w:t>/PRMS</w:t>
      </w:r>
      <w:r w:rsidR="00D0273B">
        <w:t xml:space="preserve"> cells</w:t>
      </w:r>
      <w:r w:rsidR="00395D00">
        <w:t>/HRUs</w:t>
      </w:r>
      <w:r w:rsidR="006D5580">
        <w:t>; 2) application of</w:t>
      </w:r>
      <w:r w:rsidR="00D0273B">
        <w:t xml:space="preserve"> 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w:t>
      </w:r>
      <w:r w:rsidR="00E1677D">
        <w:lastRenderedPageBreak/>
        <w:t>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5708AFC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Ag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Ag Package</w:t>
      </w:r>
      <w:r>
        <w:t xml:space="preserve"> input file; the</w:t>
      </w:r>
      <w:r w:rsidR="000A2EA6">
        <w:t xml:space="preserve"> Ag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61A9E520" w:rsidR="00190617" w:rsidRDefault="00190617" w:rsidP="00190617">
      <w:pPr>
        <w:pStyle w:val="Heading1"/>
        <w:autoSpaceDE w:val="0"/>
      </w:pPr>
      <w:r>
        <w:t xml:space="preserve">Description of the </w:t>
      </w:r>
      <w:r w:rsidR="000E07DD">
        <w:t>ag</w:t>
      </w:r>
      <w:r>
        <w:t xml:space="preserve">ricultural Water Use </w:t>
      </w:r>
      <w:r w:rsidR="00414116">
        <w:t>Pack</w:t>
      </w:r>
      <w:r w:rsidR="000E07DD">
        <w:t>ag</w:t>
      </w:r>
      <w:r w:rsidR="00414116">
        <w:t>e</w:t>
      </w:r>
    </w:p>
    <w:p w14:paraId="12827EED" w14:textId="1064F6E0" w:rsidR="008A46C5" w:rsidRPr="008A46C5" w:rsidRDefault="008A46C5" w:rsidP="00B80A31">
      <w:pPr>
        <w:pStyle w:val="Heading2"/>
      </w:pPr>
      <w:r>
        <w:t xml:space="preserve">Surface </w:t>
      </w:r>
      <w:r w:rsidR="00C57263">
        <w:t>Water and Groundwater I</w:t>
      </w:r>
      <w:r>
        <w:t>rrigation</w:t>
      </w:r>
    </w:p>
    <w:p w14:paraId="0E9ED586" w14:textId="28250915" w:rsidR="0014150E" w:rsidRDefault="00CF6B50" w:rsidP="00C57263">
      <w:pPr>
        <w:pStyle w:val="BodyText"/>
      </w:pPr>
      <w:r>
        <w:t>The</w:t>
      </w:r>
      <w:r w:rsidR="005A5650">
        <w:t xml:space="preserve"> </w:t>
      </w:r>
      <w:r w:rsidR="000E07DD">
        <w:t>Ag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7E51B49" w:rsidR="0014150E" w:rsidRDefault="00074804" w:rsidP="00E7244D">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 xml:space="preserve">applied to UZF1 cells or </w:t>
      </w:r>
      <w:r w:rsidR="00CF6B50">
        <w:lastRenderedPageBreak/>
        <w:t>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4B4E2DD1" w:rsidR="00E7244D" w:rsidRPr="003D5BA0" w:rsidRDefault="003D5BA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37FE7749" w:rsidR="006F0497" w:rsidRDefault="006F0497"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tab/>
      </w:r>
      <w:r>
        <w:tab/>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w:t>
      </w:r>
      <w:proofErr w:type="gramStart"/>
      <w:r>
        <w:t>pumping.</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3255958"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(1)</w:t>
      </w:r>
    </w:p>
    <w:p w14:paraId="60740C4A" w14:textId="654DACB6" w:rsidR="00CD15CE" w:rsidRDefault="006B15D8" w:rsidP="00CD15CE">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 and does not include return flows that occur after water is applied to fields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24BED">
        <w:lastRenderedPageBreak/>
        <w:t>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56EF7">
        <w:t xml:space="preserve">. </w:t>
      </w:r>
      <w:r w:rsidR="00EA3D06">
        <w:t xml:space="preserve">Supplementary groundwater </w:t>
      </w:r>
      <w:r w:rsidR="00044557">
        <w:t>pumping can be used to supply the NIWR as described in option 2.</w:t>
      </w:r>
    </w:p>
    <w:p w14:paraId="181A9CCC" w14:textId="52068DA0" w:rsidR="00143E7A" w:rsidRPr="00592989" w:rsidRDefault="00592989" w:rsidP="00CD15CE">
      <w:pPr>
        <w:pStyle w:val="BodyText"/>
        <w:numPr>
          <w:ilvl w:val="0"/>
          <w:numId w:val="31"/>
        </w:numPr>
      </w:pPr>
      <w:r>
        <w:rPr>
          <w:b/>
        </w:rPr>
        <w:t>Triggered irrigation event</w:t>
      </w:r>
    </w:p>
    <w:p w14:paraId="45AFEBBF" w14:textId="0A10B4AC" w:rsidR="00592989" w:rsidRDefault="00592989" w:rsidP="00592989">
      <w:pPr>
        <w:pStyle w:val="BodyText"/>
        <w:ind w:left="1080" w:firstLine="0"/>
      </w:pPr>
      <w:r>
        <w:t xml:space="preserve">For this option, the onset of an irrigation event is triggered </w:t>
      </w:r>
      <w:r w:rsidR="001455B5">
        <w:t xml:space="preserve">when the simulated </w:t>
      </w:r>
      <w:r>
        <w:t>ET deficit</w:t>
      </w:r>
      <w:r w:rsidR="001455B5">
        <w:t xml:space="preserve"> rises above the user specified threshold</w:t>
      </w:r>
      <w:r>
        <w:t xml:space="preserve">. </w:t>
      </w:r>
      <w:r w:rsidR="00FE2D02">
        <w:t>Like</w:t>
      </w:r>
      <w:r>
        <w:t xml:space="preserve"> option 3, the </w:t>
      </w:r>
      <w:r w:rsidR="001455B5">
        <w:t xml:space="preserve">ET deficit is calculated as the </w:t>
      </w:r>
      <w:r>
        <w:t xml:space="preserve">difference between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455B5">
        <w:t>.</w:t>
      </w:r>
      <w:r w:rsidR="00776AB5">
        <w:t xml:space="preserve"> </w:t>
      </w:r>
      <w:r w:rsidR="001455B5">
        <w:t>If the ET deficit rises above the threshold then irrigation continues for the user-specified irrigation period and application rate.</w:t>
      </w:r>
      <w:r w:rsidR="000571EC">
        <w:t xml:space="preserve"> </w:t>
      </w:r>
      <w:r w:rsidR="00044557">
        <w:t>Supplementary groundwater pumping can be used to supply the NIWR as described in option 2.</w:t>
      </w:r>
    </w:p>
    <w:p w14:paraId="2B33313B" w14:textId="6EC85EAB" w:rsidR="000571EC" w:rsidRDefault="000571EC" w:rsidP="00592989">
      <w:pPr>
        <w:pStyle w:val="BodyText"/>
        <w:ind w:left="1080" w:firstLine="0"/>
      </w:pPr>
    </w:p>
    <w:p w14:paraId="2863C665" w14:textId="757E6DE1" w:rsidR="005F13D5" w:rsidRDefault="000571EC" w:rsidP="006E46BB">
      <w:pPr>
        <w:pStyle w:val="BodyText"/>
      </w:pPr>
      <w:r>
        <w:t xml:space="preserve">All 4 options rely on irrigation water that is supplied by SFR2 diversion segments and/or Ag Package groundwater wells.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p>
    <w:p w14:paraId="1FF1BE34" w14:textId="65D6EDB0" w:rsidR="00143E7A" w:rsidRDefault="00CD15CE"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simulated</w:t>
      </w:r>
      <w:r w:rsidR="006E46BB">
        <w:t xml:space="preserve"> </w:t>
      </w:r>
      <w:r w:rsidR="005D7116">
        <w:t>using</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w:t>
      </w:r>
      <w:r w:rsidR="005D7116">
        <w:t>that is</w:t>
      </w:r>
      <w:r>
        <w:t xml:space="preserve"> specified in the UZF1 input file MODFLOW simulations, or </w:t>
      </w:r>
      <w:r w:rsidR="005D7116">
        <w:t xml:space="preserve">for GSFLOW simulations </w:t>
      </w:r>
      <w:r>
        <w:t>it is calculated using daily climate data and one of six options available in PRMS, including Jensen-</w:t>
      </w:r>
      <w:proofErr w:type="spellStart"/>
      <w:r>
        <w:t>Haise</w:t>
      </w:r>
      <w:proofErr w:type="spellEnd"/>
      <w:r>
        <w:t xml:space="preserve">, </w:t>
      </w:r>
      <w:proofErr w:type="spellStart"/>
      <w:r>
        <w:t>Hargraeves-Semani</w:t>
      </w:r>
      <w:proofErr w:type="spellEnd"/>
      <w:r>
        <w:t>, Penman-Monteith, Priestly-Taylor, Hamon, and pan potential ET modules (</w:t>
      </w:r>
      <w:proofErr w:type="spellStart"/>
      <w:r>
        <w:t>Markstrom</w:t>
      </w:r>
      <w:proofErr w:type="spellEnd"/>
      <w:r>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w:t>
      </w:r>
      <w:r>
        <w:lastRenderedPageBreak/>
        <w:t xml:space="preserve">(Allen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is incorporated into GSFLOW simulations for the Jensen-</w:t>
      </w:r>
      <w:proofErr w:type="spellStart"/>
      <w:r>
        <w:t>Haise</w:t>
      </w:r>
      <w:proofErr w:type="spellEnd"/>
      <w:r>
        <w:t xml:space="preserv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calculated using the UZF1 Package or by the PRMS </w:t>
      </w:r>
      <w:proofErr w:type="spellStart"/>
      <w:r>
        <w:t>Soilzone</w:t>
      </w:r>
      <w:proofErr w:type="spellEnd"/>
      <w:r>
        <w:t xml:space="preserve"> Module using a kinematic wave formulation or nonlinear soil-water reservoir approach, respectively (</w:t>
      </w:r>
      <w:proofErr w:type="spellStart"/>
      <w:r>
        <w:t>Markstrom</w:t>
      </w:r>
      <w:proofErr w:type="spellEnd"/>
      <w:r>
        <w:t xml:space="preserve"> and others, 2008). </w:t>
      </w:r>
    </w:p>
    <w:p w14:paraId="474193B6" w14:textId="5903639E" w:rsidR="00AA4111" w:rsidRDefault="00B80A31" w:rsidP="00B80A31">
      <w:pPr>
        <w:pStyle w:val="Heading2"/>
      </w:pPr>
      <w:r>
        <w:t>Irrigation Operations</w:t>
      </w:r>
    </w:p>
    <w:p w14:paraId="198EDF08" w14:textId="77777777" w:rsidR="004708FB" w:rsidRDefault="00B80A31" w:rsidP="00D23472">
      <w:pPr>
        <w:pStyle w:val="BodyText"/>
      </w:pPr>
      <w:r>
        <w:t>The Ag Package supports several approaches for simulating irrigation operations</w:t>
      </w:r>
      <w:r w:rsidR="006126F0">
        <w:t xml:space="preserve">, including using </w:t>
      </w:r>
      <w:r w:rsidR="006126F0">
        <w:t xml:space="preserve">simple factors that represent the average system gains/losses and crop </w:t>
      </w:r>
      <w:r w:rsidR="006126F0">
        <w:t xml:space="preserve">water </w:t>
      </w:r>
      <w:r w:rsidR="006126F0">
        <w:t>consumption</w:t>
      </w:r>
      <w:r w:rsidR="006126F0">
        <w:t xml:space="preserve"> to </w:t>
      </w:r>
      <w:r w:rsidR="00C00DF6">
        <w:t>using implicated and</w:t>
      </w:r>
      <w:r w:rsidR="006126F0">
        <w:t xml:space="preserve"> detailed </w:t>
      </w:r>
      <w:r>
        <w:t>representation</w:t>
      </w:r>
      <w:r w:rsidR="00C00DF6">
        <w:t>s</w:t>
      </w:r>
      <w:r>
        <w:t xml:space="preserve"> of agricultural infrastructure and </w:t>
      </w:r>
      <w:r w:rsidR="006126F0">
        <w:t xml:space="preserve">model state dependent </w:t>
      </w:r>
      <w:r>
        <w:t xml:space="preserve">crop water </w:t>
      </w:r>
      <w:r w:rsidR="006126F0">
        <w:t>consumption.</w:t>
      </w:r>
      <w:r>
        <w:t xml:space="preserve"> </w:t>
      </w:r>
      <w:r w:rsidR="00792B73">
        <w:t>For the simpler case</w:t>
      </w:r>
      <w:r w:rsidR="004E4746">
        <w:t>,</w:t>
      </w:r>
      <w:r w:rsidR="00975FEB">
        <w:t xml:space="preserve"> some fraction of the </w:t>
      </w:r>
      <w:r w:rsidR="00C00DF6">
        <w:t>N</w:t>
      </w:r>
      <w:r w:rsidR="00BA4462">
        <w:t>IWR</w:t>
      </w:r>
      <w:r w:rsidR="00975FEB">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695763AF" w:rsidR="00975FEB" w:rsidRDefault="00C94FBE" w:rsidP="00D23472">
      <w:pPr>
        <w:pStyle w:val="BodyText"/>
      </w:pPr>
      <w:r>
        <w:t xml:space="preserve">NIWR is </w:t>
      </w:r>
      <w:r w:rsidR="004708FB">
        <w:t>calculated as:</w:t>
      </w:r>
    </w:p>
    <w:p w14:paraId="0F805C89" w14:textId="7FAB76AE"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demand</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A600DF1" w:rsidR="00C85311" w:rsidRDefault="00510B9E" w:rsidP="00976A95">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r>
          <w:rPr>
            <w:rFonts w:ascii="Cambria Math" w:hAnsi="Cambria Math"/>
          </w:rPr>
          <m:t>G</m:t>
        </m:r>
        <m:r>
          <w:rPr>
            <w:rFonts w:ascii="Cambria Math" w:hAnsi="Cambria Math"/>
          </w:rPr>
          <m:t>IWR</m:t>
        </m:r>
      </m:oMath>
      <w:r w:rsidR="00976A95">
        <w:t>.</w:t>
      </w:r>
      <w:r w:rsidR="00976A95">
        <w:tab/>
      </w:r>
      <w:r w:rsidR="00976A95">
        <w:tab/>
      </w:r>
      <w:r w:rsidR="00976A95">
        <w:tab/>
        <w:t xml:space="preserve"> </w:t>
      </w:r>
      <w:r w:rsidR="00956623">
        <w:tab/>
      </w:r>
      <w:r w:rsidR="00956623">
        <w:tab/>
      </w:r>
      <w:r w:rsidR="00976A95">
        <w:t>(3)</w:t>
      </w:r>
    </w:p>
    <w:p w14:paraId="0BB4B44D" w14:textId="773277DC"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referred to as the potential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w:t>
      </w:r>
      <w:r w:rsidR="00F73888">
        <w:lastRenderedPageBreak/>
        <w:t xml:space="preserve">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C3646C">
        <w:t xml:space="preserve">. </w:t>
      </w:r>
      <w:r w:rsidR="002965A9">
        <w:t>However, i</w:t>
      </w:r>
      <w:r w:rsidR="007F2933">
        <w:t>t is recommended that ET be simulated explicitly</w:t>
      </w:r>
      <w:r w:rsidR="00976A95">
        <w:t xml:space="preserve"> </w:t>
      </w:r>
      <w:r w:rsidR="001A67DD">
        <w:t>when interested in simulating</w:t>
      </w:r>
      <w:r w:rsidR="00976A95">
        <w:t xml:space="preserve"> the impacts of infiltration capacity on irrigation water partitioning</w:t>
      </w:r>
      <w:r w:rsidR="009855F9">
        <w:t>,</w:t>
      </w:r>
      <w:r w:rsidR="007F2933">
        <w:t xml:space="preserve"> </w:t>
      </w:r>
      <w:r w:rsidR="005F1EA4">
        <w:t>such that</w:t>
      </w:r>
      <w:r w:rsidR="002965A9">
        <w:t xml:space="preserve"> </w:t>
      </w:r>
      <w:r w:rsidR="00976A95">
        <w:t>GIWR</w:t>
      </w:r>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7EAD960" w:rsidR="00A074C6" w:rsidRDefault="00C922C4"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976A95">
        <w:t>4</w:t>
      </w:r>
      <w:r w:rsidR="00A074C6">
        <w:t>)</w:t>
      </w:r>
    </w:p>
    <w:p w14:paraId="5CBC1D04" w14:textId="4B1622BE"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w:t>
      </w:r>
      <w:r w:rsidRPr="00C922C4">
        <w:rPr>
          <w:i/>
        </w:rPr>
        <w:t>GIWR</w:t>
      </w:r>
      <w:r>
        <w:t xml:space="preserve">; </w:t>
      </w:r>
      <w:r w:rsidR="00C058EE">
        <w:t>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 xml:space="preserve">These system losses can be simulated explicitly using the SFR2 Package, or they can be included in the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0DB87737" w:rsidR="00735C7E" w:rsidRDefault="00E7244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976A95">
        <w:t>5</w:t>
      </w:r>
      <w:r w:rsidR="00735C7E">
        <w:t>)</w:t>
      </w:r>
    </w:p>
    <w:p w14:paraId="154CD192" w14:textId="6A0BC2A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w:t>
      </w:r>
      <w:r w:rsidR="00FD465A">
        <w:lastRenderedPageBreak/>
        <w:t xml:space="preserve">simulation capabilities in UZF1 </w:t>
      </w:r>
      <w:r w:rsidR="00D74B8B">
        <w:t>or</w:t>
      </w:r>
      <w:r w:rsidR="00FD465A">
        <w:t xml:space="preserve"> PRMS. </w:t>
      </w:r>
      <w:r w:rsidR="00576BF1">
        <w:t xml:space="preserve">Note that equations </w:t>
      </w:r>
      <w:r w:rsidR="000A6FAF">
        <w:t>2</w:t>
      </w:r>
      <w:r w:rsidR="00576BF1">
        <w:t>-</w:t>
      </w:r>
      <w:r w:rsidR="00633E8C">
        <w:t>5</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2452641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20C5A7B5" w:rsidR="000A69E6" w:rsidRDefault="00E7244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42B11699"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6915B8">
        <w:t>For this</w:t>
      </w:r>
      <w:r w:rsidR="00960A7A">
        <w:t xml:space="preserve"> case, </w:t>
      </w:r>
      <w:r w:rsidR="001A020E">
        <w:t>if the diversion is not limited by the flow at the diversion point</w:t>
      </w:r>
      <w:r w:rsidR="004A7735">
        <w:t xml:space="preserve"> and/or specified 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DAD0F64" w:rsidR="00A074C6" w:rsidRDefault="009B4F00" w:rsidP="00A074C6">
      <w:pPr>
        <w:pStyle w:val="BodyText"/>
        <w:ind w:firstLine="0"/>
      </w:pPr>
      <w:r>
        <w:t>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w:t>
      </w:r>
      <w:r w:rsidR="00A22A71">
        <w:lastRenderedPageBreak/>
        <w:t xml:space="preserve">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E7244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E7244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E7244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E7244D"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36F0EB3E"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Ag</w:t>
      </w:r>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the diversion</w:t>
      </w:r>
      <w:r w:rsidR="00F70406">
        <w:t xml:space="preserve"> is:</w:t>
      </w:r>
    </w:p>
    <w:p w14:paraId="76961AD2" w14:textId="7D849F1E" w:rsidR="00947A68" w:rsidRDefault="00E7244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6"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 xml:space="preserve">Surface water and </w:t>
      </w:r>
      <w:r w:rsidR="008531B2" w:rsidRPr="008531B2">
        <w:lastRenderedPageBreak/>
        <w:t>groundwater irrigation using IRR</w:t>
      </w:r>
      <w:r w:rsidR="008531B2">
        <w:t>IGATION_SFR and IRRIGATION_WELL,</w:t>
      </w:r>
      <w:r w:rsidR="008531B2" w:rsidRPr="008531B2">
        <w:t xml:space="preserve"> demand calculated as ET deficit using ETDEMAND</w:t>
      </w:r>
      <w:r w:rsidR="0006037D" w:rsidRPr="0006037D">
        <w:t>.</w:t>
      </w:r>
      <w:bookmarkEnd w:id="6"/>
    </w:p>
    <w:p w14:paraId="50C4627B" w14:textId="0F2FEA85" w:rsidR="00DE4034" w:rsidRDefault="0075720D" w:rsidP="00476BFB">
      <w:pPr>
        <w:pStyle w:val="Heading1"/>
      </w:pPr>
      <w:r>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w:t>
      </w:r>
      <w:proofErr w:type="spellStart"/>
      <w:r w:rsidR="000A6D86">
        <w:t>nummaxwell</w:t>
      </w:r>
      <w:proofErr w:type="spellEnd"/>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lastRenderedPageBreak/>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commentRangeStart w:id="7"/>
      <w:r>
        <w:lastRenderedPageBreak/>
        <w:t>Example Problem 1</w:t>
      </w:r>
      <w:commentRangeEnd w:id="7"/>
      <w:r w:rsidR="00E13D6C">
        <w:rPr>
          <w:rStyle w:val="CommentReference"/>
          <w:rFonts w:ascii="Times New Roman" w:hAnsi="Times New Roman"/>
          <w:b w:val="0"/>
          <w:iCs w:val="0"/>
          <w:kern w:val="0"/>
        </w:rPr>
        <w:commentReference w:id="7"/>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w:t>
      </w:r>
      <w:r w:rsidR="005E57CD">
        <w:lastRenderedPageBreak/>
        <w:t xml:space="preserve">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80A31">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9" w:name="_Toc488393775"/>
      <w:bookmarkStart w:id="10" w:name="_Toc59000064"/>
      <w:r>
        <w:t>Discussion</w:t>
      </w:r>
    </w:p>
    <w:p w14:paraId="3D64548A" w14:textId="44A09910" w:rsidR="0028639D" w:rsidRPr="0028639D" w:rsidRDefault="00A70F7A" w:rsidP="0028639D">
      <w:pPr>
        <w:pStyle w:val="BodyText"/>
      </w:pPr>
      <w:r>
        <w:t xml:space="preserve">While </w:t>
      </w:r>
    </w:p>
    <w:bookmarkEnd w:id="9"/>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1" w:name="_Toc488393776"/>
      <w:r>
        <w:t>References</w:t>
      </w:r>
      <w:r w:rsidRPr="00DC6924">
        <w:t xml:space="preserve"> Cited</w:t>
      </w:r>
      <w:bookmarkEnd w:id="10"/>
      <w:bookmarkEnd w:id="11"/>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R.A., and LaFontaine, J.H., 2015, PRMS-IV, the precipitation-runoff modeling system, version 4: U.S. Geological Survey Techniques and Methods, book 6, chap. B7, 158 p., http://dx.doi.org/10.3133/tm6B7.</w:t>
      </w:r>
    </w:p>
    <w:p w14:paraId="1F14FE44" w14:textId="77777777" w:rsidR="00375D94" w:rsidRDefault="00375D94" w:rsidP="00375D94">
      <w:pPr>
        <w:pStyle w:val="SectionHeading"/>
      </w:pPr>
      <w:bookmarkStart w:id="12" w:name="_Toc59000065"/>
    </w:p>
    <w:p w14:paraId="491922ED" w14:textId="738DB992" w:rsidR="00680172" w:rsidRDefault="00680172" w:rsidP="00375D94">
      <w:pPr>
        <w:pStyle w:val="SectionHeading"/>
        <w:sectPr w:rsidR="00680172" w:rsidSect="0029519C">
          <w:footerReference w:type="default" r:id="rId20"/>
          <w:type w:val="oddPage"/>
          <w:pgSz w:w="12240" w:h="15840"/>
          <w:pgMar w:top="1440" w:right="1440" w:bottom="1440" w:left="1440" w:header="720" w:footer="720" w:gutter="0"/>
          <w:pgNumType w:start="1"/>
          <w:cols w:space="720"/>
          <w:titlePg/>
          <w:docGrid w:linePitch="360"/>
        </w:sectPr>
      </w:pPr>
    </w:p>
    <w:bookmarkEnd w:id="12"/>
    <w:p w14:paraId="645DB6F6" w14:textId="1EB288C1" w:rsidR="008F614A" w:rsidRDefault="008F614A" w:rsidP="008F614A">
      <w:pPr>
        <w:pStyle w:val="ISSNISBNDOIBackCover"/>
      </w:pPr>
    </w:p>
    <w:sectPr w:rsidR="008F614A" w:rsidSect="0029519C">
      <w:footerReference w:type="default" r:id="rId21"/>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iswonger, Richard" w:date="2019-01-10T17:09:00Z" w:initials="NR">
    <w:p w14:paraId="5809AEEB" w14:textId="02EEA026" w:rsidR="00E13D6C" w:rsidRDefault="00E13D6C">
      <w:pPr>
        <w:pStyle w:val="CommentText"/>
      </w:pPr>
      <w:r>
        <w:rPr>
          <w:rStyle w:val="CommentReference"/>
        </w:rPr>
        <w:annotationRef/>
      </w:r>
      <w:r w:rsidR="00DE4697">
        <w:t xml:space="preserve">Talk about crop consumption not being part of the AG water budget because it is not a balance on the soil, just on the irrigation water up to the field. </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9AE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9AEEB" w16cid:durableId="1FE1FA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F2505" w14:textId="77777777" w:rsidR="000A12EC" w:rsidRDefault="000A12EC">
      <w:pPr>
        <w:spacing w:line="240" w:lineRule="auto"/>
      </w:pPr>
      <w:r>
        <w:separator/>
      </w:r>
    </w:p>
  </w:endnote>
  <w:endnote w:type="continuationSeparator" w:id="0">
    <w:p w14:paraId="3C57E2FA" w14:textId="77777777" w:rsidR="000A12EC" w:rsidRDefault="000A1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E7244D" w:rsidRDefault="00E7244D" w:rsidP="00384E49">
    <w:pPr>
      <w:pStyle w:val="DBID"/>
    </w:pPr>
    <w:r>
      <w:t>U.S. Department of the Interior</w:t>
    </w:r>
  </w:p>
  <w:p w14:paraId="2C3B1DA2" w14:textId="77777777" w:rsidR="00E7244D" w:rsidRPr="00545B01" w:rsidRDefault="00E7244D"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E7244D" w:rsidRDefault="00E72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E7244D" w:rsidRPr="004126AC" w:rsidRDefault="00E7244D"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E7244D" w:rsidRDefault="00E724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E7244D" w:rsidRDefault="00E7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07303" w14:textId="77777777" w:rsidR="000A12EC" w:rsidRDefault="000A12EC">
      <w:pPr>
        <w:spacing w:line="240" w:lineRule="auto"/>
      </w:pPr>
      <w:r>
        <w:separator/>
      </w:r>
    </w:p>
  </w:footnote>
  <w:footnote w:type="continuationSeparator" w:id="0">
    <w:p w14:paraId="2B3F3CAF" w14:textId="77777777" w:rsidR="000A12EC" w:rsidRDefault="000A12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0EFA"/>
    <w:rsid w:val="00014060"/>
    <w:rsid w:val="0001496D"/>
    <w:rsid w:val="00015B15"/>
    <w:rsid w:val="00015E12"/>
    <w:rsid w:val="0002490A"/>
    <w:rsid w:val="00026A17"/>
    <w:rsid w:val="0003371C"/>
    <w:rsid w:val="00040B32"/>
    <w:rsid w:val="00041613"/>
    <w:rsid w:val="0004186D"/>
    <w:rsid w:val="000441CF"/>
    <w:rsid w:val="00044557"/>
    <w:rsid w:val="000455B4"/>
    <w:rsid w:val="00045CA8"/>
    <w:rsid w:val="00047108"/>
    <w:rsid w:val="0005130C"/>
    <w:rsid w:val="00051BD8"/>
    <w:rsid w:val="00052F4C"/>
    <w:rsid w:val="00054BA5"/>
    <w:rsid w:val="000571EC"/>
    <w:rsid w:val="000574ED"/>
    <w:rsid w:val="0006037D"/>
    <w:rsid w:val="00063324"/>
    <w:rsid w:val="0006475F"/>
    <w:rsid w:val="00065C99"/>
    <w:rsid w:val="000674EF"/>
    <w:rsid w:val="00070F78"/>
    <w:rsid w:val="000740D8"/>
    <w:rsid w:val="00074804"/>
    <w:rsid w:val="00074DFD"/>
    <w:rsid w:val="00076A19"/>
    <w:rsid w:val="00087A89"/>
    <w:rsid w:val="000A12EC"/>
    <w:rsid w:val="000A2EA6"/>
    <w:rsid w:val="000A306E"/>
    <w:rsid w:val="000A3A7A"/>
    <w:rsid w:val="000A47AA"/>
    <w:rsid w:val="000A69E6"/>
    <w:rsid w:val="000A6D86"/>
    <w:rsid w:val="000A6FAF"/>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43E7A"/>
    <w:rsid w:val="001455B5"/>
    <w:rsid w:val="00153923"/>
    <w:rsid w:val="0015565F"/>
    <w:rsid w:val="00155C8E"/>
    <w:rsid w:val="00156941"/>
    <w:rsid w:val="00157256"/>
    <w:rsid w:val="00161EBD"/>
    <w:rsid w:val="00163867"/>
    <w:rsid w:val="00163A60"/>
    <w:rsid w:val="001648ED"/>
    <w:rsid w:val="001656D1"/>
    <w:rsid w:val="00171D85"/>
    <w:rsid w:val="00172E3D"/>
    <w:rsid w:val="00172F21"/>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A67DD"/>
    <w:rsid w:val="001B3807"/>
    <w:rsid w:val="001B380D"/>
    <w:rsid w:val="001B391F"/>
    <w:rsid w:val="001B3CD8"/>
    <w:rsid w:val="001C02A6"/>
    <w:rsid w:val="001C0BD8"/>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4A83"/>
    <w:rsid w:val="00227E8E"/>
    <w:rsid w:val="0023531B"/>
    <w:rsid w:val="002354E8"/>
    <w:rsid w:val="00243F16"/>
    <w:rsid w:val="002450F8"/>
    <w:rsid w:val="00245BAB"/>
    <w:rsid w:val="00250C33"/>
    <w:rsid w:val="00253518"/>
    <w:rsid w:val="00255BA3"/>
    <w:rsid w:val="00256063"/>
    <w:rsid w:val="00262FB7"/>
    <w:rsid w:val="00271408"/>
    <w:rsid w:val="00283214"/>
    <w:rsid w:val="002834EA"/>
    <w:rsid w:val="0028639D"/>
    <w:rsid w:val="00286C7F"/>
    <w:rsid w:val="0029519C"/>
    <w:rsid w:val="002965A9"/>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335"/>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5BA0"/>
    <w:rsid w:val="003D7B48"/>
    <w:rsid w:val="003D7D95"/>
    <w:rsid w:val="003D7EC4"/>
    <w:rsid w:val="003E12AC"/>
    <w:rsid w:val="003E17F5"/>
    <w:rsid w:val="003E333F"/>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67BC1"/>
    <w:rsid w:val="00470723"/>
    <w:rsid w:val="004707CE"/>
    <w:rsid w:val="004708FB"/>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0B9E"/>
    <w:rsid w:val="005151ED"/>
    <w:rsid w:val="0051721B"/>
    <w:rsid w:val="00520C00"/>
    <w:rsid w:val="00522592"/>
    <w:rsid w:val="00522DDB"/>
    <w:rsid w:val="005242E5"/>
    <w:rsid w:val="00526723"/>
    <w:rsid w:val="00534968"/>
    <w:rsid w:val="005355CD"/>
    <w:rsid w:val="00537014"/>
    <w:rsid w:val="00540893"/>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2A02"/>
    <w:rsid w:val="005D7116"/>
    <w:rsid w:val="005D75C7"/>
    <w:rsid w:val="005E1E58"/>
    <w:rsid w:val="005E2F44"/>
    <w:rsid w:val="005E57CD"/>
    <w:rsid w:val="005E6AF0"/>
    <w:rsid w:val="005E7582"/>
    <w:rsid w:val="005F00D2"/>
    <w:rsid w:val="005F13D5"/>
    <w:rsid w:val="005F1EA4"/>
    <w:rsid w:val="005F2E20"/>
    <w:rsid w:val="005F4EF5"/>
    <w:rsid w:val="005F55A1"/>
    <w:rsid w:val="005F5C04"/>
    <w:rsid w:val="006000B0"/>
    <w:rsid w:val="00606C8B"/>
    <w:rsid w:val="006126F0"/>
    <w:rsid w:val="0061353B"/>
    <w:rsid w:val="00614507"/>
    <w:rsid w:val="00633E8C"/>
    <w:rsid w:val="00640D14"/>
    <w:rsid w:val="0064351F"/>
    <w:rsid w:val="006441AC"/>
    <w:rsid w:val="0064697A"/>
    <w:rsid w:val="006471FF"/>
    <w:rsid w:val="00650005"/>
    <w:rsid w:val="00651CEA"/>
    <w:rsid w:val="006627AC"/>
    <w:rsid w:val="00664BAA"/>
    <w:rsid w:val="006675CB"/>
    <w:rsid w:val="00667E73"/>
    <w:rsid w:val="006746CD"/>
    <w:rsid w:val="006761E2"/>
    <w:rsid w:val="006773DA"/>
    <w:rsid w:val="00680172"/>
    <w:rsid w:val="006837C5"/>
    <w:rsid w:val="00686EA3"/>
    <w:rsid w:val="00687287"/>
    <w:rsid w:val="0068760D"/>
    <w:rsid w:val="00691157"/>
    <w:rsid w:val="006915B8"/>
    <w:rsid w:val="0069187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17A0"/>
    <w:rsid w:val="00752E5B"/>
    <w:rsid w:val="0075392B"/>
    <w:rsid w:val="00755DA2"/>
    <w:rsid w:val="00755DDF"/>
    <w:rsid w:val="0075720D"/>
    <w:rsid w:val="00762503"/>
    <w:rsid w:val="007655BF"/>
    <w:rsid w:val="0077089B"/>
    <w:rsid w:val="00773B5E"/>
    <w:rsid w:val="00774831"/>
    <w:rsid w:val="00776AB5"/>
    <w:rsid w:val="00777399"/>
    <w:rsid w:val="00782A1A"/>
    <w:rsid w:val="00784F88"/>
    <w:rsid w:val="007855FF"/>
    <w:rsid w:val="00790627"/>
    <w:rsid w:val="007912A0"/>
    <w:rsid w:val="00792B73"/>
    <w:rsid w:val="00796A92"/>
    <w:rsid w:val="007A3BCD"/>
    <w:rsid w:val="007B44E2"/>
    <w:rsid w:val="007B5989"/>
    <w:rsid w:val="007B5E0F"/>
    <w:rsid w:val="007C0FA7"/>
    <w:rsid w:val="007C10F9"/>
    <w:rsid w:val="007C1C6D"/>
    <w:rsid w:val="007D034B"/>
    <w:rsid w:val="007D0F8A"/>
    <w:rsid w:val="007D7F03"/>
    <w:rsid w:val="007E3028"/>
    <w:rsid w:val="007E3EBA"/>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38A5"/>
    <w:rsid w:val="0092735D"/>
    <w:rsid w:val="0092778F"/>
    <w:rsid w:val="00932F02"/>
    <w:rsid w:val="00933876"/>
    <w:rsid w:val="00937DB8"/>
    <w:rsid w:val="009449AE"/>
    <w:rsid w:val="00946770"/>
    <w:rsid w:val="00947A68"/>
    <w:rsid w:val="00950B23"/>
    <w:rsid w:val="00952796"/>
    <w:rsid w:val="009527FE"/>
    <w:rsid w:val="0095618F"/>
    <w:rsid w:val="00956623"/>
    <w:rsid w:val="0095790F"/>
    <w:rsid w:val="00960A7A"/>
    <w:rsid w:val="009752FF"/>
    <w:rsid w:val="00975FEB"/>
    <w:rsid w:val="00976075"/>
    <w:rsid w:val="009767CD"/>
    <w:rsid w:val="00976A95"/>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8DB"/>
    <w:rsid w:val="00A23C5A"/>
    <w:rsid w:val="00A346F2"/>
    <w:rsid w:val="00A359EA"/>
    <w:rsid w:val="00A40A25"/>
    <w:rsid w:val="00A46C8D"/>
    <w:rsid w:val="00A50139"/>
    <w:rsid w:val="00A526D6"/>
    <w:rsid w:val="00A5617C"/>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0F04"/>
    <w:rsid w:val="00B61EC3"/>
    <w:rsid w:val="00B63408"/>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576"/>
    <w:rsid w:val="00B960D3"/>
    <w:rsid w:val="00BA10EA"/>
    <w:rsid w:val="00BA329D"/>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0DF6"/>
    <w:rsid w:val="00C04FD1"/>
    <w:rsid w:val="00C058EE"/>
    <w:rsid w:val="00C0618D"/>
    <w:rsid w:val="00C1449A"/>
    <w:rsid w:val="00C17262"/>
    <w:rsid w:val="00C21525"/>
    <w:rsid w:val="00C22EFA"/>
    <w:rsid w:val="00C2359E"/>
    <w:rsid w:val="00C3202F"/>
    <w:rsid w:val="00C323ED"/>
    <w:rsid w:val="00C3646C"/>
    <w:rsid w:val="00C3672A"/>
    <w:rsid w:val="00C36C02"/>
    <w:rsid w:val="00C36EA2"/>
    <w:rsid w:val="00C515FB"/>
    <w:rsid w:val="00C526E6"/>
    <w:rsid w:val="00C52917"/>
    <w:rsid w:val="00C52A95"/>
    <w:rsid w:val="00C533FF"/>
    <w:rsid w:val="00C53BA5"/>
    <w:rsid w:val="00C53D99"/>
    <w:rsid w:val="00C54884"/>
    <w:rsid w:val="00C57263"/>
    <w:rsid w:val="00C6218C"/>
    <w:rsid w:val="00C6276A"/>
    <w:rsid w:val="00C652FB"/>
    <w:rsid w:val="00C65785"/>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B4047"/>
    <w:rsid w:val="00CB55D9"/>
    <w:rsid w:val="00CB7A2E"/>
    <w:rsid w:val="00CC51DF"/>
    <w:rsid w:val="00CC6CA8"/>
    <w:rsid w:val="00CD0A0E"/>
    <w:rsid w:val="00CD15C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7B4"/>
    <w:rsid w:val="00D15DA6"/>
    <w:rsid w:val="00D1798E"/>
    <w:rsid w:val="00D23472"/>
    <w:rsid w:val="00D24677"/>
    <w:rsid w:val="00D24BED"/>
    <w:rsid w:val="00D2581C"/>
    <w:rsid w:val="00D265A9"/>
    <w:rsid w:val="00D27B82"/>
    <w:rsid w:val="00D27FF8"/>
    <w:rsid w:val="00D311AA"/>
    <w:rsid w:val="00D37268"/>
    <w:rsid w:val="00D400B0"/>
    <w:rsid w:val="00D410CD"/>
    <w:rsid w:val="00D43B05"/>
    <w:rsid w:val="00D46C6C"/>
    <w:rsid w:val="00D53F39"/>
    <w:rsid w:val="00D5419B"/>
    <w:rsid w:val="00D558B3"/>
    <w:rsid w:val="00D5633F"/>
    <w:rsid w:val="00D56EF7"/>
    <w:rsid w:val="00D62110"/>
    <w:rsid w:val="00D64CA5"/>
    <w:rsid w:val="00D67FED"/>
    <w:rsid w:val="00D713F4"/>
    <w:rsid w:val="00D71AD0"/>
    <w:rsid w:val="00D7218A"/>
    <w:rsid w:val="00D74B8B"/>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E4697"/>
    <w:rsid w:val="00DF0D54"/>
    <w:rsid w:val="00DF743A"/>
    <w:rsid w:val="00E00AC0"/>
    <w:rsid w:val="00E022A9"/>
    <w:rsid w:val="00E03898"/>
    <w:rsid w:val="00E10242"/>
    <w:rsid w:val="00E10A63"/>
    <w:rsid w:val="00E13D6C"/>
    <w:rsid w:val="00E14382"/>
    <w:rsid w:val="00E14C12"/>
    <w:rsid w:val="00E14F09"/>
    <w:rsid w:val="00E1677D"/>
    <w:rsid w:val="00E20EDD"/>
    <w:rsid w:val="00E21F7F"/>
    <w:rsid w:val="00E314F6"/>
    <w:rsid w:val="00E35B6D"/>
    <w:rsid w:val="00E36A7D"/>
    <w:rsid w:val="00E504B1"/>
    <w:rsid w:val="00E53A17"/>
    <w:rsid w:val="00E6049D"/>
    <w:rsid w:val="00E62AFA"/>
    <w:rsid w:val="00E64BF9"/>
    <w:rsid w:val="00E678AC"/>
    <w:rsid w:val="00E710EC"/>
    <w:rsid w:val="00E71B26"/>
    <w:rsid w:val="00E7244D"/>
    <w:rsid w:val="00E75C66"/>
    <w:rsid w:val="00E77400"/>
    <w:rsid w:val="00E80B75"/>
    <w:rsid w:val="00E86548"/>
    <w:rsid w:val="00E86DCB"/>
    <w:rsid w:val="00E90B94"/>
    <w:rsid w:val="00E90D6D"/>
    <w:rsid w:val="00E930BF"/>
    <w:rsid w:val="00E941E8"/>
    <w:rsid w:val="00E945CA"/>
    <w:rsid w:val="00E95770"/>
    <w:rsid w:val="00EA3B42"/>
    <w:rsid w:val="00EA3D06"/>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2D02"/>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77DEEE5"/>
  <w15:docId w15:val="{5239BC97-713C-4E0E-81DF-2C74517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D43A2-590C-4B06-82B5-25EDB68C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10381</TotalTime>
  <Pages>21</Pages>
  <Words>4301</Words>
  <Characters>24521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15</cp:revision>
  <cp:lastPrinted>2017-08-01T14:27:00Z</cp:lastPrinted>
  <dcterms:created xsi:type="dcterms:W3CDTF">2018-09-12T20:59:00Z</dcterms:created>
  <dcterms:modified xsi:type="dcterms:W3CDTF">2019-01-11T18:03:00Z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