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76C93234"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w:t>
      </w:r>
      <w:r w:rsidR="00153734">
        <w:t xml:space="preserve">; </w:t>
      </w:r>
      <w:r w:rsidR="00537F4B" w:rsidRPr="00537F4B">
        <w:t>Langevin</w:t>
      </w:r>
      <w:r w:rsidR="00537F4B">
        <w:t xml:space="preserve"> et al., 2017</w:t>
      </w:r>
      <w:r w:rsidR="005D6C1B">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9AC26EF"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B95BFE">
        <w:t>demands</w:t>
      </w:r>
      <w:r w:rsidR="00924D09">
        <w:t xml:space="preserve"> were specified independent of the</w:t>
      </w:r>
      <w:r w:rsidR="00B95BFE">
        <w:t xml:space="preserve"> integrated model</w:t>
      </w:r>
      <w:r w:rsidR="00924D09">
        <w:t xml:space="preserve"> soil-water deficit</w:t>
      </w:r>
      <w:r w:rsidR="00B95BFE">
        <w:t>s</w:t>
      </w:r>
      <w:r w:rsidR="00924D09">
        <w:t xml:space="preserve">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 xml:space="preserve">automatically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 xml:space="preserve">approach is that simulated NIWR is consistent with the </w:t>
      </w:r>
      <w:r w:rsidR="001D0311">
        <w:t xml:space="preserve">agricultural field </w:t>
      </w:r>
      <w:r w:rsidR="009D68B9">
        <w:t xml:space="preserve">soil-water </w:t>
      </w:r>
      <w:r w:rsidR="001D0311">
        <w:t>conditions and the simulated dynamic water distribution</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3BDD02BE"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r w:rsidR="00C2483E">
        <w:t>.</w:t>
      </w:r>
    </w:p>
    <w:p w14:paraId="5A62F271" w14:textId="3C821A60"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xml:space="preserve">) and the Unsaturated Flow (UZF1)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w:t>
      </w:r>
      <w:r w:rsidR="00C16A13">
        <w:t>(Niswonger and others,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UZF1</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UZF1</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using the UZF1</w:t>
      </w:r>
      <w:r w:rsidR="00395D00">
        <w:t>/PRMS</w:t>
      </w:r>
      <w:r>
        <w:t xml:space="preserve"> </w:t>
      </w:r>
      <w:r w:rsidR="00576B4B">
        <w:t xml:space="preserve">crop evapotranspiration (ET) </w:t>
      </w:r>
      <w:r>
        <w:t>deficit</w:t>
      </w:r>
      <w:r w:rsidR="00E1677D">
        <w:t xml:space="preserve"> 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0553A532"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 xml:space="preserve">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4A9CF03B"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FE4384">
        <w:t>Published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24A5A1CD" w:rsidR="0014150E" w:rsidRDefault="00ED0169" w:rsidP="00E7244D">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 xml:space="preserve">rrigation water </w:t>
      </w:r>
      <w:r w:rsidR="00CF6B50">
        <w:lastRenderedPageBreak/>
        <w:t>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2201E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2201E0"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7EF00793"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283F5E9D" w:rsidR="00592989" w:rsidRDefault="003B7CBF" w:rsidP="00592989">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p>
    <w:p w14:paraId="2B33313B" w14:textId="6EC85EAB" w:rsidR="000571EC" w:rsidRDefault="000571EC" w:rsidP="00592989">
      <w:pPr>
        <w:pStyle w:val="BodyText"/>
        <w:ind w:left="1080" w:firstLine="0"/>
      </w:pPr>
    </w:p>
    <w:p w14:paraId="2863C665" w14:textId="441C4DB0"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w:t>
      </w:r>
      <w:r w:rsidR="00E62DDC">
        <w:t>if the ETDEMAND or TRIGGER options are used</w:t>
      </w:r>
      <w:r w:rsidR="006D51B0">
        <w:t xml:space="preserve">. Groundwater ET is simulated by UZF1 for MODFLOW simulations using a linear </w:t>
      </w:r>
      <w:r w:rsidR="006D51B0">
        <w:lastRenderedPageBreak/>
        <w:t xml:space="preserve">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2201E0"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87F551E"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w:t>
      </w:r>
      <w:r w:rsidR="00836FB9">
        <w:t>1</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bookmarkStart w:id="4" w:name="_GoBack"/>
      <w:bookmarkEnd w:id="4"/>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2201E0"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2201E0"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5D2BF95D" w:rsidR="009767CD" w:rsidRPr="000A69E6" w:rsidRDefault="009767CD" w:rsidP="006D18E5">
      <w:pPr>
        <w:pStyle w:val="BodyText"/>
        <w:ind w:firstLine="0"/>
      </w:pPr>
      <w:r>
        <w:tab/>
        <w:t xml:space="preserve">The third </w:t>
      </w:r>
      <w:r w:rsidR="00CE46BC">
        <w:t>approach</w:t>
      </w:r>
      <w:r>
        <w:t xml:space="preserve"> for simulating </w:t>
      </w:r>
      <w:r w:rsidR="00012C40">
        <w:t xml:space="preserve">agriculture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2201E0"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lastRenderedPageBreak/>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7E26A5FC" w:rsidR="00FC5999" w:rsidRDefault="002201E0"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(12)</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2908D337" w:rsidR="000E32FC" w:rsidRDefault="002201E0"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3A5312">
        <w:t>3</w:t>
      </w:r>
      <w:r w:rsidR="000E32FC">
        <w:t>)</w:t>
      </w:r>
    </w:p>
    <w:p w14:paraId="29519B82" w14:textId="77777777" w:rsidR="00D8343E" w:rsidRDefault="004E5B36"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that satisfies well-watered conditions,</w:t>
      </w:r>
      <w:r w:rsidR="00192AA4">
        <w:t xml:space="preserve"> and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D8343E">
        <w:t>Note that for most cases:</w:t>
      </w:r>
    </w:p>
    <w:p w14:paraId="3AC793A8" w14:textId="10A67403" w:rsidR="00D8343E" w:rsidRDefault="002201E0"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(14)</w:t>
      </w:r>
    </w:p>
    <w:p w14:paraId="15786E2C" w14:textId="77777777"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conditions, and the diversion and pumping amounts converge after 2 iterations.</w:t>
      </w:r>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46F7385" w:rsidR="008A46C5" w:rsidRPr="00CD6155" w:rsidRDefault="002201E0"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D8343E">
        <w:t>5</w:t>
      </w:r>
      <w:r w:rsidR="00CD6155">
        <w:t>)</w:t>
      </w:r>
    </w:p>
    <w:p w14:paraId="1707ADEE" w14:textId="0F4370F8" w:rsidR="00D8343E" w:rsidRDefault="003A5312" w:rsidP="00D8343E">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p>
    <w:p w14:paraId="7D92585F" w14:textId="77777777" w:rsidR="00D8343E" w:rsidRDefault="00D8343E" w:rsidP="00A074C6">
      <w:pPr>
        <w:pStyle w:val="BodyText"/>
        <w:ind w:firstLine="0"/>
      </w:pP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1EF9E019" w:rsidR="00947A68" w:rsidRDefault="002201E0"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D8343E">
        <w:t>6</w:t>
      </w:r>
      <w:r w:rsidR="00C94C39">
        <w:t>)</w:t>
      </w:r>
    </w:p>
    <w:p w14:paraId="0363D59A" w14:textId="641F10D7" w:rsidR="00C043C9" w:rsidRDefault="00C043C9" w:rsidP="00C043C9">
      <w:pPr>
        <w:pStyle w:val="BodyText"/>
        <w:ind w:firstLine="0"/>
      </w:pPr>
    </w:p>
    <w:p w14:paraId="24F592F2" w14:textId="418A6FFC"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14 and 15</w:t>
      </w:r>
      <w:r w:rsidR="00836E97">
        <w:t>.</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7CC99C9B" w:rsidR="003A38A7" w:rsidRDefault="002201E0"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D8343E">
        <w:t>7</w:t>
      </w:r>
      <w:r w:rsidR="003A38A7">
        <w:t>)</w:t>
      </w:r>
    </w:p>
    <w:p w14:paraId="68D29168" w14:textId="7E248EEB" w:rsidR="003A38A7" w:rsidRDefault="003A38A7" w:rsidP="00C043C9">
      <w:pPr>
        <w:pStyle w:val="BodyText"/>
        <w:ind w:firstLine="0"/>
      </w:pPr>
      <w:r>
        <w:t>And the irrigation event continues until:</w:t>
      </w:r>
    </w:p>
    <w:p w14:paraId="0E764592" w14:textId="0BB69FDC" w:rsidR="003A38A7" w:rsidRPr="003A38A7" w:rsidRDefault="002201E0"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D8343E">
        <w:t>8</w:t>
      </w:r>
      <w:r w:rsidR="003A38A7">
        <w:t>)</w:t>
      </w:r>
    </w:p>
    <w:p w14:paraId="3E869512" w14:textId="62EBCB6F" w:rsidR="003A38A7" w:rsidRDefault="003A38A7" w:rsidP="00C043C9">
      <w:pPr>
        <w:pStyle w:val="BodyText"/>
        <w:ind w:firstLine="0"/>
      </w:pPr>
      <w:r>
        <w:lastRenderedPageBreak/>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5"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5"/>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627BEB4B"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5D77C3">
        <w:t xml:space="preserve">totaling </w:t>
      </w:r>
      <w:r w:rsidR="005242E5">
        <w:t xml:space="preserve">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lastRenderedPageBreak/>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6013DEA1" w:rsidR="00A91F70" w:rsidRDefault="00614310" w:rsidP="00614310">
      <w:pPr>
        <w:pStyle w:val="BodyText"/>
        <w:ind w:firstLine="0"/>
      </w:pPr>
      <w:r w:rsidRPr="00614310">
        <w:rPr>
          <w:noProof/>
        </w:rPr>
        <w:lastRenderedPageBreak/>
        <w:drawing>
          <wp:inline distT="0" distB="0" distL="0" distR="0" wp14:anchorId="7550B90D" wp14:editId="34D81D83">
            <wp:extent cx="5142857" cy="5123809"/>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5123809"/>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A038C5">
        <w:lastRenderedPageBreak/>
        <w:t xml:space="preserve">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6" w:name="_Toc488393775"/>
      <w:bookmarkStart w:id="7"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544F3CD5" w:rsidR="00C93063" w:rsidRDefault="008602C9" w:rsidP="0008264E">
      <w:pPr>
        <w:pStyle w:val="BodyText"/>
      </w:pPr>
      <w:r>
        <w:t xml:space="preserve">EP2a illustrates the effects of the crop coefficient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 xml:space="preserve">Annual average NIWR for the period 1991-1993 is 18.4 hectare-meters (0.7 hectare-meter per square meter) for high crop coefficient and 13.4 hectare-meters (0.5 hectare-meter per square meter) for low crop coefficient. Annual average crop consumption </w:t>
      </w:r>
      <w:r w:rsidR="006D4B0C">
        <w:t>is</w:t>
      </w:r>
      <w:r w:rsidR="008B41B4">
        <w:t xml:space="preserve"> equal to </w:t>
      </w:r>
      <w:r w:rsidR="00974BEF">
        <w:t xml:space="preserve">27.2 hectare-meters (1.0 hectare-meter per square meter) and 20.7 hectare-meters (0.75 hectare-meter per square meter), respectively.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 groundwater, and return flows.</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 xml:space="preserve">Additionally, irrigation constraints can be superimposed onto EP2a to more closely mimic real-world conditions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220B1139" w:rsidR="0008264E" w:rsidRPr="0008264E" w:rsidRDefault="00380E40" w:rsidP="0008264E">
      <w:pPr>
        <w:pStyle w:val="BodyText"/>
      </w:pPr>
      <w:r>
        <w:lastRenderedPageBreak/>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11)</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0349813F" w:rsidR="00CB0BE3" w:rsidRDefault="00756C99" w:rsidP="000251AE">
      <w:pPr>
        <w:pStyle w:val="Heading1"/>
        <w:numPr>
          <w:ilvl w:val="0"/>
          <w:numId w:val="0"/>
        </w:numPr>
        <w:autoSpaceDE w:val="0"/>
        <w:ind w:left="432" w:hanging="432"/>
      </w:pPr>
      <w:r w:rsidRPr="00756C99">
        <w:lastRenderedPageBreak/>
        <w:drawing>
          <wp:inline distT="0" distB="0" distL="0" distR="0" wp14:anchorId="35EFF021" wp14:editId="15E15431">
            <wp:extent cx="5943600" cy="578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8294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hectare-meter per square meter)</w:t>
      </w:r>
      <w:r w:rsidR="007C0DB7">
        <w:t>.</w:t>
      </w:r>
      <w:r w:rsidR="002F7395">
        <w:t xml:space="preserve"> </w:t>
      </w:r>
      <w:r>
        <w:t>Because setting a low trigger value allows the soils to drain more between irrigation events, lower trigger values result in less actual ET as compared to higher trigger values (Fig. 13).</w:t>
      </w:r>
    </w:p>
    <w:p w14:paraId="5C8541AC" w14:textId="5BCAC891" w:rsidR="00E558AF" w:rsidRPr="00E558AF" w:rsidRDefault="00756C99" w:rsidP="00E558AF">
      <w:pPr>
        <w:pStyle w:val="BodyText"/>
        <w:ind w:firstLine="0"/>
      </w:pPr>
      <w:r w:rsidRPr="00756C99">
        <w:lastRenderedPageBreak/>
        <w:drawing>
          <wp:inline distT="0" distB="0" distL="0" distR="0" wp14:anchorId="0D7D3D6B" wp14:editId="18A9E413">
            <wp:extent cx="5238095" cy="50857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5085714"/>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used to estimate agricultural water use for systems where information about NIWR, surface water and groundwater use is not available, or it can be used to simulate the impacts of </w:t>
      </w:r>
      <w:r w:rsidR="00750487">
        <w:lastRenderedPageBreak/>
        <w:t xml:space="preserve">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w:t>
      </w:r>
      <w:r w:rsidR="00223323">
        <w:lastRenderedPageBreak/>
        <w:t xml:space="preserve">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6"/>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example problems, this paper demonstrates the software’s 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lastRenderedPageBreak/>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7"/>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lastRenderedPageBreak/>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lastRenderedPageBreak/>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lastRenderedPageBreak/>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0036FE1" w:rsidR="001E2ABC" w:rsidRDefault="00537F4B" w:rsidP="003A7530">
      <w:pPr>
        <w:pStyle w:val="Reference"/>
      </w:pPr>
      <w:r w:rsidRPr="00537F4B">
        <w:t>Langevin, C. D., Hughes, J. D., Banta, E. R., Niswonger, R. G., Panday, S., &amp; Provost, A. M. (2017). Documentation for the MODFLOW 6 Groundwater Flow Model (No. 6-A55). US Geological Survey.</w:t>
      </w: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2201E0" w:rsidRDefault="002201E0">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2201E0" w:rsidRDefault="002201E0">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74F6" w14:textId="77777777" w:rsidR="00507D35" w:rsidRDefault="00507D35">
      <w:pPr>
        <w:spacing w:line="240" w:lineRule="auto"/>
      </w:pPr>
      <w:r>
        <w:separator/>
      </w:r>
    </w:p>
  </w:endnote>
  <w:endnote w:type="continuationSeparator" w:id="0">
    <w:p w14:paraId="60D99424" w14:textId="77777777" w:rsidR="00507D35" w:rsidRDefault="00507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2201E0" w:rsidRPr="004126AC" w:rsidRDefault="002201E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2201E0" w:rsidRDefault="00220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DE778" w14:textId="77777777" w:rsidR="00507D35" w:rsidRDefault="00507D35">
      <w:pPr>
        <w:spacing w:line="240" w:lineRule="auto"/>
      </w:pPr>
      <w:r>
        <w:separator/>
      </w:r>
    </w:p>
  </w:footnote>
  <w:footnote w:type="continuationSeparator" w:id="0">
    <w:p w14:paraId="23A8B484" w14:textId="77777777" w:rsidR="00507D35" w:rsidRDefault="00507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6462"/>
    <w:rsid w:val="000D0B9D"/>
    <w:rsid w:val="000D165B"/>
    <w:rsid w:val="000D17EF"/>
    <w:rsid w:val="000D4D35"/>
    <w:rsid w:val="000E046F"/>
    <w:rsid w:val="000E07DD"/>
    <w:rsid w:val="000E1775"/>
    <w:rsid w:val="000E32FC"/>
    <w:rsid w:val="000E40EE"/>
    <w:rsid w:val="000E61A9"/>
    <w:rsid w:val="000E7638"/>
    <w:rsid w:val="000E7AD2"/>
    <w:rsid w:val="000F01D5"/>
    <w:rsid w:val="000F3138"/>
    <w:rsid w:val="000F56F9"/>
    <w:rsid w:val="000F665B"/>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464"/>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140C"/>
    <w:rsid w:val="003235D1"/>
    <w:rsid w:val="00327F52"/>
    <w:rsid w:val="003323AB"/>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15D7"/>
    <w:rsid w:val="004E1C51"/>
    <w:rsid w:val="004E4746"/>
    <w:rsid w:val="004E4B63"/>
    <w:rsid w:val="004E5B36"/>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07D35"/>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37F4B"/>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19B"/>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E7328"/>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4AF8"/>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AE1"/>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C005AF"/>
    <w:rsid w:val="00C00DF6"/>
    <w:rsid w:val="00C017AA"/>
    <w:rsid w:val="00C043C9"/>
    <w:rsid w:val="00C04FD1"/>
    <w:rsid w:val="00C058EE"/>
    <w:rsid w:val="00C0618D"/>
    <w:rsid w:val="00C1449A"/>
    <w:rsid w:val="00C16A13"/>
    <w:rsid w:val="00C17262"/>
    <w:rsid w:val="00C21525"/>
    <w:rsid w:val="00C21FBD"/>
    <w:rsid w:val="00C22EFA"/>
    <w:rsid w:val="00C2359E"/>
    <w:rsid w:val="00C2483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2431"/>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54F2"/>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2E6E"/>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2DDC"/>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2B52D-FFF5-49DE-8774-D7D557EC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46507</TotalTime>
  <Pages>39</Pages>
  <Words>7139</Words>
  <Characters>40695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238</cp:revision>
  <cp:lastPrinted>2017-08-01T14:27:00Z</cp:lastPrinted>
  <dcterms:created xsi:type="dcterms:W3CDTF">2018-09-12T20:59:00Z</dcterms:created>
  <dcterms:modified xsi:type="dcterms:W3CDTF">2019-03-19T22:47:00Z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