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7956B58E" w:rsidR="006721B8" w:rsidRPr="006721B8" w:rsidRDefault="007517B6" w:rsidP="00040549">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0"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0"/>
    </w:p>
    <w:p w14:paraId="11E63F80" w14:textId="40AA6418" w:rsidR="002F449F" w:rsidRDefault="008A59FA" w:rsidP="00D64CA5">
      <w:pPr>
        <w:pStyle w:val="BodyText"/>
        <w:rPr>
          <w:color w:val="222222"/>
          <w:shd w:val="clear" w:color="auto" w:fill="FFFFFF"/>
        </w:rPr>
      </w:pPr>
      <w:r>
        <w:rPr>
          <w:color w:val="222222"/>
          <w:shd w:val="clear" w:color="auto" w:fill="FFFFFF"/>
        </w:rPr>
        <w:t>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w:t>
      </w:r>
      <w:r w:rsidR="00597988">
        <w:rPr>
          <w:color w:val="222222"/>
          <w:shd w:val="clear" w:color="auto" w:fill="FFFFFF"/>
        </w:rPr>
        <w:t xml:space="preserve"> or available water</w:t>
      </w:r>
      <w:r>
        <w:rPr>
          <w:color w:val="222222"/>
          <w:shd w:val="clear" w:color="auto" w:fill="FFFFFF"/>
        </w:rPr>
        <w:t xml:space="preserve">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lastRenderedPageBreak/>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The Agricultural Water Use 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Mbytes </w:t>
      </w:r>
      <w:r w:rsidR="002F449F">
        <w:t>; for data: form of repository (database, files, spreadsheet), size of archive, access form.</w:t>
      </w:r>
    </w:p>
    <w:p w14:paraId="41295453" w14:textId="77777777" w:rsidR="0074410A" w:rsidRDefault="0074410A" w:rsidP="00F85071">
      <w:pPr>
        <w:pStyle w:val="Heading1"/>
        <w:autoSpaceDE w:val="0"/>
      </w:pPr>
      <w:bookmarkStart w:id="1" w:name="_Toc488393760"/>
      <w:r>
        <w:t>Introduction</w:t>
      </w:r>
      <w:bookmarkEnd w:id="1"/>
    </w:p>
    <w:p w14:paraId="49775A0B" w14:textId="77777777"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078038B5"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xml:space="preserve">, </w:t>
      </w:r>
      <w:r w:rsidR="00DF38FD">
        <w:lastRenderedPageBreak/>
        <w:t>including distributed energy and water consumption by plants</w:t>
      </w:r>
      <w:r w:rsidR="006236EB">
        <w:t xml:space="preserve"> (</w:t>
      </w:r>
      <w:proofErr w:type="spellStart"/>
      <w:r w:rsidR="006236EB">
        <w:t>Markstrom</w:t>
      </w:r>
      <w:proofErr w:type="spellEnd"/>
      <w:r w:rsidR="006236EB">
        <w:t xml:space="preserve"> et al., 2008)</w:t>
      </w:r>
      <w:r w:rsidR="00DF38FD">
        <w:t>.</w:t>
      </w:r>
      <w:r w:rsidR="008D00FD">
        <w:t xml:space="preserve"> GSFLOW can simulate partitioning of precipitation into snowpack, runoff, ET, and groundwater flow using energy and water balance approaches (</w:t>
      </w:r>
      <w:proofErr w:type="spellStart"/>
      <w:r w:rsidR="008D00FD">
        <w:t>Markstrom</w:t>
      </w:r>
      <w:proofErr w:type="spellEnd"/>
      <w:r w:rsidR="008D00FD">
        <w:t xml:space="preserve"> et al., 2008).</w:t>
      </w:r>
    </w:p>
    <w:p w14:paraId="1DD0CECE" w14:textId="77777777"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proofErr w:type="spellStart"/>
      <w:r w:rsidR="00E64F5E" w:rsidRPr="00E64F5E">
        <w:t>Essaid</w:t>
      </w:r>
      <w:proofErr w:type="spellEnd"/>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r w:rsidR="00932DF0">
        <w:t>net irrigation water requirement (</w:t>
      </w:r>
      <w:r w:rsidR="00355AA9">
        <w:t>NIWR</w:t>
      </w:r>
      <w:r w:rsidR="00932DF0">
        <w:t>)</w:t>
      </w:r>
      <w:r w:rsidR="00924D09">
        <w:t xml:space="preserve"> </w:t>
      </w:r>
      <w:r w:rsidR="005D0A46">
        <w:t>is</w:t>
      </w:r>
      <w:r w:rsidR="00425145">
        <w:t xml:space="preserve"> 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690FCA4D"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energy and soil-water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evolving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pumping (e.g., </w:t>
      </w:r>
      <w:r w:rsidR="00D3495C" w:rsidRPr="00D3495C">
        <w:t>Huntington</w:t>
      </w:r>
      <w:r w:rsidR="00D3495C">
        <w:t xml:space="preserve"> et al., </w:t>
      </w:r>
      <w:r w:rsidR="00D3495C" w:rsidRPr="00D3495C">
        <w:t>2017).</w:t>
      </w:r>
    </w:p>
    <w:p w14:paraId="56CA5AC6" w14:textId="7EA5F805"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w:t>
      </w:r>
      <w:r w:rsidR="00D7218A">
        <w:lastRenderedPageBreak/>
        <w:t>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4492CCD6"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180E2408"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w:t>
      </w:r>
      <w:r w:rsidR="00EE49BD">
        <w:t>UZF</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w:t>
      </w:r>
      <w:r w:rsidR="00E1677D">
        <w:lastRenderedPageBreak/>
        <w:t>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w:t>
      </w:r>
      <w:r w:rsidR="009F0064">
        <w:t>et al.,</w:t>
      </w:r>
      <w:r w:rsidR="00D43273">
        <w:t xml:space="preserve"> 2008)</w:t>
      </w:r>
      <w:r w:rsidR="001D10F5">
        <w:t>. Surface water and groundwater return flow is routed to receiving water bodies or aquifer</w:t>
      </w:r>
      <w:r w:rsidR="00B60F04">
        <w:t>s</w:t>
      </w:r>
      <w:r w:rsidR="005634C5">
        <w:t xml:space="preserve">. </w:t>
      </w:r>
    </w:p>
    <w:p w14:paraId="74FECFFF" w14:textId="316194F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6A35335D"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 </w:t>
      </w:r>
      <w:r w:rsidR="00434F73">
        <w:t>Previously p</w:t>
      </w:r>
      <w:r w:rsidR="00FE4384">
        <w:t>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w:t>
      </w:r>
      <w:r w:rsidR="00B530FC">
        <w:lastRenderedPageBreak/>
        <w:t xml:space="preserve">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w:t>
      </w:r>
      <w:r w:rsidR="009F0064">
        <w:t>et al.,</w:t>
      </w:r>
      <w:r w:rsidR="00B530FC">
        <w:t xml:space="preserve"> 2008; Niswonger </w:t>
      </w:r>
      <w:r w:rsidR="009F0064">
        <w:t>et al.,</w:t>
      </w:r>
      <w:r w:rsidR="00B530FC">
        <w:t xml:space="preserve"> 2011).</w:t>
      </w:r>
    </w:p>
    <w:p w14:paraId="5E854644" w14:textId="4815E911" w:rsidR="00FD07C1" w:rsidRDefault="00FD07C1" w:rsidP="00190617">
      <w:pPr>
        <w:pStyle w:val="Heading1"/>
        <w:autoSpaceDE w:val="0"/>
      </w:pPr>
      <w:r>
        <w:t>Methods</w:t>
      </w:r>
    </w:p>
    <w:p w14:paraId="530BD15A" w14:textId="6EFC02C7" w:rsidR="00FD07C1" w:rsidRDefault="00190617" w:rsidP="00401D0C">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5ADCDB8B" w14:textId="42D1C277" w:rsidR="0014150E" w:rsidRDefault="00ED0169" w:rsidP="00401D0C">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 xml:space="preserve">applied to </w:t>
      </w:r>
      <w:r w:rsidR="00EE49BD">
        <w:t>UZF</w:t>
      </w:r>
      <w:r w:rsidR="00CF6B50">
        <w:t xml:space="preserve"> cells or PRMS HRUs</w:t>
      </w:r>
      <w:r w:rsidR="00074804">
        <w:t>, and</w:t>
      </w:r>
      <w:r w:rsidR="00CF6B50">
        <w:t xml:space="preserve"> ET </w:t>
      </w:r>
      <w:r w:rsidR="00F55847">
        <w:t>can be</w:t>
      </w:r>
      <w:r w:rsidR="0014150E">
        <w:t xml:space="preserve"> simulated by </w:t>
      </w:r>
      <w:r w:rsidR="00EE49BD">
        <w:t>UZF</w:t>
      </w:r>
      <w:r w:rsidR="0014150E">
        <w:t xml:space="preserve">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A83D3F"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r w:rsidR="006F0497">
        <w:lastRenderedPageBreak/>
        <w:t>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A83D3F"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04B56B27"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 soils</w:t>
      </w:r>
      <w:r w:rsidR="00FE23A7">
        <w:t>.</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2B33313B" w14:textId="05FB74B5"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w:t>
      </w:r>
      <w:r w:rsidR="00530F61">
        <w:lastRenderedPageBreak/>
        <w:t xml:space="preserve">return flows can occur during delivery and </w:t>
      </w:r>
      <w:r w:rsidR="009328FC">
        <w:t>on farm</w:t>
      </w:r>
      <w:r w:rsidR="00530F61">
        <w:t>.</w:t>
      </w:r>
      <w:r w:rsidR="00FE23A7">
        <w:t xml:space="preserve"> Groundwater return flows are simulated.</w:t>
      </w:r>
    </w:p>
    <w:p w14:paraId="2863C665" w14:textId="6CB80DC1"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64A84B53" w:rsidR="00AB3265" w:rsidRDefault="00A83D3F"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 or by the PRMS </w:t>
      </w:r>
      <w:proofErr w:type="spellStart"/>
      <w:r w:rsidR="00CD15CE">
        <w:t>Soilzone</w:t>
      </w:r>
      <w:proofErr w:type="spellEnd"/>
      <w:r w:rsidR="00CD15CE">
        <w:t xml:space="preserve"> Module using a kinematic</w:t>
      </w:r>
      <w:r w:rsidR="005676D3">
        <w:t>-</w:t>
      </w:r>
      <w:r w:rsidR="00CD15CE">
        <w:t>wave formulation or nonlinear soil-water reservoir approach, respectively (</w:t>
      </w:r>
      <w:proofErr w:type="spellStart"/>
      <w:r w:rsidR="00CD15CE">
        <w:t>Markstrom</w:t>
      </w:r>
      <w:proofErr w:type="spellEnd"/>
      <w:r w:rsidR="00CD15CE">
        <w:t xml:space="preserve"> </w:t>
      </w:r>
      <w:r w:rsidR="009F0064">
        <w:t>et al.,</w:t>
      </w:r>
      <w:r w:rsidR="00CD15CE">
        <w:t xml:space="preserve"> 2008). </w:t>
      </w:r>
    </w:p>
    <w:p w14:paraId="419FBB2C" w14:textId="4C9AC6E1" w:rsidR="003D5AA7" w:rsidRDefault="00AB3265" w:rsidP="00BF7D22">
      <w:pPr>
        <w:pStyle w:val="BodyText"/>
      </w:pPr>
      <w:r>
        <w:lastRenderedPageBreak/>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00460605">
        <w:t xml:space="preserve"> for GSFLOW</w:t>
      </w:r>
      <w:r w:rsidRPr="00AB3265">
        <w:t xml:space="preserve"> </w:t>
      </w:r>
      <w:r>
        <w:t>was added to support the AG Package</w:t>
      </w:r>
      <w:r w:rsidR="0021291F">
        <w:t xml:space="preserve"> that uses</w:t>
      </w:r>
      <w:r>
        <w:t xml:space="preserve"> a</w:t>
      </w:r>
      <w:r w:rsidRPr="00AB3265">
        <w:t xml:space="preserve"> pressure gradient approach.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p w14:paraId="08A1CCD2" w14:textId="046FD6ED" w:rsidR="003D5AA7" w:rsidRDefault="00A83D3F"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w:t>
      </w:r>
      <w:r w:rsidR="00EB2927">
        <w:t>4</w:t>
      </w:r>
      <w:r w:rsidR="00F306C4">
        <w:t>)</w:t>
      </w:r>
    </w:p>
    <w:p w14:paraId="1FF1BE34" w14:textId="5DE16187"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5B6CD0C3"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EB2927">
        <w:t>5</w:t>
      </w:r>
      <w:r w:rsidR="00A074C6">
        <w:t>)</w:t>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7FFDE87F"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A83D3F"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A83D3F"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EB2927">
        <w:t>8</w:t>
      </w:r>
      <w:r w:rsidR="00735C7E">
        <w:t>)</w:t>
      </w:r>
    </w:p>
    <w:p w14:paraId="154CD192" w14:textId="48F24E9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A83D3F"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A83D3F"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A83D3F"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A83D3F"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5C7F0CEE" w:rsidR="000E32FC" w:rsidRDefault="00A83D3F"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4E0082">
        <w:t>Equation 1</w:t>
      </w:r>
      <w:r w:rsidR="00040549">
        <w:t>4</w:t>
      </w:r>
      <w:r w:rsidR="004E0082">
        <w:t xml:space="preserve"> is modified such that</w:t>
      </w:r>
      <w:r w:rsidR="00D8343E">
        <w:t>:</w:t>
      </w:r>
    </w:p>
    <w:p w14:paraId="3AC793A8" w14:textId="0E5D021D" w:rsidR="00D8343E" w:rsidRDefault="00A83D3F"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lastRenderedPageBreak/>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9981AF7" w:rsidR="008A46C5" w:rsidRPr="00CD6155" w:rsidRDefault="00A83D3F"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1FEC4CA0"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A83D3F"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074494E6"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w:t>
      </w:r>
      <w:r w:rsidR="00040549">
        <w:t>5</w:t>
      </w:r>
      <w:r w:rsidR="00D8343E">
        <w:t xml:space="preserve"> and 1</w:t>
      </w:r>
      <w:r w:rsidR="00040549">
        <w:t>6</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A83D3F"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A83D3F"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ET is simulated using energy and water balance formulations, and water is explicitly diverted and/or </w:t>
      </w:r>
      <w:r w:rsidR="00B54742">
        <w:lastRenderedPageBreak/>
        <w:t>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2"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11F21D5E" w:rsidR="00973640" w:rsidRDefault="008715A9" w:rsidP="008715A9">
      <w:pPr>
        <w:pStyle w:val="BodyText"/>
        <w:ind w:firstLine="0"/>
      </w:pPr>
      <w:r w:rsidRPr="008715A9">
        <w:rPr>
          <w:noProof/>
        </w:rPr>
        <w:lastRenderedPageBreak/>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1610"/>
                    </a:xfrm>
                    <a:prstGeom prst="rect">
                      <a:avLst/>
                    </a:prstGeom>
                  </pic:spPr>
                </pic:pic>
              </a:graphicData>
            </a:graphic>
          </wp:inline>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2"/>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7E742F8"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r w:rsidR="008148C3">
        <w:t xml:space="preserve">A total of 3,440 acres are irrigated for agriculture in </w:t>
      </w:r>
      <w:r w:rsidR="004411F4">
        <w:t xml:space="preserve">the </w:t>
      </w:r>
      <w:r w:rsidR="008148C3">
        <w:t xml:space="preserve">central part of </w:t>
      </w:r>
      <w:r w:rsidR="008148C3">
        <w:lastRenderedPageBreak/>
        <w:t>the basin; irrigation water is diverted from the Green River and pumped from the shallow aquifer beneath the fields.</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1DF77D0F"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 xml:space="preserve">of the tributary streams and river.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7827FF">
        <w:t>, and user are referred to the input files for this problem that accompany this work</w:t>
      </w:r>
      <w:r w:rsidR="00E504B1">
        <w:t xml:space="preserve">. </w:t>
      </w:r>
    </w:p>
    <w:p w14:paraId="42A02105" w14:textId="28A92616"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6F1AAB95"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5A0F3539"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r>
        <w:t>These constraints on the surface water diversions for irrigation were specified using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430E2631"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r w:rsidR="00D01318">
        <w:t>M</w:t>
      </w:r>
      <w:r w:rsidR="007F472C">
        <w:t>aximum surface water diversions rates were set within the SFR Package time series input files to control the timing of diversions to allow 7 days of irrigation and 7 days without irrigation from April 1 to September 30, and a maximum rate of 55 ft</w:t>
      </w:r>
      <w:r w:rsidR="007F472C">
        <w:rPr>
          <w:vertAlign w:val="superscript"/>
        </w:rPr>
        <w:t>3</w:t>
      </w:r>
      <w:r w:rsidR="007F472C">
        <w:t xml:space="preserve">/s </w:t>
      </w:r>
      <w:r w:rsidR="00D01318">
        <w:t>that could</w:t>
      </w:r>
      <w:r w:rsidR="007F472C">
        <w:t xml:space="preserve"> be diverted from the stream for irrigation (Fig. 4).</w:t>
      </w:r>
      <w:r w:rsidR="006245CA">
        <w:t xml:space="preserve"> Soil and crop properties for EP1a are like the fine-textured soil shown in Table 1. </w:t>
      </w:r>
    </w:p>
    <w:p w14:paraId="355260E1" w14:textId="1479A327"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drought conditions </w:t>
      </w:r>
      <w:r w:rsidR="00061AC9">
        <w:t xml:space="preserve">due to surface water supply constraints </w:t>
      </w:r>
      <w:r w:rsidR="009E60B7">
        <w:t xml:space="preserve">(Fig. 6). </w:t>
      </w:r>
      <w:bookmarkStart w:id="3" w:name="_GoBack"/>
      <w:bookmarkEnd w:id="3"/>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r w:rsidR="00A50B31">
        <w:t xml:space="preserve"> For this reason, average annual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A50B31">
        <w:t xml:space="preserve"> for the high and low inflow hydrographs are 2.2 and 2.1 acre-feet per acre, respectively, whereas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A50B31">
        <w:t xml:space="preserve"> is 2.6 feet.</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4E5062DB" w:rsidR="00A91F70" w:rsidRDefault="00BC2457" w:rsidP="00614310">
      <w:pPr>
        <w:pStyle w:val="BodyText"/>
        <w:ind w:firstLine="0"/>
      </w:pPr>
      <w:r w:rsidRPr="00BC2457">
        <w:rPr>
          <w:noProof/>
        </w:rPr>
        <w:lastRenderedPageBreak/>
        <w:drawing>
          <wp:inline distT="0" distB="0" distL="0" distR="0" wp14:anchorId="7CED446C" wp14:editId="1CD17B11">
            <wp:extent cx="5943600" cy="578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80405"/>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5B1425AB"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w:t>
      </w:r>
      <w:r w:rsidR="0082529E">
        <w:t xml:space="preserve">solely </w:t>
      </w:r>
      <w:r>
        <w:t>by the ET deficit</w:t>
      </w:r>
      <w:r w:rsidR="00902EB3">
        <w:t xml:space="preserve">. The coarse </w:t>
      </w:r>
      <w:r w:rsidR="00902EB3">
        <w:lastRenderedPageBreak/>
        <w:t xml:space="preserve">soil requires irrigation earlier during the growing season relative to the fine soil </w:t>
      </w:r>
      <w:r w:rsidR="0086676E">
        <w:t>caused by</w:t>
      </w:r>
      <w:r w:rsidR="00902EB3">
        <w:t xml:space="preserv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86676E">
        <w:t xml:space="preserve">the </w:t>
      </w:r>
      <w:r w:rsidR="00A038C5">
        <w:t xml:space="preserve">coarse soil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2.6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77777777" w:rsidR="00C34D16" w:rsidRPr="000D0680" w:rsidRDefault="00C34D16" w:rsidP="003F2FD5">
            <w:pPr>
              <w:pStyle w:val="TableCellBody"/>
            </w:pPr>
            <w:r>
              <w:t>Vertical hydraulic conductivity of the unsaturated zone (feet per day)</w:t>
            </w:r>
          </w:p>
        </w:tc>
        <w:tc>
          <w:tcPr>
            <w:tcW w:w="1260" w:type="dxa"/>
          </w:tcPr>
          <w:p w14:paraId="3169D92F" w14:textId="0929DBC4" w:rsidR="00C34D16" w:rsidRPr="000D0680" w:rsidRDefault="00C34D16" w:rsidP="003F2FD5">
            <w:pPr>
              <w:pStyle w:val="TableCellDecAlign"/>
              <w:jc w:val="center"/>
            </w:pPr>
            <w:r>
              <w:t>8.6</w:t>
            </w:r>
          </w:p>
        </w:tc>
        <w:tc>
          <w:tcPr>
            <w:tcW w:w="2160" w:type="dxa"/>
          </w:tcPr>
          <w:p w14:paraId="44BDA6CE" w14:textId="33881A54" w:rsidR="00C34D16" w:rsidRDefault="00C34D16" w:rsidP="003F2FD5">
            <w:pPr>
              <w:pStyle w:val="TableCellDecAlign"/>
              <w:jc w:val="center"/>
            </w:pPr>
            <w:r>
              <w:t>4</w:t>
            </w:r>
          </w:p>
        </w:tc>
      </w:tr>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0520"/>
                    </a:xfrm>
                    <a:prstGeom prst="rect">
                      <a:avLst/>
                    </a:prstGeom>
                  </pic:spPr>
                </pic:pic>
              </a:graphicData>
            </a:graphic>
          </wp:inline>
        </w:drawing>
      </w:r>
    </w:p>
    <w:p w14:paraId="1A3FB448" w14:textId="1132BE30" w:rsidR="00A278E3" w:rsidRDefault="006C3746" w:rsidP="006368EF">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4" w:name="_Toc488393775"/>
      <w:bookmarkStart w:id="5" w:name="_Toc59000064"/>
    </w:p>
    <w:p w14:paraId="305402C9" w14:textId="3172582C" w:rsidR="00BE6563" w:rsidRDefault="00BE6563" w:rsidP="00BE6563">
      <w:pPr>
        <w:pStyle w:val="Heading2"/>
      </w:pPr>
      <w:r>
        <w:t>Example Problem 2a</w:t>
      </w:r>
    </w:p>
    <w:p w14:paraId="3F2AD2F8" w14:textId="4F90BD8D"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the period 1991-1993 is 0.</w:t>
      </w:r>
      <w:r w:rsidR="00D85BC9">
        <w:t>88</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D85BC9">
        <w:t>6</w:t>
      </w:r>
      <w:r w:rsidR="007567D5">
        <w:t>1</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327D876F"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lastRenderedPageBreak/>
        <w:t xml:space="preserve">providing guidance on irrigation schedules, </w:t>
      </w:r>
      <w:r w:rsidR="006D6235">
        <w:t>setting lower bounds on NIWR</w:t>
      </w:r>
      <w:r w:rsidR="00C17E1A">
        <w:t>,</w:t>
      </w:r>
      <w:r w:rsidR="006D6235">
        <w:t xml:space="preserve">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r w:rsidR="003A2A2C">
        <w:t>Additionally, irrigation constraints can be superimposed onto EP2a to more closely mimic real-world conditions using SFR diversions and AG well time series input files</w:t>
      </w:r>
      <w:r w:rsidR="00445911">
        <w:t xml:space="preserve"> as with EP1a</w:t>
      </w:r>
      <w:r w:rsidR="003A2A2C">
        <w:t>.</w:t>
      </w:r>
    </w:p>
    <w:p w14:paraId="0AAD4E67" w14:textId="24D261E6"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was 83, 97, and 84 percent of the crop water demand during these years</w:t>
      </w:r>
      <w:r w:rsidR="00B63E47">
        <w:t xml:space="preserve"> </w:t>
      </w:r>
      <w:r w:rsidR="00051D83">
        <w:t xml:space="preserve">(Fig. </w:t>
      </w:r>
      <w:r w:rsidR="004E2D86">
        <w:t>9</w:t>
      </w:r>
      <w:r w:rsidR="00051D83">
        <w:t>)</w:t>
      </w:r>
      <w:r w:rsidR="007838F8">
        <w:t>.</w:t>
      </w:r>
      <w:r w:rsidR="004308A9">
        <w:t xml:space="preserve"> </w:t>
      </w:r>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62CC4B9C" w:rsidR="00CB0BE3" w:rsidRDefault="006009C3" w:rsidP="000251AE">
      <w:pPr>
        <w:pStyle w:val="Heading1"/>
        <w:numPr>
          <w:ilvl w:val="0"/>
          <w:numId w:val="0"/>
        </w:numPr>
        <w:autoSpaceDE w:val="0"/>
        <w:ind w:left="432" w:hanging="432"/>
      </w:pPr>
      <w:r w:rsidRPr="006009C3">
        <w:rPr>
          <w:noProof/>
        </w:rPr>
        <w:lastRenderedPageBreak/>
        <w:drawing>
          <wp:inline distT="0" distB="0" distL="0" distR="0" wp14:anchorId="527D8B6B" wp14:editId="5EB148D6">
            <wp:extent cx="5943600" cy="586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9940"/>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2C6662B4" w:rsidR="007C0DB7" w:rsidRDefault="00C8128A" w:rsidP="00761D66">
      <w:pPr>
        <w:pStyle w:val="BodyText"/>
      </w:pPr>
      <w:r>
        <w:t xml:space="preserve">Example problem 2b is identical to EP2a, except that </w:t>
      </w:r>
      <w:r w:rsidR="008E0B54">
        <w:t>the TRIGGER option is used</w:t>
      </w:r>
      <w:r>
        <w:t xml:space="preserve">, and the seasonal crop coefficients were set as shown in Figure </w:t>
      </w:r>
      <w:r w:rsidR="001B256B">
        <w:t>8</w:t>
      </w:r>
      <w:r>
        <w:t xml:space="preserve"> as 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curve. </w:t>
      </w:r>
      <w:r w:rsidR="00761D66">
        <w:t xml:space="preserve">EP2b </w:t>
      </w:r>
      <w:r w:rsidR="00761D66">
        <w:lastRenderedPageBreak/>
        <w:t xml:space="preserve">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16CD884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1B256B">
        <w:t>10</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1B256B">
        <w:t>10b</w:t>
      </w:r>
      <w:r w:rsidR="0019403F">
        <w:t>).</w:t>
      </w:r>
      <w:r w:rsidR="001A2AE3">
        <w:t xml:space="preserve"> The TRIGGER option requires significantly more surface water and groundwater 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12790"/>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453DBB51"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4"/>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S</w:t>
      </w:r>
      <w:r>
        <w:t xml:space="preserve">upport </w:t>
      </w:r>
      <w:r>
        <w:t xml:space="preserve">for the author </w:t>
      </w:r>
      <w:r>
        <w:t xml:space="preserve">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6" w:name="_Toc488393776"/>
      <w:r>
        <w:t>References</w:t>
      </w:r>
      <w:r w:rsidRPr="00DC6924">
        <w:t xml:space="preserve"> Cited</w:t>
      </w:r>
      <w:bookmarkEnd w:id="5"/>
      <w:bookmarkEnd w:id="6"/>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7"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proofErr w:type="spellStart"/>
      <w:r w:rsidRPr="00E64F5E">
        <w:rPr>
          <w:rFonts w:ascii="Times New Roman" w:hAnsi="Times New Roman"/>
          <w:b w:val="0"/>
          <w:sz w:val="24"/>
          <w:szCs w:val="24"/>
        </w:rPr>
        <w:t>Essaid</w:t>
      </w:r>
      <w:proofErr w:type="spellEnd"/>
      <w:r w:rsidRPr="00E64F5E">
        <w:rPr>
          <w:rFonts w:ascii="Times New Roman" w:hAnsi="Times New Roman"/>
          <w:b w:val="0"/>
          <w:sz w:val="24"/>
          <w:szCs w:val="24"/>
        </w:rPr>
        <w:t>,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2"/>
          <w:footerReference w:type="first" r:id="rId23"/>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7"/>
    <w:p w14:paraId="645DB6F6" w14:textId="1EB288C1" w:rsidR="008F614A" w:rsidRDefault="008F614A" w:rsidP="00652A2F">
      <w:pPr>
        <w:pStyle w:val="ISSNISBNDOIBackCover"/>
        <w:ind w:left="0"/>
      </w:pPr>
    </w:p>
    <w:sectPr w:rsidR="008F614A" w:rsidSect="0029519C">
      <w:footerReference w:type="default" r:id="rId24"/>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92678" w14:textId="77777777" w:rsidR="000D7676" w:rsidRDefault="000D7676">
      <w:pPr>
        <w:spacing w:line="240" w:lineRule="auto"/>
      </w:pPr>
      <w:r>
        <w:separator/>
      </w:r>
    </w:p>
  </w:endnote>
  <w:endnote w:type="continuationSeparator" w:id="0">
    <w:p w14:paraId="7E5D00EC" w14:textId="77777777" w:rsidR="000D7676" w:rsidRDefault="000D7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A83D3F" w:rsidRPr="004126AC" w:rsidRDefault="00A83D3F"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A83D3F" w:rsidRDefault="00A83D3F" w:rsidP="00AE5423">
    <w:pPr>
      <w:pStyle w:val="Footer"/>
    </w:pPr>
    <w:r>
      <w:t>AG Package agricultural water use package</w:t>
    </w:r>
  </w:p>
  <w:p w14:paraId="57AA55E1" w14:textId="77777777" w:rsidR="00A83D3F" w:rsidRDefault="00A83D3F" w:rsidP="00AE5423">
    <w:pPr>
      <w:pStyle w:val="Footer"/>
    </w:pPr>
    <w:r>
      <w:t>ET evapotranspiration</w:t>
    </w:r>
  </w:p>
  <w:p w14:paraId="3CAD7786" w14:textId="77777777" w:rsidR="00A83D3F" w:rsidRDefault="00A83D3F" w:rsidP="00AE5423">
    <w:pPr>
      <w:pStyle w:val="Footer"/>
    </w:pPr>
    <w:r>
      <w:t>GIWR gross irrigation water requirement</w:t>
    </w:r>
  </w:p>
  <w:p w14:paraId="65CF20E6" w14:textId="77777777" w:rsidR="00A83D3F" w:rsidRDefault="00A83D3F" w:rsidP="00AE5423">
    <w:pPr>
      <w:pStyle w:val="Footer"/>
    </w:pPr>
    <w:r>
      <w:t>GSFLOW groundwater surface water flow model, integrates MODFLOW and PRMS</w:t>
    </w:r>
  </w:p>
  <w:p w14:paraId="562E13DC" w14:textId="56C68657" w:rsidR="00A83D3F" w:rsidRDefault="00A83D3F" w:rsidP="00AE5423">
    <w:pPr>
      <w:pStyle w:val="Footer"/>
    </w:pPr>
    <w:r>
      <w:t>HRU hydrologic response units</w:t>
    </w:r>
  </w:p>
  <w:p w14:paraId="40BCC5E0" w14:textId="77777777" w:rsidR="00A83D3F" w:rsidRDefault="00A83D3F" w:rsidP="00AE5423">
    <w:pPr>
      <w:pStyle w:val="Footer"/>
    </w:pPr>
    <w:r>
      <w:t>MODFLOW modular groundwater flow model</w:t>
    </w:r>
  </w:p>
  <w:p w14:paraId="24FFEBE2" w14:textId="5E6CDB72" w:rsidR="00A83D3F" w:rsidRDefault="00A83D3F" w:rsidP="00AE5423">
    <w:pPr>
      <w:pStyle w:val="Footer"/>
    </w:pPr>
    <w:r>
      <w:t>MODSIM generalized river basin decision support system and network flow model</w:t>
    </w:r>
  </w:p>
  <w:p w14:paraId="0908F7D9" w14:textId="112B8BBE" w:rsidR="00A83D3F" w:rsidRDefault="00A83D3F" w:rsidP="00AE5423">
    <w:pPr>
      <w:pStyle w:val="Footer"/>
    </w:pPr>
    <w:r>
      <w:t>NIWR net irrigation water requirement</w:t>
    </w:r>
  </w:p>
  <w:p w14:paraId="381902E5" w14:textId="77777777" w:rsidR="00A83D3F" w:rsidRDefault="00A83D3F" w:rsidP="00AE5423">
    <w:pPr>
      <w:pStyle w:val="Footer"/>
    </w:pPr>
    <w:r>
      <w:t>PRMS precipitation runoff modeling system</w:t>
    </w:r>
  </w:p>
  <w:p w14:paraId="3290D479" w14:textId="6E321F3A" w:rsidR="00A83D3F" w:rsidRDefault="00A83D3F" w:rsidP="00AE5423">
    <w:pPr>
      <w:pStyle w:val="Footer"/>
    </w:pPr>
    <w:r>
      <w:t>SFR streamflow routing package for MODFLOW</w:t>
    </w:r>
  </w:p>
  <w:p w14:paraId="57DB31FB" w14:textId="7933F228" w:rsidR="00A83D3F" w:rsidRDefault="00A83D3F" w:rsidP="00AE5423">
    <w:pPr>
      <w:pStyle w:val="Footer"/>
    </w:pPr>
    <w:r>
      <w:t>UZF unsaturated-zone flow package for MODFLOW</w:t>
    </w:r>
  </w:p>
  <w:p w14:paraId="43A37BCD" w14:textId="77777777" w:rsidR="00A83D3F" w:rsidRDefault="00A83D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A83D3F" w:rsidRDefault="00A8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2FFB" w14:textId="77777777" w:rsidR="000D7676" w:rsidRDefault="000D7676">
      <w:pPr>
        <w:spacing w:line="240" w:lineRule="auto"/>
      </w:pPr>
      <w:r>
        <w:separator/>
      </w:r>
    </w:p>
  </w:footnote>
  <w:footnote w:type="continuationSeparator" w:id="0">
    <w:p w14:paraId="6DE1F1D5" w14:textId="77777777" w:rsidR="000D7676" w:rsidRDefault="000D76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549"/>
    <w:rsid w:val="00040B32"/>
    <w:rsid w:val="00041613"/>
    <w:rsid w:val="0004186D"/>
    <w:rsid w:val="000441CF"/>
    <w:rsid w:val="00044557"/>
    <w:rsid w:val="000455B4"/>
    <w:rsid w:val="00045CA8"/>
    <w:rsid w:val="00047108"/>
    <w:rsid w:val="00047468"/>
    <w:rsid w:val="00051039"/>
    <w:rsid w:val="0005130C"/>
    <w:rsid w:val="00051BD8"/>
    <w:rsid w:val="00051D83"/>
    <w:rsid w:val="00052F4C"/>
    <w:rsid w:val="00054BA5"/>
    <w:rsid w:val="000571EC"/>
    <w:rsid w:val="000574ED"/>
    <w:rsid w:val="0006037D"/>
    <w:rsid w:val="000604D0"/>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77DA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4E6B"/>
    <w:rsid w:val="0011042B"/>
    <w:rsid w:val="0011061A"/>
    <w:rsid w:val="00110B5E"/>
    <w:rsid w:val="00111E14"/>
    <w:rsid w:val="00115CCA"/>
    <w:rsid w:val="001166B9"/>
    <w:rsid w:val="001237E0"/>
    <w:rsid w:val="00124133"/>
    <w:rsid w:val="00124690"/>
    <w:rsid w:val="00124C93"/>
    <w:rsid w:val="00130796"/>
    <w:rsid w:val="00130A42"/>
    <w:rsid w:val="0013517D"/>
    <w:rsid w:val="0014150E"/>
    <w:rsid w:val="0014397F"/>
    <w:rsid w:val="00143E7A"/>
    <w:rsid w:val="001455B5"/>
    <w:rsid w:val="00150A40"/>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2AE3"/>
    <w:rsid w:val="001A4432"/>
    <w:rsid w:val="001A4B95"/>
    <w:rsid w:val="001A67DD"/>
    <w:rsid w:val="001B130C"/>
    <w:rsid w:val="001B256B"/>
    <w:rsid w:val="001B3690"/>
    <w:rsid w:val="001B3807"/>
    <w:rsid w:val="001B380D"/>
    <w:rsid w:val="001B391F"/>
    <w:rsid w:val="001B3CD8"/>
    <w:rsid w:val="001B4815"/>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2BED"/>
    <w:rsid w:val="001E4B62"/>
    <w:rsid w:val="001E62D6"/>
    <w:rsid w:val="001F1EB4"/>
    <w:rsid w:val="001F423D"/>
    <w:rsid w:val="001F72F2"/>
    <w:rsid w:val="001F7B67"/>
    <w:rsid w:val="002057A2"/>
    <w:rsid w:val="00206438"/>
    <w:rsid w:val="00206536"/>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011A"/>
    <w:rsid w:val="00271408"/>
    <w:rsid w:val="00275524"/>
    <w:rsid w:val="00276100"/>
    <w:rsid w:val="0028159F"/>
    <w:rsid w:val="00283214"/>
    <w:rsid w:val="002834EA"/>
    <w:rsid w:val="0028489F"/>
    <w:rsid w:val="00285F06"/>
    <w:rsid w:val="0028639D"/>
    <w:rsid w:val="0028641E"/>
    <w:rsid w:val="00286C7F"/>
    <w:rsid w:val="0029519C"/>
    <w:rsid w:val="002951A4"/>
    <w:rsid w:val="002965A9"/>
    <w:rsid w:val="0029676D"/>
    <w:rsid w:val="00296940"/>
    <w:rsid w:val="00296CFE"/>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17FB"/>
    <w:rsid w:val="002E3CE0"/>
    <w:rsid w:val="002E4552"/>
    <w:rsid w:val="002E465C"/>
    <w:rsid w:val="002E68C6"/>
    <w:rsid w:val="002E6D53"/>
    <w:rsid w:val="002E7290"/>
    <w:rsid w:val="002E79B7"/>
    <w:rsid w:val="002F0440"/>
    <w:rsid w:val="002F0E1C"/>
    <w:rsid w:val="002F0F67"/>
    <w:rsid w:val="002F449F"/>
    <w:rsid w:val="002F55AD"/>
    <w:rsid w:val="002F6278"/>
    <w:rsid w:val="002F6912"/>
    <w:rsid w:val="002F7395"/>
    <w:rsid w:val="002F7BEF"/>
    <w:rsid w:val="00301458"/>
    <w:rsid w:val="00301719"/>
    <w:rsid w:val="003020CC"/>
    <w:rsid w:val="003031BA"/>
    <w:rsid w:val="00303987"/>
    <w:rsid w:val="00303A8D"/>
    <w:rsid w:val="003077B8"/>
    <w:rsid w:val="0031055F"/>
    <w:rsid w:val="00311507"/>
    <w:rsid w:val="00311575"/>
    <w:rsid w:val="00312EB6"/>
    <w:rsid w:val="00314DE5"/>
    <w:rsid w:val="00315A3C"/>
    <w:rsid w:val="00315E15"/>
    <w:rsid w:val="003166D4"/>
    <w:rsid w:val="00317EFC"/>
    <w:rsid w:val="0032140C"/>
    <w:rsid w:val="003235D1"/>
    <w:rsid w:val="00327F52"/>
    <w:rsid w:val="003323AB"/>
    <w:rsid w:val="00334235"/>
    <w:rsid w:val="00344308"/>
    <w:rsid w:val="00345DDF"/>
    <w:rsid w:val="00346645"/>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605"/>
    <w:rsid w:val="00462041"/>
    <w:rsid w:val="004647D8"/>
    <w:rsid w:val="00466F76"/>
    <w:rsid w:val="00467BC1"/>
    <w:rsid w:val="00467C24"/>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0BF"/>
    <w:rsid w:val="00492F58"/>
    <w:rsid w:val="0049378E"/>
    <w:rsid w:val="004945C6"/>
    <w:rsid w:val="00494BB8"/>
    <w:rsid w:val="00497277"/>
    <w:rsid w:val="004A11E3"/>
    <w:rsid w:val="004A120A"/>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3D4D"/>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676D3"/>
    <w:rsid w:val="00572F11"/>
    <w:rsid w:val="0057424A"/>
    <w:rsid w:val="005752FD"/>
    <w:rsid w:val="00575A72"/>
    <w:rsid w:val="00575F30"/>
    <w:rsid w:val="005764EC"/>
    <w:rsid w:val="00576AD1"/>
    <w:rsid w:val="00576B4B"/>
    <w:rsid w:val="00576BF1"/>
    <w:rsid w:val="00584E86"/>
    <w:rsid w:val="00584F2E"/>
    <w:rsid w:val="00585BE4"/>
    <w:rsid w:val="00586812"/>
    <w:rsid w:val="00592989"/>
    <w:rsid w:val="005932FE"/>
    <w:rsid w:val="00595C2C"/>
    <w:rsid w:val="005967D7"/>
    <w:rsid w:val="00596F03"/>
    <w:rsid w:val="00597988"/>
    <w:rsid w:val="005A5650"/>
    <w:rsid w:val="005A5804"/>
    <w:rsid w:val="005A5E9B"/>
    <w:rsid w:val="005A6BDE"/>
    <w:rsid w:val="005B1A6E"/>
    <w:rsid w:val="005B25CA"/>
    <w:rsid w:val="005B2C71"/>
    <w:rsid w:val="005B2D33"/>
    <w:rsid w:val="005B3BDC"/>
    <w:rsid w:val="005B4CBC"/>
    <w:rsid w:val="005B5E24"/>
    <w:rsid w:val="005C2DE4"/>
    <w:rsid w:val="005C58E6"/>
    <w:rsid w:val="005C63F0"/>
    <w:rsid w:val="005C69FD"/>
    <w:rsid w:val="005C6A19"/>
    <w:rsid w:val="005D02B3"/>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6C8B"/>
    <w:rsid w:val="006126F0"/>
    <w:rsid w:val="0061353B"/>
    <w:rsid w:val="00614310"/>
    <w:rsid w:val="00614507"/>
    <w:rsid w:val="006213EB"/>
    <w:rsid w:val="006236EB"/>
    <w:rsid w:val="006245CA"/>
    <w:rsid w:val="00624E84"/>
    <w:rsid w:val="00633E8C"/>
    <w:rsid w:val="006368EF"/>
    <w:rsid w:val="00637D64"/>
    <w:rsid w:val="00640D14"/>
    <w:rsid w:val="0064351F"/>
    <w:rsid w:val="006441AC"/>
    <w:rsid w:val="0064697A"/>
    <w:rsid w:val="006471FF"/>
    <w:rsid w:val="00650005"/>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3696"/>
    <w:rsid w:val="0071519B"/>
    <w:rsid w:val="00715F01"/>
    <w:rsid w:val="00716B1E"/>
    <w:rsid w:val="00720E82"/>
    <w:rsid w:val="007225C5"/>
    <w:rsid w:val="00723F2C"/>
    <w:rsid w:val="007247A9"/>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5FF"/>
    <w:rsid w:val="00785F8F"/>
    <w:rsid w:val="00790627"/>
    <w:rsid w:val="007912A0"/>
    <w:rsid w:val="00792B73"/>
    <w:rsid w:val="007940A3"/>
    <w:rsid w:val="007946B5"/>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A95"/>
    <w:rsid w:val="007D0F8A"/>
    <w:rsid w:val="007D32F3"/>
    <w:rsid w:val="007D5EE0"/>
    <w:rsid w:val="007D6416"/>
    <w:rsid w:val="007D67CD"/>
    <w:rsid w:val="007D7F03"/>
    <w:rsid w:val="007E3028"/>
    <w:rsid w:val="007E3EBA"/>
    <w:rsid w:val="007E4318"/>
    <w:rsid w:val="007E4940"/>
    <w:rsid w:val="007E64BA"/>
    <w:rsid w:val="007E7328"/>
    <w:rsid w:val="007F035E"/>
    <w:rsid w:val="007F0D6F"/>
    <w:rsid w:val="007F1D21"/>
    <w:rsid w:val="007F219B"/>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0C60"/>
    <w:rsid w:val="008114CF"/>
    <w:rsid w:val="00811A40"/>
    <w:rsid w:val="00813202"/>
    <w:rsid w:val="008148C3"/>
    <w:rsid w:val="00814AF8"/>
    <w:rsid w:val="0081552B"/>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AE1"/>
    <w:rsid w:val="00856C70"/>
    <w:rsid w:val="008571B6"/>
    <w:rsid w:val="008602C9"/>
    <w:rsid w:val="00862295"/>
    <w:rsid w:val="00862DEE"/>
    <w:rsid w:val="00863ADC"/>
    <w:rsid w:val="00863BD5"/>
    <w:rsid w:val="00864F47"/>
    <w:rsid w:val="0086676E"/>
    <w:rsid w:val="00867687"/>
    <w:rsid w:val="0087062D"/>
    <w:rsid w:val="00870D9D"/>
    <w:rsid w:val="008715A9"/>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41B4"/>
    <w:rsid w:val="008B5467"/>
    <w:rsid w:val="008B7999"/>
    <w:rsid w:val="008C288E"/>
    <w:rsid w:val="008C360E"/>
    <w:rsid w:val="008C36D0"/>
    <w:rsid w:val="008C58A9"/>
    <w:rsid w:val="008C6434"/>
    <w:rsid w:val="008C7E2C"/>
    <w:rsid w:val="008D00FD"/>
    <w:rsid w:val="008D0D10"/>
    <w:rsid w:val="008D2840"/>
    <w:rsid w:val="008D3148"/>
    <w:rsid w:val="008D555C"/>
    <w:rsid w:val="008E0B54"/>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B04"/>
    <w:rsid w:val="00963A6E"/>
    <w:rsid w:val="00972653"/>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DF"/>
    <w:rsid w:val="009B26A3"/>
    <w:rsid w:val="009B4E45"/>
    <w:rsid w:val="009B4F00"/>
    <w:rsid w:val="009C0F72"/>
    <w:rsid w:val="009C2375"/>
    <w:rsid w:val="009C3EF5"/>
    <w:rsid w:val="009D0511"/>
    <w:rsid w:val="009D1B4D"/>
    <w:rsid w:val="009D1C93"/>
    <w:rsid w:val="009D1F95"/>
    <w:rsid w:val="009D3ADC"/>
    <w:rsid w:val="009D68B9"/>
    <w:rsid w:val="009D6E8D"/>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3D3F"/>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6A6A"/>
    <w:rsid w:val="00AC7496"/>
    <w:rsid w:val="00AC7EA0"/>
    <w:rsid w:val="00AD0038"/>
    <w:rsid w:val="00AD1BBE"/>
    <w:rsid w:val="00AD76E3"/>
    <w:rsid w:val="00AD7839"/>
    <w:rsid w:val="00AE08A5"/>
    <w:rsid w:val="00AE2C45"/>
    <w:rsid w:val="00AE3CC7"/>
    <w:rsid w:val="00AE53EC"/>
    <w:rsid w:val="00AE5423"/>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3EA6"/>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2C64"/>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583"/>
    <w:rsid w:val="00CA7738"/>
    <w:rsid w:val="00CB0BE3"/>
    <w:rsid w:val="00CB4047"/>
    <w:rsid w:val="00CB55D9"/>
    <w:rsid w:val="00CB7A2E"/>
    <w:rsid w:val="00CC2CAE"/>
    <w:rsid w:val="00CC51DF"/>
    <w:rsid w:val="00CC5266"/>
    <w:rsid w:val="00CC6CA8"/>
    <w:rsid w:val="00CD0A0E"/>
    <w:rsid w:val="00CD1271"/>
    <w:rsid w:val="00CD15CE"/>
    <w:rsid w:val="00CD2431"/>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1318"/>
    <w:rsid w:val="00D01C7D"/>
    <w:rsid w:val="00D024B9"/>
    <w:rsid w:val="00D0273B"/>
    <w:rsid w:val="00D02BDD"/>
    <w:rsid w:val="00D0307E"/>
    <w:rsid w:val="00D054F2"/>
    <w:rsid w:val="00D0740D"/>
    <w:rsid w:val="00D12861"/>
    <w:rsid w:val="00D13112"/>
    <w:rsid w:val="00D137B4"/>
    <w:rsid w:val="00D14BA7"/>
    <w:rsid w:val="00D15AB7"/>
    <w:rsid w:val="00D15DA6"/>
    <w:rsid w:val="00D17545"/>
    <w:rsid w:val="00D1798E"/>
    <w:rsid w:val="00D21009"/>
    <w:rsid w:val="00D23472"/>
    <w:rsid w:val="00D24677"/>
    <w:rsid w:val="00D24BED"/>
    <w:rsid w:val="00D2581C"/>
    <w:rsid w:val="00D265A9"/>
    <w:rsid w:val="00D27B82"/>
    <w:rsid w:val="00D27FF8"/>
    <w:rsid w:val="00D311AA"/>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7FC5"/>
    <w:rsid w:val="00DA2859"/>
    <w:rsid w:val="00DA2EE2"/>
    <w:rsid w:val="00DA30F1"/>
    <w:rsid w:val="00DA604D"/>
    <w:rsid w:val="00DB259F"/>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A"/>
    <w:rsid w:val="00E95770"/>
    <w:rsid w:val="00E96E1C"/>
    <w:rsid w:val="00EA3B42"/>
    <w:rsid w:val="00EA3D06"/>
    <w:rsid w:val="00EA5EAD"/>
    <w:rsid w:val="00EA696D"/>
    <w:rsid w:val="00EA7A97"/>
    <w:rsid w:val="00EB292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DF6E0-C7A7-435C-8734-430BF3AE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53552</TotalTime>
  <Pages>1</Pages>
  <Words>7660</Words>
  <Characters>43663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364</cp:revision>
  <cp:lastPrinted>2017-08-01T14:27:00Z</cp:lastPrinted>
  <dcterms:created xsi:type="dcterms:W3CDTF">2018-09-12T20:59:00Z</dcterms:created>
  <dcterms:modified xsi:type="dcterms:W3CDTF">2019-03-31T02:24:00Z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