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76C9323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w:t>
      </w:r>
      <w:r w:rsidR="00153734">
        <w:t xml:space="preserve">; </w:t>
      </w:r>
      <w:r w:rsidR="00537F4B" w:rsidRPr="00537F4B">
        <w:t>Langevin</w:t>
      </w:r>
      <w:r w:rsidR="00537F4B">
        <w:t xml:space="preserve"> et al., 2017</w:t>
      </w:r>
      <w:r w:rsidR="005D6C1B">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9AC26EF"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B95BFE">
        <w:t>demands</w:t>
      </w:r>
      <w:r w:rsidR="00924D09">
        <w:t xml:space="preserve"> were specified independent of the</w:t>
      </w:r>
      <w:r w:rsidR="00B95BFE">
        <w:t xml:space="preserve"> integrated model</w:t>
      </w:r>
      <w:r w:rsidR="00924D09">
        <w:t xml:space="preserve"> soil-water deficit</w:t>
      </w:r>
      <w:r w:rsidR="00B95BFE">
        <w:t>s</w:t>
      </w:r>
      <w:r w:rsidR="00924D09">
        <w:t xml:space="preserve">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3BDD02BE"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r w:rsidR="00C2483E">
        <w:t>.</w:t>
      </w:r>
    </w:p>
    <w:p w14:paraId="5A62F271" w14:textId="3C821A6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xml:space="preserve">) and the Unsaturated Flow (UZF1)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and others,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UZF1</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UZF1</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using the UZF1</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0553A532"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 xml:space="preserve">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4A9CF03B"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FE4384">
        <w:t>Published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24A5A1CD" w:rsidR="0014150E" w:rsidRDefault="00ED0169" w:rsidP="00E7244D">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 xml:space="preserve">rrigation water </w:t>
      </w:r>
      <w:r w:rsidR="00CF6B50">
        <w:lastRenderedPageBreak/>
        <w:t>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C517E3"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C517E3"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1612065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On-field surface water return flows will be zero for this option; however, surface water return flows can occur during irrigation water delivery through canals.</w:t>
      </w:r>
      <w:r w:rsidR="00FE23A7">
        <w:t xml:space="preserve"> Groundwater return flows are simulated.</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2B33313B" w14:textId="7040791D"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return flows can occur during delivery and on during on-field application.</w:t>
      </w:r>
      <w:r w:rsidR="00FE23A7">
        <w:t xml:space="preserve"> Groundwater return flows are simulated.</w:t>
      </w:r>
    </w:p>
    <w:p w14:paraId="2863C665" w14:textId="5E596B7A"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w:t>
      </w:r>
      <w:r w:rsidR="006D51B0">
        <w:lastRenderedPageBreak/>
        <w:t xml:space="preserve">groundwater beneath agricultural fields is simulated </w:t>
      </w:r>
      <w:r w:rsidR="00E62DDC">
        <w:t>if the ETDEMAND or TRIGGER options are used</w:t>
      </w:r>
      <w:r w:rsidR="006D51B0">
        <w:t xml:space="preserve">. Groundwater ET is simulated by UZF1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65DF0290" w14:textId="77777777" w:rsidR="00AB3265" w:rsidRDefault="00C517E3"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w:t>
      </w:r>
      <w:r w:rsidR="006658D6">
        <w:t xml:space="preserve"> using </w:t>
      </w:r>
      <w:r w:rsidR="00AB3265">
        <w:t>the input variable PET</w:t>
      </w:r>
      <w:r w:rsidR="00CD15CE">
        <w:t xml:space="preserv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19FBB2C" w14:textId="22258347" w:rsidR="003D5AA7" w:rsidRDefault="00AB3265" w:rsidP="00BF7D22">
      <w:pPr>
        <w:pStyle w:val="BodyText"/>
      </w:pPr>
      <w:r>
        <w:t xml:space="preserve">A new option for simulating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Pr="00AB3265">
        <w:t xml:space="preserve"> in </w:t>
      </w:r>
      <w:r>
        <w:t>the UZF Package</w:t>
      </w:r>
      <w:r w:rsidRPr="00AB3265">
        <w:t xml:space="preserve"> </w:t>
      </w:r>
      <w:r>
        <w:t>was added to support the AG Package</w:t>
      </w:r>
      <w:r w:rsidR="0021291F">
        <w:t xml:space="preserve"> that uses</w:t>
      </w:r>
      <w:r>
        <w:t xml:space="preserve"> a</w:t>
      </w:r>
      <w:r w:rsidRPr="00AB3265">
        <w:t xml:space="preserve"> pressure gradient approach. For this case, the capillary pressures are calculated </w:t>
      </w:r>
      <w:r>
        <w:t>in the crop root zone</w:t>
      </w:r>
      <w:r w:rsidRPr="00AB3265">
        <w:t xml:space="preserve"> using the Brooks-Corey retention function and </w:t>
      </w:r>
      <w:r>
        <w:t xml:space="preserve">2 new </w:t>
      </w:r>
      <w:r w:rsidR="00BF7D22">
        <w:t>UZF input variables</w:t>
      </w:r>
      <w:r>
        <w:t xml:space="preserve">, including the </w:t>
      </w:r>
      <w:r w:rsidRPr="00AB3265">
        <w:t>air entry pressure</w:t>
      </w:r>
      <w:r>
        <w:t xml:space="preserve"> and root pressure (</w:t>
      </w:r>
      <w:proofErr w:type="spellStart"/>
      <w:r w:rsidRPr="00AB3265">
        <w:t>Lappala</w:t>
      </w:r>
      <w:proofErr w:type="spellEnd"/>
      <w:r w:rsidRPr="00AB3265">
        <w:t xml:space="preserve"> and others</w:t>
      </w:r>
      <w:r>
        <w:t xml:space="preserve">, </w:t>
      </w:r>
      <w:r w:rsidRPr="00AB3265">
        <w:t>1987)</w:t>
      </w:r>
      <w:r w:rsidRPr="00AB326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3D5AA7">
        <w:t xml:space="preserve"> is</w:t>
      </w:r>
      <w:r w:rsidRPr="00AB3265">
        <w:t xml:space="preserve"> calculated using</w:t>
      </w:r>
      <w:r w:rsidR="003D5AA7">
        <w:t>:</w:t>
      </w:r>
      <w:r w:rsidRPr="00AB3265">
        <w:t xml:space="preserve"> </w:t>
      </w:r>
      <w:bookmarkStart w:id="4" w:name="_GoBack"/>
      <w:bookmarkEnd w:id="4"/>
    </w:p>
    <w:p w14:paraId="08A1CCD2" w14:textId="5F241615" w:rsidR="003D5AA7" w:rsidRDefault="003D5AA7" w:rsidP="00F306C4">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=K</m:t>
        </m:r>
        <m:d>
          <m:dPr>
            <m:ctrlPr>
              <w:rPr>
                <w:rFonts w:ascii="Cambria Math" w:hAnsi="Cambria Math"/>
                <w:i/>
              </w:rPr>
            </m:ctrlPr>
          </m:dPr>
          <m:e>
            <m:r>
              <w:rPr>
                <w:rFonts w:ascii="Cambria Math" w:hAnsi="Cambria Math"/>
              </w:rPr>
              <m:t>θ</m:t>
            </m:r>
          </m:e>
        </m:d>
        <m:r>
          <w:rPr>
            <w:rFonts w:ascii="Cambria Math" w:hAnsi="Cambria Math"/>
          </w:rPr>
          <m:t>[ψ</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m:t>
        </m:r>
      </m:oMath>
      <w:r w:rsidR="00F306C4">
        <w:tab/>
      </w:r>
      <w:r w:rsidR="00F306C4">
        <w:tab/>
      </w:r>
      <w:r w:rsidR="00F306C4">
        <w:tab/>
      </w:r>
      <w:r w:rsidR="00F306C4">
        <w:tab/>
        <w:t>(1)</w:t>
      </w:r>
    </w:p>
    <w:p w14:paraId="1FF1BE34" w14:textId="1657F530" w:rsidR="00143E7A" w:rsidRDefault="009812D3" w:rsidP="00F306C4">
      <w:pPr>
        <w:pStyle w:val="BodyText"/>
        <w:ind w:firstLine="0"/>
      </w:pPr>
      <w:r w:rsidRPr="00AB3265">
        <w:t>W</w:t>
      </w:r>
      <w:r w:rsidR="00AB3265" w:rsidRPr="00AB3265">
        <w:t>here</w:t>
      </w:r>
      <w:r>
        <w:t xml:space="preserve"> </w:t>
      </w:r>
      <m:oMath>
        <m:r>
          <w:rPr>
            <w:rFonts w:ascii="Cambria Math" w:hAnsi="Cambria Math"/>
          </w:rPr>
          <m:t>K</m:t>
        </m:r>
        <m:d>
          <m:dPr>
            <m:ctrlPr>
              <w:rPr>
                <w:rFonts w:ascii="Cambria Math" w:hAnsi="Cambria Math"/>
                <w:i/>
              </w:rPr>
            </m:ctrlPr>
          </m:dPr>
          <m:e>
            <m:r>
              <w:rPr>
                <w:rFonts w:ascii="Cambria Math" w:hAnsi="Cambria Math"/>
              </w:rPr>
              <m:t>θ</m:t>
            </m:r>
          </m:e>
        </m:d>
      </m:oMath>
      <w:r>
        <w:t xml:space="preserve"> is unsaturated hydraulic conductivity as a function of water content </w:t>
      </w:r>
      <w:r w:rsidR="00F306C4">
        <w:t>(LT</w:t>
      </w:r>
      <w:r w:rsidR="00F306C4">
        <w:rPr>
          <w:vertAlign w:val="superscript"/>
        </w:rPr>
        <w:t>-1</w:t>
      </w:r>
      <w:r w:rsidR="00F306C4">
        <w:t>),</w:t>
      </w:r>
      <w:r w:rsidR="00AB3265" w:rsidRPr="00AB3265">
        <w:t xml:space="preserve"> </w:t>
      </w:r>
      <m:oMath>
        <m:r>
          <w:rPr>
            <w:rFonts w:ascii="Cambria Math" w:hAnsi="Cambria Math"/>
          </w:rPr>
          <m:t>ψ</m:t>
        </m:r>
        <m:d>
          <m:dPr>
            <m:ctrlPr>
              <w:rPr>
                <w:rFonts w:ascii="Cambria Math" w:hAnsi="Cambria Math"/>
                <w:i/>
              </w:rPr>
            </m:ctrlPr>
          </m:dPr>
          <m:e>
            <m:r>
              <w:rPr>
                <w:rFonts w:ascii="Cambria Math" w:hAnsi="Cambria Math"/>
              </w:rPr>
              <m:t>θ</m:t>
            </m:r>
          </m:e>
        </m:d>
      </m:oMath>
      <w:r w:rsidR="00AB3265" w:rsidRPr="00AB3265">
        <w:t xml:space="preserve"> is capillary pressure </w:t>
      </w:r>
      <w:r w:rsidR="00F306C4">
        <w:t xml:space="preserve">as a function of water content </w:t>
      </w:r>
      <w:r w:rsidR="00AB3265" w:rsidRPr="00AB3265">
        <w:t>(L</w:t>
      </w:r>
      <w:r w:rsidR="00F306C4" w:rsidRPr="00AB3265">
        <w:t>)</w:t>
      </w:r>
      <w:r w:rsidR="00F306C4">
        <w:t>,</w:t>
      </w:r>
      <w:r w:rsidR="00F306C4" w:rsidRPr="00AB3265">
        <w:t xml:space="preserve"> and</w:t>
      </w:r>
      <w:r w:rsidR="00AB3265" w:rsidRPr="00AB3265">
        <w:t xml:space="preserve"> </w:t>
      </w:r>
      <m:oMath>
        <m:sSub>
          <m:sSubPr>
            <m:ctrlPr>
              <w:rPr>
                <w:rFonts w:ascii="Cambria Math" w:hAnsi="Cambria Math"/>
                <w:i/>
              </w:rPr>
            </m:ctrlPr>
          </m:sSubPr>
          <m:e>
            <m:r>
              <w:rPr>
                <w:rFonts w:ascii="Cambria Math" w:hAnsi="Cambria Math"/>
              </w:rPr>
              <m:t>h</m:t>
            </m:r>
          </m:e>
          <m:sub>
            <m:r>
              <w:rPr>
                <w:rFonts w:ascii="Cambria Math" w:hAnsi="Cambria Math"/>
              </w:rPr>
              <m:t>root</m:t>
            </m:r>
          </m:sub>
        </m:sSub>
        <m:r>
          <w:rPr>
            <w:rFonts w:ascii="Cambria Math" w:hAnsi="Cambria Math"/>
          </w:rPr>
          <m:t xml:space="preserve"> </m:t>
        </m:r>
      </m:oMath>
      <w:r w:rsidR="00AB3265" w:rsidRPr="00AB3265">
        <w:t xml:space="preserve">is the negative root pressure for </w:t>
      </w:r>
      <w:r w:rsidR="00104E6B">
        <w:t>specified as a depth of water in the UZF Package</w:t>
      </w:r>
      <w:r w:rsidR="00AB3265" w:rsidRPr="00AB3265">
        <w:t xml:space="preserve"> (L).</w:t>
      </w:r>
      <w:r w:rsidR="00F306C4">
        <w:t xml:space="preserve"> </w:t>
      </w:r>
      <w:r w:rsidR="00704BD1">
        <w:t xml:space="preserve">Variables in equation 1 are calculated </w:t>
      </w:r>
      <w:r w:rsidR="00704BD1">
        <w:lastRenderedPageBreak/>
        <w:t xml:space="preserve">using </w:t>
      </w:r>
      <w:r w:rsidR="00F306C4">
        <w:t>Brooks and Corey</w:t>
      </w:r>
      <w:r w:rsidR="00704BD1">
        <w:t xml:space="preserve"> (</w:t>
      </w:r>
      <w:r w:rsidR="00F306C4">
        <w:t>1966)</w:t>
      </w:r>
      <w:r w:rsidR="00704BD1">
        <w:t xml:space="preserve"> unsaturated hydraulic conductivity and capillary pressure functions.</w:t>
      </w:r>
    </w:p>
    <w:p w14:paraId="474193B6" w14:textId="06A89C4A" w:rsidR="00AA4111" w:rsidRDefault="00B80A31" w:rsidP="00B80A31">
      <w:pPr>
        <w:pStyle w:val="Heading2"/>
      </w:pPr>
      <w:r>
        <w:t xml:space="preserve">Irrigation </w:t>
      </w:r>
      <w:r w:rsidR="00EB4F8A">
        <w:t>Systems</w:t>
      </w:r>
    </w:p>
    <w:p w14:paraId="198EDF08" w14:textId="27F3CFDF"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w:t>
      </w:r>
      <w:r w:rsidR="00836FB9">
        <w:t>1</w:t>
      </w:r>
      <w:r w:rsidR="00C043C9">
        <w:t>)</w:t>
      </w:r>
      <w:r w:rsidR="006126F0">
        <w:t>.</w:t>
      </w:r>
      <w:r>
        <w:t xml:space="preserve"> </w:t>
      </w:r>
      <w:r w:rsidR="00391D1B">
        <w:t>For options 1 and 2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w:t>
      </w:r>
      <w:r w:rsidR="00822752">
        <w:lastRenderedPageBreak/>
        <w:t xml:space="preserve">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C517E3"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C517E3"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lastRenderedPageBreak/>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C517E3"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C517E3"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C517E3"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25DE633" w:rsidR="00A074C6" w:rsidRDefault="004E0082" w:rsidP="00A074C6">
      <w:pPr>
        <w:pStyle w:val="BodyText"/>
        <w:ind w:firstLine="0"/>
      </w:pPr>
      <w:r>
        <w:lastRenderedPageBreak/>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C517E3"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C517E3"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26601AD1"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4E0082">
        <w:t xml:space="preserve"> (L)</w:t>
      </w:r>
      <w:r>
        <w:t>,</w:t>
      </w:r>
      <w:r w:rsidR="00192AA4">
        <w:t xml:space="preserve"> and </w:t>
      </w:r>
      <m:oMath>
        <m:r>
          <w:rPr>
            <w:rFonts w:ascii="Cambria Math" w:hAnsi="Cambria Math"/>
          </w:rPr>
          <m:t>i</m:t>
        </m:r>
      </m:oMath>
      <w:r w:rsidR="00192AA4">
        <w:t xml:space="preserve"> is the nonlinear iteration counter</w:t>
      </w:r>
      <w:r w:rsidR="000B50B5">
        <w:t xml:space="preserve">. </w:t>
      </w:r>
      <w:r w:rsidR="004E0082">
        <w:t>Equation 13 is modified such that</w:t>
      </w:r>
      <w:r w:rsidR="00D8343E">
        <w:t>:</w:t>
      </w:r>
    </w:p>
    <w:p w14:paraId="3AC793A8" w14:textId="10A67403" w:rsidR="00D8343E" w:rsidRDefault="00C517E3"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4FF17CCC"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C517E3"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C517E3"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C517E3"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t>And the irrigation event continues until:</w:t>
      </w:r>
    </w:p>
    <w:p w14:paraId="0E764592" w14:textId="0BB69FDC" w:rsidR="003A38A7" w:rsidRPr="003A38A7" w:rsidRDefault="00C517E3"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and ET is simulated using energy and water balance formulations, and water is explicitly diverted and/or 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5"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5"/>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7B78613C"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r w:rsidR="008148C3">
        <w:t xml:space="preserve">A total of 3,440 acres are irrigated for agriculture in central part of the </w:t>
      </w:r>
      <w:r w:rsidR="008148C3">
        <w:lastRenderedPageBreak/>
        <w:t>basin; irrigation water is diverted from the Green River and pumped from the shallow aquifer beneath the fields.</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009424E5"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by </w:t>
      </w:r>
      <w:r w:rsidR="00E81443">
        <w:t xml:space="preserve">solely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57F6E337"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6E757E5B"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r w:rsidR="00D01318">
        <w:t>M</w:t>
      </w:r>
      <w:r w:rsidR="007F472C">
        <w:t>aximum surface water diversions rates were set within the SFR Package time series input files to control the timing of diversions to allow 7 days of irrigation and 7 days without irrigation from April 1 to September 30, and a maximum rate of 55 ft</w:t>
      </w:r>
      <w:r w:rsidR="007F472C">
        <w:rPr>
          <w:vertAlign w:val="superscript"/>
        </w:rPr>
        <w:t>3</w:t>
      </w:r>
      <w:r w:rsidR="007F472C">
        <w:t xml:space="preserve">/s </w:t>
      </w:r>
      <w:r w:rsidR="00D01318">
        <w:t>that could</w:t>
      </w:r>
      <w:r w:rsidR="007F472C">
        <w:t xml:space="preserve"> be diverted from the stream for irrigation (Fig. 4).</w:t>
      </w:r>
      <w:r w:rsidR="006245CA">
        <w:t xml:space="preserve"> Soil and crop properties for EP1a are like the fine-textured soil shown in Table 1; except that the crop root depth is 5 feet. </w:t>
      </w:r>
    </w:p>
    <w:p w14:paraId="355260E1" w14:textId="02C388E2"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 xml:space="preserve">schedule for supplemental </w:t>
      </w:r>
      <w:r w:rsidR="009929B6">
        <w:lastRenderedPageBreak/>
        <w:t>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r w:rsidR="00A50B31">
        <w:t xml:space="preserve"> For this reason, average annual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50B31">
        <w:t xml:space="preserve"> for the high and low inflow hydrographs are 2.2 and 2.1 acre-feet per acre, respectively, whereas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A50B31">
        <w:t xml:space="preserve"> is 2.6 feet.</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lastRenderedPageBreak/>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4E5062DB" w:rsidR="00A91F70" w:rsidRDefault="00BC2457" w:rsidP="00614310">
      <w:pPr>
        <w:pStyle w:val="BodyText"/>
        <w:ind w:firstLine="0"/>
      </w:pPr>
      <w:r w:rsidRPr="00BC2457">
        <w:drawing>
          <wp:inline distT="0" distB="0" distL="0" distR="0" wp14:anchorId="7CED446C" wp14:editId="1CD17B11">
            <wp:extent cx="5943600" cy="578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80405"/>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lastRenderedPageBreak/>
        <w:t>Example Problem 1b</w:t>
      </w:r>
    </w:p>
    <w:p w14:paraId="1B9EA97C" w14:textId="2D093F3D"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w:t>
      </w:r>
      <w:r w:rsidR="0082529E">
        <w:t xml:space="preserve">solely </w:t>
      </w:r>
      <w:r>
        <w:t>by the ET deficit</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w:t>
      </w:r>
      <w:r w:rsidR="007C6AE5">
        <w:t>equals the</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2.6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9602BC">
        <w:tc>
          <w:tcPr>
            <w:tcW w:w="3145" w:type="dxa"/>
          </w:tcPr>
          <w:p w14:paraId="337D875B" w14:textId="77777777" w:rsidR="00C34D16" w:rsidRDefault="00C34D16" w:rsidP="009602BC">
            <w:pPr>
              <w:pStyle w:val="TableCellBody"/>
            </w:pPr>
          </w:p>
        </w:tc>
        <w:tc>
          <w:tcPr>
            <w:tcW w:w="1260" w:type="dxa"/>
          </w:tcPr>
          <w:p w14:paraId="71BE7B75" w14:textId="77777777" w:rsidR="00C34D16" w:rsidRPr="008961AA" w:rsidRDefault="00C34D16" w:rsidP="009602BC">
            <w:pPr>
              <w:pStyle w:val="TableCellDecAlign"/>
              <w:jc w:val="center"/>
              <w:rPr>
                <w:b/>
              </w:rPr>
            </w:pPr>
            <w:r w:rsidRPr="008961AA">
              <w:rPr>
                <w:b/>
              </w:rPr>
              <w:t>Fine soil</w:t>
            </w:r>
          </w:p>
        </w:tc>
        <w:tc>
          <w:tcPr>
            <w:tcW w:w="2160" w:type="dxa"/>
          </w:tcPr>
          <w:p w14:paraId="339329B2" w14:textId="77777777" w:rsidR="00C34D16" w:rsidRPr="008961AA" w:rsidRDefault="00C34D16" w:rsidP="009602BC">
            <w:pPr>
              <w:pStyle w:val="TableCellDecAlign"/>
              <w:jc w:val="center"/>
              <w:rPr>
                <w:b/>
              </w:rPr>
            </w:pPr>
            <w:r w:rsidRPr="008961AA">
              <w:rPr>
                <w:b/>
              </w:rPr>
              <w:t>Course soil</w:t>
            </w:r>
          </w:p>
        </w:tc>
      </w:tr>
      <w:tr w:rsidR="00C34D16" w:rsidRPr="000D0680" w14:paraId="28E29411" w14:textId="77777777" w:rsidTr="009602BC">
        <w:trPr>
          <w:trHeight w:val="422"/>
        </w:trPr>
        <w:tc>
          <w:tcPr>
            <w:tcW w:w="3145" w:type="dxa"/>
          </w:tcPr>
          <w:p w14:paraId="10279170" w14:textId="77777777" w:rsidR="00C34D16" w:rsidRPr="000D0680" w:rsidRDefault="00C34D16" w:rsidP="009602BC">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9602BC">
            <w:pPr>
              <w:pStyle w:val="TableCellDecAlign"/>
              <w:jc w:val="center"/>
            </w:pPr>
            <w:r>
              <w:t>0.38</w:t>
            </w:r>
          </w:p>
        </w:tc>
        <w:tc>
          <w:tcPr>
            <w:tcW w:w="2160" w:type="dxa"/>
          </w:tcPr>
          <w:p w14:paraId="68914A77" w14:textId="77777777" w:rsidR="00C34D16" w:rsidRPr="000D0680" w:rsidRDefault="00C34D16" w:rsidP="009602BC">
            <w:pPr>
              <w:pStyle w:val="TableCellDecAlign"/>
              <w:jc w:val="center"/>
            </w:pPr>
            <w:r>
              <w:t>0.30</w:t>
            </w:r>
          </w:p>
        </w:tc>
      </w:tr>
      <w:tr w:rsidR="00C34D16" w:rsidRPr="000D0680" w14:paraId="0E0CA328" w14:textId="77777777" w:rsidTr="009602BC">
        <w:tc>
          <w:tcPr>
            <w:tcW w:w="3145" w:type="dxa"/>
          </w:tcPr>
          <w:p w14:paraId="17572C0A" w14:textId="77777777" w:rsidR="00C34D16" w:rsidRPr="000D0680" w:rsidRDefault="00C34D16" w:rsidP="009602BC">
            <w:pPr>
              <w:pStyle w:val="TableCellBody"/>
            </w:pPr>
            <w:r>
              <w:t xml:space="preserve">Brooks-Corey exponent </w:t>
            </w:r>
            <w:r>
              <w:br/>
              <w:t>(unitless)</w:t>
            </w:r>
          </w:p>
        </w:tc>
        <w:tc>
          <w:tcPr>
            <w:tcW w:w="1260" w:type="dxa"/>
          </w:tcPr>
          <w:p w14:paraId="064149A3" w14:textId="77777777" w:rsidR="00C34D16" w:rsidRPr="000D0680" w:rsidRDefault="00C34D16" w:rsidP="009602BC">
            <w:pPr>
              <w:pStyle w:val="TableCellDecAlign"/>
              <w:jc w:val="center"/>
            </w:pPr>
            <w:r>
              <w:t>7.5</w:t>
            </w:r>
          </w:p>
        </w:tc>
        <w:tc>
          <w:tcPr>
            <w:tcW w:w="2160" w:type="dxa"/>
          </w:tcPr>
          <w:p w14:paraId="11B2A911" w14:textId="77777777" w:rsidR="00C34D16" w:rsidRDefault="00C34D16" w:rsidP="009602BC">
            <w:pPr>
              <w:pStyle w:val="TableCellDecAlign"/>
              <w:jc w:val="center"/>
            </w:pPr>
            <w:r>
              <w:t>4.5</w:t>
            </w:r>
          </w:p>
        </w:tc>
      </w:tr>
      <w:tr w:rsidR="00C34D16" w:rsidRPr="000D0680" w14:paraId="3AB518A9" w14:textId="77777777" w:rsidTr="009602BC">
        <w:tc>
          <w:tcPr>
            <w:tcW w:w="3145" w:type="dxa"/>
          </w:tcPr>
          <w:p w14:paraId="15DBEEEE" w14:textId="77777777" w:rsidR="00C34D16" w:rsidRPr="000D0680" w:rsidRDefault="00C34D16" w:rsidP="009602BC">
            <w:pPr>
              <w:pStyle w:val="TableCellBody"/>
            </w:pPr>
            <w:r>
              <w:t>Vertical hydraulic conductivity of the unsaturated zone (feet per day)</w:t>
            </w:r>
          </w:p>
        </w:tc>
        <w:tc>
          <w:tcPr>
            <w:tcW w:w="1260" w:type="dxa"/>
          </w:tcPr>
          <w:p w14:paraId="3169D92F" w14:textId="0929DBC4" w:rsidR="00C34D16" w:rsidRPr="000D0680" w:rsidRDefault="00C34D16" w:rsidP="009602BC">
            <w:pPr>
              <w:pStyle w:val="TableCellDecAlign"/>
              <w:jc w:val="center"/>
            </w:pPr>
            <w:r>
              <w:t>8.6</w:t>
            </w:r>
          </w:p>
        </w:tc>
        <w:tc>
          <w:tcPr>
            <w:tcW w:w="2160" w:type="dxa"/>
          </w:tcPr>
          <w:p w14:paraId="44BDA6CE" w14:textId="33881A54" w:rsidR="00C34D16" w:rsidRDefault="00C34D16" w:rsidP="009602BC">
            <w:pPr>
              <w:pStyle w:val="TableCellDecAlign"/>
              <w:jc w:val="center"/>
            </w:pPr>
            <w:r>
              <w:t>4</w:t>
            </w:r>
          </w:p>
        </w:tc>
      </w:tr>
      <w:tr w:rsidR="00C34D16" w:rsidRPr="000D0680" w14:paraId="7EB8457E" w14:textId="77777777" w:rsidTr="009602BC">
        <w:tc>
          <w:tcPr>
            <w:tcW w:w="3145" w:type="dxa"/>
          </w:tcPr>
          <w:p w14:paraId="507FCD7B" w14:textId="77777777" w:rsidR="00C34D16" w:rsidRPr="000D0680" w:rsidRDefault="00C34D16" w:rsidP="009602BC">
            <w:pPr>
              <w:pStyle w:val="TableCellBody"/>
            </w:pPr>
            <w:r>
              <w:t xml:space="preserve">Evapotranspiration extinction depth </w:t>
            </w:r>
            <w:r>
              <w:br/>
              <w:t>(feet)</w:t>
            </w:r>
          </w:p>
        </w:tc>
        <w:tc>
          <w:tcPr>
            <w:tcW w:w="1260" w:type="dxa"/>
          </w:tcPr>
          <w:p w14:paraId="51FAC977" w14:textId="77777777" w:rsidR="00C34D16" w:rsidRPr="000D0680" w:rsidRDefault="00C34D16" w:rsidP="009602BC">
            <w:pPr>
              <w:pStyle w:val="TableCellDecAlign"/>
              <w:jc w:val="center"/>
            </w:pPr>
            <w:r>
              <w:t>0.50</w:t>
            </w:r>
          </w:p>
        </w:tc>
        <w:tc>
          <w:tcPr>
            <w:tcW w:w="2160" w:type="dxa"/>
          </w:tcPr>
          <w:p w14:paraId="1D0FB5A5" w14:textId="77777777" w:rsidR="00C34D16" w:rsidRDefault="00C34D16" w:rsidP="009602BC">
            <w:pPr>
              <w:pStyle w:val="TableCellDecAlign"/>
              <w:jc w:val="center"/>
            </w:pPr>
            <w:r>
              <w:t>0.50</w:t>
            </w:r>
          </w:p>
        </w:tc>
      </w:tr>
      <w:tr w:rsidR="00C34D16" w14:paraId="1052125C" w14:textId="77777777" w:rsidTr="009602BC">
        <w:tc>
          <w:tcPr>
            <w:tcW w:w="3145" w:type="dxa"/>
          </w:tcPr>
          <w:p w14:paraId="7E4EE8B5" w14:textId="77777777" w:rsidR="00C34D16" w:rsidRDefault="00C34D16" w:rsidP="009602BC">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9602BC">
            <w:pPr>
              <w:pStyle w:val="TableCellDecAlign"/>
              <w:jc w:val="center"/>
            </w:pPr>
            <w:r>
              <w:t>0.20</w:t>
            </w:r>
          </w:p>
        </w:tc>
        <w:tc>
          <w:tcPr>
            <w:tcW w:w="2160" w:type="dxa"/>
          </w:tcPr>
          <w:p w14:paraId="7210F9F5" w14:textId="77777777" w:rsidR="00C34D16" w:rsidRDefault="00C34D16" w:rsidP="009602BC">
            <w:pPr>
              <w:pStyle w:val="TableCellDecAlign"/>
              <w:jc w:val="center"/>
            </w:pPr>
            <w:r>
              <w:t>0.10</w:t>
            </w:r>
          </w:p>
        </w:tc>
      </w:tr>
      <w:tr w:rsidR="00C34D16" w14:paraId="342A1B12" w14:textId="77777777" w:rsidTr="009602BC">
        <w:tc>
          <w:tcPr>
            <w:tcW w:w="3145" w:type="dxa"/>
          </w:tcPr>
          <w:p w14:paraId="37970BB2" w14:textId="77777777" w:rsidR="00C34D16" w:rsidRDefault="00C34D16" w:rsidP="009602BC">
            <w:pPr>
              <w:pStyle w:val="TableCellBody"/>
            </w:pPr>
            <w:r>
              <w:t>Air entry pressure (feet of water)</w:t>
            </w:r>
          </w:p>
        </w:tc>
        <w:tc>
          <w:tcPr>
            <w:tcW w:w="1260" w:type="dxa"/>
          </w:tcPr>
          <w:p w14:paraId="38A86EF3" w14:textId="77777777" w:rsidR="00C34D16" w:rsidRDefault="00C34D16" w:rsidP="009602BC">
            <w:pPr>
              <w:pStyle w:val="TableCellDecAlign"/>
              <w:jc w:val="center"/>
            </w:pPr>
            <w:r>
              <w:t>-1.10</w:t>
            </w:r>
          </w:p>
        </w:tc>
        <w:tc>
          <w:tcPr>
            <w:tcW w:w="2160" w:type="dxa"/>
          </w:tcPr>
          <w:p w14:paraId="30B53E77" w14:textId="77777777" w:rsidR="00C34D16" w:rsidRDefault="00C34D16" w:rsidP="009602BC">
            <w:pPr>
              <w:pStyle w:val="TableCellDecAlign"/>
              <w:jc w:val="center"/>
            </w:pPr>
            <w:r>
              <w:t>-0.1</w:t>
            </w:r>
          </w:p>
        </w:tc>
      </w:tr>
      <w:tr w:rsidR="00C34D16" w14:paraId="115FF36E" w14:textId="77777777" w:rsidTr="009602BC">
        <w:tc>
          <w:tcPr>
            <w:tcW w:w="3145" w:type="dxa"/>
          </w:tcPr>
          <w:p w14:paraId="4E5D5216" w14:textId="77777777" w:rsidR="00C34D16" w:rsidRDefault="00C34D16" w:rsidP="009602BC">
            <w:pPr>
              <w:pStyle w:val="TableCellBody"/>
            </w:pPr>
            <w:r>
              <w:t>Root pressure (feet of water)</w:t>
            </w:r>
          </w:p>
        </w:tc>
        <w:tc>
          <w:tcPr>
            <w:tcW w:w="1260" w:type="dxa"/>
          </w:tcPr>
          <w:p w14:paraId="6D22F9F2" w14:textId="77777777" w:rsidR="00C34D16" w:rsidRDefault="00C34D16" w:rsidP="009602BC">
            <w:pPr>
              <w:pStyle w:val="TableCellDecAlign"/>
              <w:jc w:val="center"/>
            </w:pPr>
            <w:r>
              <w:t>-30.0</w:t>
            </w:r>
          </w:p>
        </w:tc>
        <w:tc>
          <w:tcPr>
            <w:tcW w:w="2160" w:type="dxa"/>
          </w:tcPr>
          <w:p w14:paraId="71DB9E97" w14:textId="77777777" w:rsidR="00C34D16" w:rsidRDefault="00C34D16" w:rsidP="009602BC">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90520"/>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6" w:name="_Toc488393775"/>
      <w:bookmarkStart w:id="7"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6F3455A5"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w:t>
      </w:r>
      <w:r w:rsidR="00D9064F">
        <w:t xml:space="preserve">for </w:t>
      </w:r>
      <w:r w:rsidR="008B41B4">
        <w:t>the period 1991-1993 is 1</w:t>
      </w:r>
      <w:r w:rsidR="00D9064F">
        <w:t>0</w:t>
      </w:r>
      <w:r w:rsidR="008B41B4">
        <w:t>.4 hectare-meters (0.7</w:t>
      </w:r>
      <w:r w:rsidR="00E15128">
        <w:t>4</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 xml:space="preserve">and </w:t>
      </w:r>
      <w:r w:rsidR="00D9064F">
        <w:t>7</w:t>
      </w:r>
      <w:r w:rsidR="008B41B4">
        <w:t>.</w:t>
      </w:r>
      <w:r w:rsidR="00D9064F">
        <w:t>2</w:t>
      </w:r>
      <w:r w:rsidR="008B41B4">
        <w:t xml:space="preserve"> hectare-meters (0.5</w:t>
      </w:r>
      <w:r w:rsidR="007567D5">
        <w:t>1</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9064F">
        <w:t>10</w:t>
      </w:r>
      <w:r w:rsidR="00974BEF">
        <w:t>.</w:t>
      </w:r>
      <w:r w:rsidR="00D9064F">
        <w:t>9</w:t>
      </w:r>
      <w:r w:rsidR="00974BEF">
        <w:t xml:space="preserve"> hectare-meters (</w:t>
      </w:r>
      <w:r w:rsidR="007567D5">
        <w:t>0.75</w:t>
      </w:r>
      <w:r w:rsidR="00974BEF">
        <w:t xml:space="preserve"> hectare-meter per square meter)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 xml:space="preserve">and </w:t>
      </w:r>
      <w:r w:rsidR="00D9064F">
        <w:t>8.2</w:t>
      </w:r>
      <w:r w:rsidR="00974BEF">
        <w:t xml:space="preserve"> hectare-meters (0.</w:t>
      </w:r>
      <w:r w:rsidR="007567D5">
        <w:t>57</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w:t>
      </w:r>
      <w:r w:rsidR="00974BEF">
        <w:lastRenderedPageBreak/>
        <w:t xml:space="preserve">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3C84BF44"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E2D86">
        <w:t>.</w:t>
      </w:r>
      <w:r w:rsidR="00051D83">
        <w:t xml:space="preserve"> NIWR for each of these years </w:t>
      </w:r>
      <w:r w:rsidR="00B63E47">
        <w:t xml:space="preserve">is inversely proportional to annual precipitation amounts </w:t>
      </w:r>
      <w:r w:rsidR="00051D83">
        <w:t xml:space="preserve">(Fig. </w:t>
      </w:r>
      <w:r w:rsidR="004E2D86">
        <w:t>9a</w:t>
      </w:r>
      <w:r w:rsidR="00051D83">
        <w:t>).</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w:t>
      </w:r>
      <w:r w:rsidR="004E2D86">
        <w:t>9b</w:t>
      </w:r>
      <w:r>
        <w:t>)</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lastRenderedPageBreak/>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7AAC987" w:rsidR="00CB0BE3" w:rsidRDefault="004E2D86" w:rsidP="000251AE">
      <w:pPr>
        <w:pStyle w:val="Heading1"/>
        <w:numPr>
          <w:ilvl w:val="0"/>
          <w:numId w:val="0"/>
        </w:numPr>
        <w:autoSpaceDE w:val="0"/>
        <w:ind w:left="432" w:hanging="432"/>
      </w:pPr>
      <w:r w:rsidRPr="004E2D86">
        <w:rPr>
          <w:noProof/>
        </w:rPr>
        <w:lastRenderedPageBreak/>
        <w:drawing>
          <wp:inline distT="0" distB="0" distL="0" distR="0" wp14:anchorId="5E02046A" wp14:editId="7391220B">
            <wp:extent cx="5943600" cy="5821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210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6E6C82C4" w:rsidR="007C0DB7" w:rsidRDefault="00C8128A" w:rsidP="00761D66">
      <w:pPr>
        <w:pStyle w:val="BodyText"/>
      </w:pPr>
      <w:r>
        <w:t xml:space="preserve">Example problem 2b is identical to EP2a, except that the trigger approach is used, and the seasonal crop coefficients were set as shown in Figure </w:t>
      </w:r>
      <w:r w:rsidR="001B256B">
        <w:t>8</w:t>
      </w:r>
      <w:r>
        <w:t xml:space="preserve">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the period </w:t>
      </w:r>
      <w:r w:rsidR="00554A50">
        <w:t xml:space="preserve">then a new irrigation period will </w:t>
      </w:r>
      <w:r w:rsidR="007C0DB7">
        <w:t>begin immediately</w:t>
      </w:r>
      <w:r w:rsidR="00FC6A2E">
        <w:t>.</w:t>
      </w:r>
    </w:p>
    <w:p w14:paraId="42653ECC" w14:textId="0E26BC77" w:rsidR="00761D66" w:rsidRPr="00761D66" w:rsidRDefault="0019403F" w:rsidP="002F7395">
      <w:pPr>
        <w:pStyle w:val="BodyText"/>
      </w:pPr>
      <w:r>
        <w:t xml:space="preserve">Net irrigation water is directly proportional to the trigger threshold, where higher trigger values result in greater irrigation amounts (Fig. </w:t>
      </w:r>
      <w:r w:rsidR="001B256B">
        <w:t>10a</w:t>
      </w:r>
      <w:r>
        <w:t xml:space="preserve">).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 xml:space="preserve">Because setting a low trigger value allows the soils to drain more between irrigation events, lower trigger values result in less actual ET as compared to higher trigger values (Fig. </w:t>
      </w:r>
      <w:r w:rsidR="001B256B">
        <w:t>10b</w:t>
      </w:r>
      <w:r>
        <w:t>).</w:t>
      </w:r>
    </w:p>
    <w:p w14:paraId="5C8541AC" w14:textId="5BCAC891" w:rsidR="00E558AF" w:rsidRPr="00E558AF" w:rsidRDefault="00756C99" w:rsidP="00E558AF">
      <w:pPr>
        <w:pStyle w:val="BodyText"/>
        <w:ind w:firstLine="0"/>
      </w:pPr>
      <w:r w:rsidRPr="00756C99">
        <w:rPr>
          <w:noProof/>
        </w:rPr>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690978FF"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6"/>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7"/>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27DC6000" w:rsidR="001E2ABC" w:rsidRDefault="00537F4B" w:rsidP="003A7530">
      <w:pPr>
        <w:pStyle w:val="Reference"/>
      </w:pPr>
      <w:r w:rsidRPr="00537F4B">
        <w:t>Langevin, C. D., Hughes, J. D., Banta, E. R., Niswonger, R. G., Panday, S., &amp; Provost, A. M. (2017). Documentation for the MODFLOW 6 Groundwater Flow Model (No. 6-A55). US Geological Survey.</w:t>
      </w:r>
    </w:p>
    <w:p w14:paraId="14C34870" w14:textId="77777777" w:rsidR="009812D3" w:rsidRDefault="003D5AA7" w:rsidP="009812D3">
      <w:pPr>
        <w:pStyle w:val="Reference"/>
      </w:pPr>
      <w:proofErr w:type="spellStart"/>
      <w:r>
        <w:t>Lappala</w:t>
      </w:r>
      <w:proofErr w:type="spellEnd"/>
      <w:r>
        <w:t>, E.G., Healy, R.W., Weeks, E.P., and others, 1987, Documentation of computer program</w:t>
      </w:r>
      <w:r>
        <w:t xml:space="preserve"> </w:t>
      </w:r>
      <w:r>
        <w:t>VS2D</w:t>
      </w:r>
      <w:r>
        <w:t xml:space="preserve"> </w:t>
      </w:r>
      <w:r>
        <w:t>to solve the equations of fluid flow in variably saturated porous media: U.S. Geological</w:t>
      </w:r>
      <w:r>
        <w:t xml:space="preserve"> </w:t>
      </w:r>
      <w:r>
        <w:t xml:space="preserve">Survey </w:t>
      </w:r>
      <w:proofErr w:type="spellStart"/>
      <w:r>
        <w:t>WaterResources</w:t>
      </w:r>
      <w:proofErr w:type="spellEnd"/>
      <w:r>
        <w:t xml:space="preserve"> Investigations Report 83–4099, 184 p., accessed June 27, 2017, at </w:t>
      </w:r>
      <w:hyperlink r:id="rId27" w:history="1">
        <w:r w:rsidR="009812D3" w:rsidRPr="006B6E69">
          <w:rPr>
            <w:rStyle w:val="Hyperlink"/>
          </w:rPr>
          <w:t>https://pubs.er.usgs.gov/publication/wri834099</w:t>
        </w:r>
      </w:hyperlink>
      <w:r>
        <w:t>.</w:t>
      </w:r>
      <w:r w:rsidR="009812D3">
        <w:t xml:space="preserve"> </w:t>
      </w:r>
    </w:p>
    <w:p w14:paraId="531538AE" w14:textId="0A4D2729" w:rsidR="00680172" w:rsidRDefault="009812D3" w:rsidP="009812D3">
      <w:pPr>
        <w:pStyle w:val="Reference"/>
      </w:pPr>
      <w:r>
        <w:t>Brooks, R.H., and Corey, A.T., 1966, Properties of porous media affecting fluid flow: American Society of</w:t>
      </w:r>
      <w:r>
        <w:t xml:space="preserve"> </w:t>
      </w:r>
      <w:r>
        <w:t>Civil Engineers, Journal of Irrigation and Drainage, v. 101, p. 85–92.</w:t>
      </w:r>
    </w:p>
    <w:p w14:paraId="38560153" w14:textId="77777777" w:rsidR="009812D3" w:rsidRDefault="009812D3" w:rsidP="00375D94">
      <w:pPr>
        <w:pStyle w:val="SectionHeading"/>
      </w:pPr>
    </w:p>
    <w:p w14:paraId="491922ED" w14:textId="03DC36E5" w:rsidR="009812D3" w:rsidRDefault="009812D3" w:rsidP="00375D94">
      <w:pPr>
        <w:pStyle w:val="SectionHeading"/>
        <w:sectPr w:rsidR="009812D3" w:rsidSect="0029519C">
          <w:footerReference w:type="default" r:id="rId28"/>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9"/>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C517E3" w:rsidRDefault="00C517E3">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C517E3" w:rsidRDefault="00C517E3">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54B13" w14:textId="77777777" w:rsidR="003770AA" w:rsidRDefault="003770AA">
      <w:pPr>
        <w:spacing w:line="240" w:lineRule="auto"/>
      </w:pPr>
      <w:r>
        <w:separator/>
      </w:r>
    </w:p>
  </w:endnote>
  <w:endnote w:type="continuationSeparator" w:id="0">
    <w:p w14:paraId="6D5ADACC" w14:textId="77777777" w:rsidR="003770AA" w:rsidRDefault="00377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C517E3" w:rsidRPr="004126AC" w:rsidRDefault="00C517E3"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C517E3" w:rsidRDefault="00C51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0D8F7" w14:textId="77777777" w:rsidR="003770AA" w:rsidRDefault="003770AA">
      <w:pPr>
        <w:spacing w:line="240" w:lineRule="auto"/>
      </w:pPr>
      <w:r>
        <w:separator/>
      </w:r>
    </w:p>
  </w:footnote>
  <w:footnote w:type="continuationSeparator" w:id="0">
    <w:p w14:paraId="35045F06" w14:textId="77777777" w:rsidR="003770AA" w:rsidRDefault="003770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5E29"/>
    <w:rsid w:val="000C6462"/>
    <w:rsid w:val="000D0B9D"/>
    <w:rsid w:val="000D165B"/>
    <w:rsid w:val="000D17EF"/>
    <w:rsid w:val="000D4ABB"/>
    <w:rsid w:val="000D4D35"/>
    <w:rsid w:val="000E046F"/>
    <w:rsid w:val="000E07DD"/>
    <w:rsid w:val="000E1775"/>
    <w:rsid w:val="000E32FC"/>
    <w:rsid w:val="000E40EE"/>
    <w:rsid w:val="000E61A9"/>
    <w:rsid w:val="000E7638"/>
    <w:rsid w:val="000E7AD2"/>
    <w:rsid w:val="000F01D5"/>
    <w:rsid w:val="000F3138"/>
    <w:rsid w:val="000F56F9"/>
    <w:rsid w:val="000F665B"/>
    <w:rsid w:val="000F7C94"/>
    <w:rsid w:val="00102F21"/>
    <w:rsid w:val="00104E6B"/>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4432"/>
    <w:rsid w:val="001A4B95"/>
    <w:rsid w:val="001A67DD"/>
    <w:rsid w:val="001B256B"/>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4B62"/>
    <w:rsid w:val="001E62D6"/>
    <w:rsid w:val="001F1EB4"/>
    <w:rsid w:val="001F423D"/>
    <w:rsid w:val="001F72F2"/>
    <w:rsid w:val="001F7B67"/>
    <w:rsid w:val="002057A2"/>
    <w:rsid w:val="00206438"/>
    <w:rsid w:val="00206536"/>
    <w:rsid w:val="002121AC"/>
    <w:rsid w:val="0021291F"/>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055F"/>
    <w:rsid w:val="00311507"/>
    <w:rsid w:val="00311575"/>
    <w:rsid w:val="00314DE5"/>
    <w:rsid w:val="00315A3C"/>
    <w:rsid w:val="003166D4"/>
    <w:rsid w:val="00317EFC"/>
    <w:rsid w:val="0032140C"/>
    <w:rsid w:val="003235D1"/>
    <w:rsid w:val="00327F52"/>
    <w:rsid w:val="003323AB"/>
    <w:rsid w:val="00334235"/>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770AA"/>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518"/>
    <w:rsid w:val="003C53FD"/>
    <w:rsid w:val="003C5B32"/>
    <w:rsid w:val="003C7B4B"/>
    <w:rsid w:val="003D2BEA"/>
    <w:rsid w:val="003D4F1B"/>
    <w:rsid w:val="003D5339"/>
    <w:rsid w:val="003D598A"/>
    <w:rsid w:val="003D5AA7"/>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C6A19"/>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5CA"/>
    <w:rsid w:val="00624E84"/>
    <w:rsid w:val="00633E8C"/>
    <w:rsid w:val="00637D64"/>
    <w:rsid w:val="00640D14"/>
    <w:rsid w:val="0064351F"/>
    <w:rsid w:val="006441AC"/>
    <w:rsid w:val="0064697A"/>
    <w:rsid w:val="006471FF"/>
    <w:rsid w:val="00650005"/>
    <w:rsid w:val="00651CEA"/>
    <w:rsid w:val="00657E94"/>
    <w:rsid w:val="006602A6"/>
    <w:rsid w:val="006627AC"/>
    <w:rsid w:val="00664A55"/>
    <w:rsid w:val="00664BAA"/>
    <w:rsid w:val="006658D6"/>
    <w:rsid w:val="006671D7"/>
    <w:rsid w:val="006675CB"/>
    <w:rsid w:val="00667E73"/>
    <w:rsid w:val="00673804"/>
    <w:rsid w:val="006746CD"/>
    <w:rsid w:val="006761E2"/>
    <w:rsid w:val="006773DA"/>
    <w:rsid w:val="00680172"/>
    <w:rsid w:val="00682D79"/>
    <w:rsid w:val="006830DA"/>
    <w:rsid w:val="0068365A"/>
    <w:rsid w:val="006837C5"/>
    <w:rsid w:val="00684336"/>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4BD1"/>
    <w:rsid w:val="00705EEB"/>
    <w:rsid w:val="00707DE1"/>
    <w:rsid w:val="0071519B"/>
    <w:rsid w:val="00715F01"/>
    <w:rsid w:val="00716B1E"/>
    <w:rsid w:val="00720E82"/>
    <w:rsid w:val="007225C5"/>
    <w:rsid w:val="00723F2C"/>
    <w:rsid w:val="007247A9"/>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85F8F"/>
    <w:rsid w:val="00790627"/>
    <w:rsid w:val="007912A0"/>
    <w:rsid w:val="00792B73"/>
    <w:rsid w:val="007940A3"/>
    <w:rsid w:val="007946B5"/>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F8A"/>
    <w:rsid w:val="007D5EE0"/>
    <w:rsid w:val="007D6416"/>
    <w:rsid w:val="007D67CD"/>
    <w:rsid w:val="007D7F03"/>
    <w:rsid w:val="007E3028"/>
    <w:rsid w:val="007E3EBA"/>
    <w:rsid w:val="007E4318"/>
    <w:rsid w:val="007E4940"/>
    <w:rsid w:val="007E64BA"/>
    <w:rsid w:val="007E7328"/>
    <w:rsid w:val="007F035E"/>
    <w:rsid w:val="007F0D6F"/>
    <w:rsid w:val="007F1D21"/>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14CF"/>
    <w:rsid w:val="00811A40"/>
    <w:rsid w:val="00813202"/>
    <w:rsid w:val="008148C3"/>
    <w:rsid w:val="00814AF8"/>
    <w:rsid w:val="0081552B"/>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602C9"/>
    <w:rsid w:val="00862295"/>
    <w:rsid w:val="00862DEE"/>
    <w:rsid w:val="00863ADC"/>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288E"/>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12D3"/>
    <w:rsid w:val="00982B68"/>
    <w:rsid w:val="00982F57"/>
    <w:rsid w:val="009855F9"/>
    <w:rsid w:val="00985CAD"/>
    <w:rsid w:val="00985E8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6D3A"/>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3265"/>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BF7D22"/>
    <w:rsid w:val="00C005AF"/>
    <w:rsid w:val="00C00DF6"/>
    <w:rsid w:val="00C017AA"/>
    <w:rsid w:val="00C043C9"/>
    <w:rsid w:val="00C04FD1"/>
    <w:rsid w:val="00C058EE"/>
    <w:rsid w:val="00C0618D"/>
    <w:rsid w:val="00C1449A"/>
    <w:rsid w:val="00C16A13"/>
    <w:rsid w:val="00C17262"/>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318"/>
    <w:rsid w:val="00D01C7D"/>
    <w:rsid w:val="00D024B9"/>
    <w:rsid w:val="00D0273B"/>
    <w:rsid w:val="00D02BDD"/>
    <w:rsid w:val="00D0307E"/>
    <w:rsid w:val="00D054F2"/>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2E6E"/>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64F"/>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07C3B"/>
    <w:rsid w:val="00E10242"/>
    <w:rsid w:val="00E10761"/>
    <w:rsid w:val="00E1085B"/>
    <w:rsid w:val="00E10A63"/>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2DDC"/>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06C4"/>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pubs.er.usgs.gov/publication/wri83409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1DE1C-15D2-485D-8401-D807DF2B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49137</TotalTime>
  <Pages>40</Pages>
  <Words>7444</Words>
  <Characters>42437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272</cp:revision>
  <cp:lastPrinted>2017-08-01T14:27:00Z</cp:lastPrinted>
  <dcterms:created xsi:type="dcterms:W3CDTF">2018-09-12T20:59:00Z</dcterms:created>
  <dcterms:modified xsi:type="dcterms:W3CDTF">2019-03-26T16:19:00Z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