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7956B58E" w:rsidR="006721B8" w:rsidRPr="006721B8" w:rsidRDefault="007517B6" w:rsidP="00040549">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40AA6418" w:rsidR="002F449F" w:rsidRDefault="008A59FA" w:rsidP="00D64CA5">
      <w:pPr>
        <w:pStyle w:val="BodyText"/>
        <w:rPr>
          <w:color w:val="222222"/>
          <w:shd w:val="clear" w:color="auto" w:fill="FFFFFF"/>
        </w:rPr>
      </w:pPr>
      <w:r>
        <w:rPr>
          <w:color w:val="222222"/>
          <w:shd w:val="clear" w:color="auto" w:fill="FFFFFF"/>
        </w:rPr>
        <w:t>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w:t>
      </w:r>
      <w:r w:rsidR="00597988">
        <w:rPr>
          <w:color w:val="222222"/>
          <w:shd w:val="clear" w:color="auto" w:fill="FFFFFF"/>
        </w:rPr>
        <w:t xml:space="preserve"> or available water</w:t>
      </w:r>
      <w:r>
        <w:rPr>
          <w:color w:val="222222"/>
          <w:shd w:val="clear" w:color="auto" w:fill="FFFFFF"/>
        </w:rPr>
        <w:t xml:space="preserve">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lastRenderedPageBreak/>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The Agricultural Water Use 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7777777"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078038B5"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xml:space="preserve">, </w:t>
      </w:r>
      <w:r w:rsidR="00DF38FD">
        <w:lastRenderedPageBreak/>
        <w:t>including distributed energy and water consumption by plants</w:t>
      </w:r>
      <w:r w:rsidR="006236EB">
        <w:t xml:space="preserve"> (</w:t>
      </w:r>
      <w:proofErr w:type="spellStart"/>
      <w:r w:rsidR="006236EB">
        <w:t>Markstrom</w:t>
      </w:r>
      <w:proofErr w:type="spellEnd"/>
      <w:r w:rsidR="006236EB">
        <w:t xml:space="preserve"> et al., 2008)</w:t>
      </w:r>
      <w:r w:rsidR="00DF38FD">
        <w:t>.</w:t>
      </w:r>
      <w:r w:rsidR="008D00FD">
        <w:t xml:space="preserve"> GSFLOW can simulate partitioning of precipitation into snowpack, 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932DF0">
        <w:t>net irrigation water requirement (</w:t>
      </w:r>
      <w:r w:rsidR="00355AA9">
        <w:t>NIWR</w:t>
      </w:r>
      <w:r w:rsidR="00932DF0">
        <w:t>)</w:t>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2D44620E"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 xml:space="preserve">energy and </w:t>
      </w:r>
      <w:r w:rsidR="00052732">
        <w:t>field</w:t>
      </w:r>
      <w:r w:rsidR="009C3EF5">
        <w:t>-water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w:t>
      </w:r>
      <w:r w:rsidR="000750A2">
        <w:t xml:space="preserve">pumping during </w:t>
      </w:r>
      <w:r w:rsidR="0020763E">
        <w:t xml:space="preserve">model </w:t>
      </w:r>
      <w:r w:rsidR="000750A2">
        <w:t xml:space="preserve">calibration </w:t>
      </w:r>
      <w:r w:rsidR="00D3495C">
        <w:t xml:space="preserve">(e.g.,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w:t>
      </w:r>
      <w:r w:rsidR="00D7218A">
        <w:lastRenderedPageBreak/>
        <w:t>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0569E33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EE49BD">
        <w:t>UZF</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w:t>
      </w:r>
      <w:r w:rsidR="00E1677D">
        <w:lastRenderedPageBreak/>
        <w:t>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B32335">
        <w:t>field</w:t>
      </w:r>
      <w:r w:rsidR="005634C5">
        <w:t>-water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4060A0A0" w:rsidR="00D0273B" w:rsidRDefault="00D0273B" w:rsidP="000B0819">
      <w:pPr>
        <w:pStyle w:val="BodyText"/>
      </w:pPr>
      <w:r>
        <w:t xml:space="preserve">All exchanges </w:t>
      </w:r>
      <w:r w:rsidR="00E77400">
        <w:t xml:space="preserve">of irrigation water </w:t>
      </w:r>
      <w:r>
        <w:t xml:space="preserve">between different </w:t>
      </w:r>
      <w:r w:rsidR="007E300B">
        <w:t xml:space="preserve">MODFLOW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15363E48"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rsidR="007E300B">
        <w:t xml:space="preserve"> and irrigation techniques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w:t>
      </w:r>
      <w:r w:rsidR="007E300B">
        <w:t>, including hypothetical irrigated regions</w:t>
      </w:r>
      <w:r w:rsidR="00673804">
        <w:t xml:space="preserve">.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w:t>
      </w:r>
      <w:r w:rsidR="00B530FC">
        <w:lastRenderedPageBreak/>
        <w:t xml:space="preserve">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5ADCDB8B" w14:textId="42D1C277" w:rsidR="0014150E" w:rsidRDefault="00ED0169" w:rsidP="00401D0C">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D751C4"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D751C4"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57190D7D"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w:t>
      </w:r>
      <w:r w:rsidR="00310852">
        <w:t xml:space="preserve"> and/or thin</w:t>
      </w:r>
      <w:r w:rsidR="009E6B16">
        <w:t xml:space="preserv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69ED2634"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w:t>
      </w:r>
      <w:r w:rsidR="00530F61">
        <w:lastRenderedPageBreak/>
        <w:t xml:space="preserve">return flows can occur during delivery and </w:t>
      </w:r>
      <w:r w:rsidR="009328FC">
        <w:t>on farm</w:t>
      </w:r>
      <w:r w:rsidR="00B84691">
        <w:t>s</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D751C4"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D751C4"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21F85FC8"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85311">
        <w:t>,</w:t>
      </w:r>
      <w:r w:rsidR="00B84691">
        <w:tab/>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1E2E113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w:t>
      </w:r>
      <w:bookmarkStart w:id="2" w:name="_GoBack"/>
      <w:bookmarkEnd w:id="2"/>
      <w:r w:rsidR="00976A95">
        <w:t xml:space="preserve">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D751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D751C4"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D751C4"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D751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D751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D751C4"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D751C4"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D751C4"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D751C4"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D751C4"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D751C4"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D751C4"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3"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11F21D5E" w:rsidR="00973640" w:rsidRDefault="008715A9" w:rsidP="008715A9">
      <w:pPr>
        <w:pStyle w:val="BodyText"/>
        <w:ind w:firstLine="0"/>
      </w:pPr>
      <w:r w:rsidRPr="008715A9">
        <w:rPr>
          <w:noProof/>
        </w:rPr>
        <w:lastRenderedPageBreak/>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3"/>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5EC97B36"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0C52144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r w:rsidR="002D11C1">
        <w:t>A total of 3,440 acres are irrigated for agriculture in the central part of the basin; irrigation water is diverted from the Green River and pumped from the shallow aquifer beneath the fields.</w:t>
      </w:r>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3BBC41AE"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80681D2" w:rsidR="00A848B8"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w:t>
      </w:r>
      <w:r w:rsidR="007B3E36">
        <w:t>4</w:t>
      </w:r>
      <w:r w:rsidR="005D174E">
        <w:t>).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w:t>
      </w:r>
      <w:r w:rsidR="00D01318">
        <w:t>M</w:t>
      </w:r>
      <w:r w:rsidR="007F472C">
        <w:t xml:space="preserve">aximum surface water diversions rates were set within the SFR Package time series input files </w:t>
      </w:r>
      <w:r w:rsidR="007B3E36">
        <w:t>for an irrigation period</w:t>
      </w:r>
      <w:r w:rsidR="007F472C">
        <w:t xml:space="preserve"> from April 1 to September 30, and a maximum rate of </w:t>
      </w:r>
      <w:r w:rsidR="007B3E36">
        <w:t>100</w:t>
      </w:r>
      <w:r w:rsidR="007F472C">
        <w:t xml:space="preserve"> ft</w:t>
      </w:r>
      <w:r w:rsidR="007F472C">
        <w:rPr>
          <w:vertAlign w:val="superscript"/>
        </w:rPr>
        <w:t>3</w:t>
      </w:r>
      <w:r w:rsidR="007F472C">
        <w:t>/s</w:t>
      </w:r>
      <w:r w:rsidR="007B3E36">
        <w:t xml:space="preserve"> is specified to allow the amount of water flowing in the stream from which water is diverted to control diversion amounts during the irrigation season</w:t>
      </w:r>
      <w:r w:rsidR="007F472C">
        <w:t>.</w:t>
      </w:r>
      <w:r w:rsidR="006245CA">
        <w:t xml:space="preserve"> Soil and crop properties for EP1a are like the fine-textured soil shown in Table 1. </w:t>
      </w:r>
    </w:p>
    <w:p w14:paraId="355260E1" w14:textId="122A70C5" w:rsidR="001D3817" w:rsidRDefault="005D174E" w:rsidP="00B1524F">
      <w:pPr>
        <w:pStyle w:val="BodyText"/>
      </w:pPr>
      <w:r>
        <w:t xml:space="preserve">Figure </w:t>
      </w:r>
      <w:r w:rsidR="007B3E36">
        <w:t>5</w:t>
      </w:r>
      <w:r>
        <w:t xml:space="preserve">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w:t>
      </w:r>
      <w:r w:rsidR="006024F7">
        <w:t>the low flow hydrograph (53%) relative to the high flow hydrograph (42%)</w:t>
      </w:r>
      <w:r w:rsidR="007D67CD">
        <w:t xml:space="preserve"> </w:t>
      </w:r>
      <w:r w:rsidR="00061AC9">
        <w:t xml:space="preserve">due to surface water supply constraints </w:t>
      </w:r>
      <w:r w:rsidR="009E60B7">
        <w:t xml:space="preserve">(Fig. </w:t>
      </w:r>
      <w:r w:rsidR="007B3E36">
        <w:t>5</w:t>
      </w:r>
      <w:r w:rsidR="009E60B7">
        <w:t>)</w:t>
      </w:r>
      <w:r w:rsidR="006024F7">
        <w:t>. Average annual irrigation water requirements were the same for both simulations (2.58 feet) and slightly less than the annual average crop consumption (2.6 feet) due to small amounts of precipitation in t</w:t>
      </w:r>
      <w:r w:rsidR="000A7333">
        <w:t>he valley</w:t>
      </w:r>
      <w:r w:rsidR="009E60B7">
        <w:t>.</w:t>
      </w:r>
      <w:r w:rsidR="000A7333">
        <w:t xml:space="preserve"> Note that although the inflow hydrographs were difference for the simulations, the valley precipitation was assumed equal</w:t>
      </w:r>
      <w:r w:rsidR="008556D1">
        <w:t>.</w:t>
      </w:r>
      <w:r w:rsidR="006024F7">
        <w:t xml:space="preserve"> </w:t>
      </w:r>
    </w:p>
    <w:p w14:paraId="5A53C824" w14:textId="7B5025DF" w:rsidR="00110B5E" w:rsidRDefault="007B3E36" w:rsidP="009A17C1">
      <w:pPr>
        <w:pStyle w:val="BodyText"/>
        <w:ind w:firstLine="0"/>
      </w:pPr>
      <w:r w:rsidRPr="007B3E36">
        <w:lastRenderedPageBreak/>
        <w:drawing>
          <wp:inline distT="0" distB="0" distL="0" distR="0" wp14:anchorId="4CC9E488" wp14:editId="3976FAB5">
            <wp:extent cx="59436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969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7C58A43F" w:rsidR="00A91F70" w:rsidRDefault="007B3E36" w:rsidP="00614310">
      <w:pPr>
        <w:pStyle w:val="BodyText"/>
        <w:ind w:firstLine="0"/>
      </w:pPr>
      <w:r w:rsidRPr="007B3E36">
        <w:lastRenderedPageBreak/>
        <w:drawing>
          <wp:inline distT="0" distB="0" distL="0" distR="0" wp14:anchorId="6FA201CA" wp14:editId="17F46D56">
            <wp:extent cx="594360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48350"/>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4145ABF8"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902EB3">
        <w:t xml:space="preserve">The coarse soil requires </w:t>
      </w:r>
      <w:r w:rsidR="00BD0CEC">
        <w:t xml:space="preserve">greater amounts of </w:t>
      </w:r>
      <w:r w:rsidR="00902EB3">
        <w:t xml:space="preserve">irrigation earlier during the growing season relative to the fine soil </w:t>
      </w:r>
      <w:r w:rsidR="004B1FE0">
        <w:t>because of</w:t>
      </w:r>
      <w:r w:rsidR="00902EB3">
        <w:t xml:space="preserve"> lower antecedent soil moisture at </w:t>
      </w:r>
      <w:r w:rsidR="00902EB3">
        <w:lastRenderedPageBreak/>
        <w:t>the onset of the growing season</w:t>
      </w:r>
      <w:r w:rsidR="002276F1">
        <w:t xml:space="preserve"> (Fig. </w:t>
      </w:r>
      <w:r w:rsidR="00300591">
        <w:t>6</w:t>
      </w:r>
      <w:r w:rsidR="00902EB3">
        <w:t>).</w:t>
      </w:r>
      <w:r w:rsidR="00BF5172">
        <w:t xml:space="preserve"> Faster drainage increases the </w:t>
      </w:r>
      <w:r w:rsidR="00BD0CEC">
        <w:t xml:space="preserve">average annual </w:t>
      </w:r>
      <w:r w:rsidR="00BF5172">
        <w:t xml:space="preserve">NIWR </w:t>
      </w:r>
      <w:r w:rsidR="00A038C5">
        <w:t xml:space="preserve">for </w:t>
      </w:r>
      <w:r w:rsidR="0086676E">
        <w:t xml:space="preserve">the </w:t>
      </w:r>
      <w:r w:rsidR="00A038C5">
        <w:t>coarse soil</w:t>
      </w:r>
      <w:r w:rsidR="00BD0CEC">
        <w:t xml:space="preserve"> (3.1 feet) relative to the fine soil (2.6)</w:t>
      </w:r>
      <w:r w:rsidR="00A038C5">
        <w:t xml:space="preserve">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w:t>
      </w:r>
      <w:r w:rsidR="00BD0CEC">
        <w:t>7</w:t>
      </w:r>
      <w:r w:rsidR="007C6AE5">
        <w:t xml:space="preserve">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4" w:name="_Toc488393775"/>
      <w:bookmarkStart w:id="5" w:name="_Toc59000064"/>
    </w:p>
    <w:p w14:paraId="305402C9" w14:textId="3172582C" w:rsidR="00BE6563" w:rsidRDefault="00BE6563" w:rsidP="00BE6563">
      <w:pPr>
        <w:pStyle w:val="Heading2"/>
      </w:pPr>
      <w:r>
        <w:t>Example Problem 2a</w:t>
      </w:r>
    </w:p>
    <w:p w14:paraId="3F2AD2F8" w14:textId="78E81320"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xml:space="preserve">. </w:t>
      </w:r>
      <w:r w:rsidR="00320154">
        <w:t>7</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5C3BCB">
        <w:t>97</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5C3BCB">
        <w:t>70</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615B67E0"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8B7061">
        <w:t xml:space="preserve">additional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 xml:space="preserve">Additionally, irrigation constraints can be superimposed onto </w:t>
      </w:r>
      <w:r w:rsidR="008B7061">
        <w:t>ETDEMAND option</w:t>
      </w:r>
      <w:r w:rsidR="003A2A2C">
        <w:t xml:space="preserve"> to more closely mimic real-world conditions using SFR diversions and AG well time series input files.</w:t>
      </w:r>
      <w:r w:rsidR="008B7061">
        <w:t xml:space="preserve"> Accordingly, constraints on the timing and rates of irrigation can constrain irrigations using the ETDEMAND approach.</w:t>
      </w:r>
    </w:p>
    <w:p w14:paraId="0AAD4E67" w14:textId="39473F27"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 xml:space="preserve">was </w:t>
      </w:r>
      <w:r w:rsidR="00320154">
        <w:t>78</w:t>
      </w:r>
      <w:r w:rsidR="00584E86">
        <w:t xml:space="preserve">, </w:t>
      </w:r>
      <w:r w:rsidR="00320154">
        <w:t>100</w:t>
      </w:r>
      <w:r w:rsidR="00584E86">
        <w:t xml:space="preserve">, and </w:t>
      </w:r>
      <w:r w:rsidR="00320154">
        <w:t>77</w:t>
      </w:r>
      <w:r w:rsidR="00584E86">
        <w:t xml:space="preserve"> percent of the crop water demand during these years</w:t>
      </w:r>
      <w:r w:rsidR="00B63E47">
        <w:t xml:space="preserve"> </w:t>
      </w:r>
      <w:r w:rsidR="00051D83">
        <w:t xml:space="preserve">(Fig. </w:t>
      </w:r>
      <w:r w:rsidR="00320154">
        <w:t>8</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3F5715BC" w:rsidR="00CB0BE3" w:rsidRDefault="00815702" w:rsidP="000251AE">
      <w:pPr>
        <w:pStyle w:val="Heading1"/>
        <w:numPr>
          <w:ilvl w:val="0"/>
          <w:numId w:val="0"/>
        </w:numPr>
        <w:autoSpaceDE w:val="0"/>
        <w:ind w:left="432" w:hanging="432"/>
      </w:pPr>
      <w:r w:rsidRPr="00815702">
        <w:lastRenderedPageBreak/>
        <w:drawing>
          <wp:inline distT="0" distB="0" distL="0" distR="0" wp14:anchorId="0AE996E1" wp14:editId="2ADE4834">
            <wp:extent cx="5943600" cy="579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8185"/>
                    </a:xfrm>
                    <a:prstGeom prst="rect">
                      <a:avLst/>
                    </a:prstGeom>
                  </pic:spPr>
                </pic:pic>
              </a:graphicData>
            </a:graphic>
          </wp:inline>
        </w:drawing>
      </w:r>
    </w:p>
    <w:p w14:paraId="75B0965D" w14:textId="67F6F5FA" w:rsidR="00761D66" w:rsidRDefault="00B70383" w:rsidP="004308A9">
      <w:pPr>
        <w:pStyle w:val="FigureCaption"/>
      </w:pPr>
      <w:r>
        <w:t>Comparison of agricultural water use for example problem 2a</w:t>
      </w:r>
      <w:r w:rsidR="00A8169E">
        <w:t xml:space="preserve">, using low and high crop coefficients (Kc) shown in Figure </w:t>
      </w:r>
      <w:r w:rsidR="007954F4">
        <w:t>7</w:t>
      </w:r>
      <w:r w:rsidR="00A8169E">
        <w:t>.</w:t>
      </w:r>
    </w:p>
    <w:p w14:paraId="1FDCE27F" w14:textId="70FD59A7" w:rsidR="00761D66" w:rsidRDefault="00761D66" w:rsidP="00761D66">
      <w:pPr>
        <w:pStyle w:val="Heading2"/>
      </w:pPr>
      <w:r>
        <w:t>Example Problem 2b</w:t>
      </w:r>
    </w:p>
    <w:p w14:paraId="0F4E6C71" w14:textId="1D9DA3D6"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433EC0">
        <w:t>7</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4867FFD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433EC0">
        <w:t>9</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433EC0">
        <w:t>9</w:t>
      </w:r>
      <w:r w:rsidR="001B256B">
        <w:t>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538545B8"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w:t>
      </w:r>
      <w:r w:rsidR="00EB33A8">
        <w:t xml:space="preserve">impacts of surface water supply on groundwater pumping </w:t>
      </w:r>
      <w:r w:rsidR="00223552">
        <w:t>(EP1a),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4"/>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5"/>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1"/>
          <w:footerReference w:type="first" r:id="rId22"/>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3"/>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AD9C5" w14:textId="77777777" w:rsidR="00375D07" w:rsidRDefault="00375D07">
      <w:pPr>
        <w:spacing w:line="240" w:lineRule="auto"/>
      </w:pPr>
      <w:r>
        <w:separator/>
      </w:r>
    </w:p>
  </w:endnote>
  <w:endnote w:type="continuationSeparator" w:id="0">
    <w:p w14:paraId="443C0903" w14:textId="77777777" w:rsidR="00375D07" w:rsidRDefault="00375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D751C4" w:rsidRPr="004126AC" w:rsidRDefault="00D751C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D751C4" w:rsidRDefault="00D751C4" w:rsidP="00AE5423">
    <w:pPr>
      <w:pStyle w:val="Footer"/>
    </w:pPr>
    <w:r>
      <w:t>AG Package agricultural water use package</w:t>
    </w:r>
  </w:p>
  <w:p w14:paraId="57AA55E1" w14:textId="77777777" w:rsidR="00D751C4" w:rsidRDefault="00D751C4" w:rsidP="00AE5423">
    <w:pPr>
      <w:pStyle w:val="Footer"/>
    </w:pPr>
    <w:r>
      <w:t>ET evapotranspiration</w:t>
    </w:r>
  </w:p>
  <w:p w14:paraId="3CAD7786" w14:textId="77777777" w:rsidR="00D751C4" w:rsidRDefault="00D751C4" w:rsidP="00AE5423">
    <w:pPr>
      <w:pStyle w:val="Footer"/>
    </w:pPr>
    <w:r>
      <w:t>GIWR gross irrigation water requirement</w:t>
    </w:r>
  </w:p>
  <w:p w14:paraId="65CF20E6" w14:textId="77777777" w:rsidR="00D751C4" w:rsidRDefault="00D751C4" w:rsidP="00AE5423">
    <w:pPr>
      <w:pStyle w:val="Footer"/>
    </w:pPr>
    <w:r>
      <w:t>GSFLOW groundwater surface water flow model, integrates MODFLOW and PRMS</w:t>
    </w:r>
  </w:p>
  <w:p w14:paraId="562E13DC" w14:textId="56C68657" w:rsidR="00D751C4" w:rsidRDefault="00D751C4" w:rsidP="00AE5423">
    <w:pPr>
      <w:pStyle w:val="Footer"/>
    </w:pPr>
    <w:r>
      <w:t>HRU hydrologic response units</w:t>
    </w:r>
  </w:p>
  <w:p w14:paraId="40BCC5E0" w14:textId="77777777" w:rsidR="00D751C4" w:rsidRDefault="00D751C4" w:rsidP="00AE5423">
    <w:pPr>
      <w:pStyle w:val="Footer"/>
    </w:pPr>
    <w:r>
      <w:t>MODFLOW modular groundwater flow model</w:t>
    </w:r>
  </w:p>
  <w:p w14:paraId="24FFEBE2" w14:textId="5E6CDB72" w:rsidR="00D751C4" w:rsidRDefault="00D751C4" w:rsidP="00AE5423">
    <w:pPr>
      <w:pStyle w:val="Footer"/>
    </w:pPr>
    <w:r>
      <w:t>MODSIM generalized river basin decision support system and network flow model</w:t>
    </w:r>
  </w:p>
  <w:p w14:paraId="0908F7D9" w14:textId="112B8BBE" w:rsidR="00D751C4" w:rsidRDefault="00D751C4" w:rsidP="00AE5423">
    <w:pPr>
      <w:pStyle w:val="Footer"/>
    </w:pPr>
    <w:r>
      <w:t>NIWR net irrigation water requirement</w:t>
    </w:r>
  </w:p>
  <w:p w14:paraId="381902E5" w14:textId="77777777" w:rsidR="00D751C4" w:rsidRDefault="00D751C4" w:rsidP="00AE5423">
    <w:pPr>
      <w:pStyle w:val="Footer"/>
    </w:pPr>
    <w:r>
      <w:t>PRMS precipitation runoff modeling system</w:t>
    </w:r>
  </w:p>
  <w:p w14:paraId="3290D479" w14:textId="6E321F3A" w:rsidR="00D751C4" w:rsidRDefault="00D751C4" w:rsidP="00AE5423">
    <w:pPr>
      <w:pStyle w:val="Footer"/>
    </w:pPr>
    <w:r>
      <w:t>SFR streamflow routing package for MODFLOW</w:t>
    </w:r>
  </w:p>
  <w:p w14:paraId="57DB31FB" w14:textId="7933F228" w:rsidR="00D751C4" w:rsidRDefault="00D751C4" w:rsidP="00AE5423">
    <w:pPr>
      <w:pStyle w:val="Footer"/>
    </w:pPr>
    <w:r>
      <w:t>UZF unsaturated-zone flow package for MODFLOW</w:t>
    </w:r>
  </w:p>
  <w:p w14:paraId="43A37BCD" w14:textId="77777777" w:rsidR="00D751C4" w:rsidRDefault="00D751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D751C4" w:rsidRDefault="00D75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27E4C" w14:textId="77777777" w:rsidR="00375D07" w:rsidRDefault="00375D07">
      <w:pPr>
        <w:spacing w:line="240" w:lineRule="auto"/>
      </w:pPr>
      <w:r>
        <w:separator/>
      </w:r>
    </w:p>
  </w:footnote>
  <w:footnote w:type="continuationSeparator" w:id="0">
    <w:p w14:paraId="34EF2465" w14:textId="77777777" w:rsidR="00375D07" w:rsidRDefault="00375D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732"/>
    <w:rsid w:val="00052F4C"/>
    <w:rsid w:val="00054BA5"/>
    <w:rsid w:val="000571EC"/>
    <w:rsid w:val="000574ED"/>
    <w:rsid w:val="0006037D"/>
    <w:rsid w:val="000604D0"/>
    <w:rsid w:val="00061AC9"/>
    <w:rsid w:val="00063324"/>
    <w:rsid w:val="00063AB8"/>
    <w:rsid w:val="00063C86"/>
    <w:rsid w:val="0006475F"/>
    <w:rsid w:val="00065C99"/>
    <w:rsid w:val="000674EF"/>
    <w:rsid w:val="00070F78"/>
    <w:rsid w:val="00071DD5"/>
    <w:rsid w:val="00073E81"/>
    <w:rsid w:val="000740D8"/>
    <w:rsid w:val="00074804"/>
    <w:rsid w:val="00074DFD"/>
    <w:rsid w:val="000750A2"/>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333"/>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8CB"/>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0763E"/>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1C1"/>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0591"/>
    <w:rsid w:val="00301458"/>
    <w:rsid w:val="00301719"/>
    <w:rsid w:val="003020CC"/>
    <w:rsid w:val="003031BA"/>
    <w:rsid w:val="00303987"/>
    <w:rsid w:val="00303A8D"/>
    <w:rsid w:val="003077B8"/>
    <w:rsid w:val="0031055F"/>
    <w:rsid w:val="00310852"/>
    <w:rsid w:val="00311507"/>
    <w:rsid w:val="00311575"/>
    <w:rsid w:val="00312EB6"/>
    <w:rsid w:val="00314DE5"/>
    <w:rsid w:val="00315A3C"/>
    <w:rsid w:val="00315E15"/>
    <w:rsid w:val="003166D4"/>
    <w:rsid w:val="00317EFC"/>
    <w:rsid w:val="00320154"/>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07"/>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3EC0"/>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956"/>
    <w:rsid w:val="004B1FE0"/>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690F"/>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3BCB"/>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24F7"/>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ACD"/>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54F4"/>
    <w:rsid w:val="00796A92"/>
    <w:rsid w:val="007A3BCD"/>
    <w:rsid w:val="007A7C28"/>
    <w:rsid w:val="007B027C"/>
    <w:rsid w:val="007B1475"/>
    <w:rsid w:val="007B395F"/>
    <w:rsid w:val="007B3E36"/>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0B"/>
    <w:rsid w:val="007E3028"/>
    <w:rsid w:val="007E3EBA"/>
    <w:rsid w:val="007E4318"/>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5702"/>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56D1"/>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061"/>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2A84"/>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67B9"/>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335"/>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4691"/>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0CEC"/>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35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1C4"/>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3A8"/>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94022-5DFE-4AD8-9C1B-5394DC24D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59452</TotalTime>
  <Pages>40</Pages>
  <Words>7614</Words>
  <Characters>43402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385</cp:revision>
  <cp:lastPrinted>2017-08-01T14:27:00Z</cp:lastPrinted>
  <dcterms:created xsi:type="dcterms:W3CDTF">2018-09-12T20:59:00Z</dcterms:created>
  <dcterms:modified xsi:type="dcterms:W3CDTF">2019-04-15T16:16:00Z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