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43D8BD6F"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p>
    <w:p w14:paraId="6C34FA6F" w14:textId="34CB3BA4"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its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2474D7">
        <w:t xml:space="preserve">that combines MODFLOW with the precipitation runoff modeling system </w:t>
      </w:r>
      <w:r w:rsidR="001B4815">
        <w:t xml:space="preserve">(PRMS; </w:t>
      </w:r>
      <w:proofErr w:type="spellStart"/>
      <w:r w:rsidR="00425145">
        <w:t>Woolfenden</w:t>
      </w:r>
      <w:proofErr w:type="spellEnd"/>
      <w:r w:rsidR="00425145">
        <w:t xml:space="preserve"> and Nishikawa, 2014); </w:t>
      </w:r>
      <w:r w:rsidR="0023667F">
        <w:t>however,</w:t>
      </w:r>
      <w:r w:rsidR="00425145">
        <w:t xml:space="preserve"> in these cases the </w:t>
      </w:r>
      <w:r w:rsidR="00355AA9">
        <w:t>NIWRs</w:t>
      </w:r>
      <w:r w:rsidR="00425145">
        <w:t xml:space="preserve"> were estimated </w:t>
      </w:r>
      <w:r w:rsidR="00F43A45">
        <w:t xml:space="preserve">external to the model and </w:t>
      </w:r>
      <w:r w:rsidR="0023667F">
        <w:t xml:space="preserve">water supply </w:t>
      </w:r>
      <w:r w:rsidR="00770F4D">
        <w:t xml:space="preserve">impacts on antecedent conditions </w:t>
      </w:r>
      <w:r w:rsidR="001B4815">
        <w:t>were neglected</w:t>
      </w:r>
      <w:r w:rsidR="0023667F">
        <w:t xml:space="preserve">. </w:t>
      </w:r>
      <w:r w:rsidR="009C3EF5">
        <w:t>Another approach is to use dynamic energy and soil-water balance calculations within an integrated hyd</w:t>
      </w:r>
      <w:r w:rsidR="00816AB1">
        <w:t xml:space="preserve">rologic model to calculate NIWR, and explicitly simulate irrigation systems. This latter approach </w:t>
      </w:r>
      <w:r w:rsidR="00F43A45">
        <w:t xml:space="preserve">must simulate irrigation </w:t>
      </w:r>
      <w:r w:rsidR="00863BD5">
        <w:t>scheduling and</w:t>
      </w:r>
      <w:r w:rsidR="00F43A45">
        <w:t xml:space="preserve"> requires </w:t>
      </w:r>
      <w:r w:rsidR="00816AB1">
        <w:t xml:space="preserve">irrigation </w:t>
      </w:r>
      <w:r w:rsidR="00F43A45">
        <w:t>by</w:t>
      </w:r>
      <w:r w:rsidR="00816AB1">
        <w:t xml:space="preserve"> applied automatically </w:t>
      </w:r>
      <w:r w:rsidR="00863BD5">
        <w:t xml:space="preserve">in the model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approach is that simulated NIWR is consistent with the applied irrigation schedule and soil-water conditions</w:t>
      </w:r>
      <w:r w:rsidR="009D68B9" w:rsidRPr="009D68B9">
        <w:t xml:space="preserve"> </w:t>
      </w:r>
      <w:r w:rsidR="009D68B9">
        <w:t>in the model</w:t>
      </w:r>
      <w:r w:rsidR="008A785D">
        <w:t>.</w:t>
      </w:r>
    </w:p>
    <w:p w14:paraId="3A01D41A" w14:textId="18075F00" w:rsidR="0092778F" w:rsidRDefault="0036620A" w:rsidP="00315A3C">
      <w:pPr>
        <w:pStyle w:val="BodyText"/>
      </w:pPr>
      <w:r>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w:t>
      </w:r>
      <w:r w:rsidR="00833192">
        <w:lastRenderedPageBreak/>
        <w:t xml:space="preserve">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53E1D00F"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The AG Package also provides necessary capabilities for integration of 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p>
    <w:p w14:paraId="5A62F271" w14:textId="4643C86D" w:rsidR="00D0273B" w:rsidRDefault="00190617" w:rsidP="00315A3C">
      <w:pPr>
        <w:pStyle w:val="BodyText"/>
      </w:pPr>
      <w:r>
        <w:lastRenderedPageBreak/>
        <w:t>This report describes t</w:t>
      </w:r>
      <w:r w:rsidR="00D0273B">
        <w:t xml:space="preserve">he </w:t>
      </w:r>
      <w:r w:rsidR="003E7BD8">
        <w:t>AG</w:t>
      </w:r>
      <w:r w:rsidR="00D0273B">
        <w:t xml:space="preserve"> </w:t>
      </w:r>
      <w:r w:rsidR="00414116">
        <w:t>Pack</w:t>
      </w:r>
      <w:r w:rsidR="000E07DD">
        <w:t>ag</w:t>
      </w:r>
      <w:r w:rsidR="00414116">
        <w:t>e</w:t>
      </w:r>
      <w:r w:rsidR="00D0273B">
        <w:t xml:space="preserve"> developed for </w:t>
      </w:r>
      <w:r w:rsidR="006D5580">
        <w:t xml:space="preserve">MODFLOW and </w:t>
      </w:r>
      <w:r w:rsidR="00D0273B">
        <w:t xml:space="preserve">GSFLOW </w:t>
      </w:r>
      <w:r w:rsidR="00217B00">
        <w:t xml:space="preserve">(Niswonger and others, 2011; </w:t>
      </w:r>
      <w:proofErr w:type="spellStart"/>
      <w:r w:rsidR="00217B00">
        <w:t>Markstrom</w:t>
      </w:r>
      <w:proofErr w:type="spellEnd"/>
      <w:r w:rsidR="00217B00">
        <w:t xml:space="preserve"> and others, 2008</w:t>
      </w:r>
      <w:r w:rsidR="00414116">
        <w:t xml:space="preserve">; </w:t>
      </w:r>
      <w:proofErr w:type="spellStart"/>
      <w:r w:rsidR="00884656">
        <w:t>Markstrom</w:t>
      </w:r>
      <w:proofErr w:type="spellEnd"/>
      <w:r w:rsidR="00414116" w:rsidRPr="00414116">
        <w:t xml:space="preserve"> and others, 2015</w:t>
      </w:r>
      <w:r w:rsidR="00217B00">
        <w:t>)</w:t>
      </w:r>
      <w:r w:rsidR="00D0273B">
        <w:t>. The</w:t>
      </w:r>
      <w:r w:rsidR="000A2EA6">
        <w:t xml:space="preserve"> A</w:t>
      </w:r>
      <w:r w:rsidR="0093101A">
        <w:t>G</w:t>
      </w:r>
      <w:r w:rsidR="000A2EA6">
        <w:t xml:space="preserve"> Package</w:t>
      </w:r>
      <w:r w:rsidR="00D0273B">
        <w:t xml:space="preserve"> works with the Streamflow-Routing (</w:t>
      </w:r>
      <w:r w:rsidR="00730A3B">
        <w:t>SFR</w:t>
      </w:r>
      <w:r w:rsidR="00D0273B">
        <w:t xml:space="preserve">)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w:t>
      </w:r>
      <w:r w:rsidR="003E7BD8">
        <w:t>G</w:t>
      </w:r>
      <w:r w:rsidR="000A2EA6">
        <w:t xml:space="preserve"> Package</w:t>
      </w:r>
      <w:r w:rsidR="00395D00">
        <w:t xml:space="preserve"> </w:t>
      </w:r>
      <w:r w:rsidR="00D0273B">
        <w:t xml:space="preserve">has </w:t>
      </w:r>
      <w:r w:rsidR="00CF4CB5">
        <w:t>several</w:t>
      </w:r>
      <w:r w:rsidR="00D0273B">
        <w:t xml:space="preserve"> </w:t>
      </w:r>
      <w:r w:rsidR="00CF4CB5">
        <w:t>capabilities, including</w:t>
      </w:r>
      <w:r w:rsidR="006D5580">
        <w:t xml:space="preserve"> application of</w:t>
      </w:r>
      <w:r w:rsidR="00D0273B">
        <w:t xml:space="preserve"> water flowing in </w:t>
      </w:r>
      <w:r w:rsidR="00730A3B">
        <w:t>SFR</w:t>
      </w:r>
      <w:r w:rsidR="00D0273B">
        <w:t xml:space="preserve"> diversion segments as </w:t>
      </w:r>
      <w:r w:rsidR="002A5C58">
        <w:t>irrigation</w:t>
      </w:r>
      <w:r w:rsidR="00D0273B">
        <w:t xml:space="preserve"> to UZF1</w:t>
      </w:r>
      <w:r w:rsidR="00395D00">
        <w:t>/PRMS</w:t>
      </w:r>
      <w:r w:rsidR="00D0273B">
        <w:t xml:space="preserve"> cells</w:t>
      </w:r>
      <w:r w:rsidR="00395D00">
        <w:t>/HRUs</w:t>
      </w:r>
      <w:r w:rsidR="00CF4CB5">
        <w:t>;</w:t>
      </w:r>
      <w:r w:rsidR="006D5580">
        <w:t xml:space="preserve"> application of</w:t>
      </w:r>
      <w:r w:rsidR="00D0273B">
        <w:t xml:space="preserve"> </w:t>
      </w:r>
      <w:r w:rsidR="003E7BD8">
        <w:t>ground</w:t>
      </w:r>
      <w:r w:rsidR="00D0273B">
        <w:t>water pumped by wells in the</w:t>
      </w:r>
      <w:r w:rsidR="000A2EA6">
        <w:t xml:space="preserve"> A</w:t>
      </w:r>
      <w:r w:rsidR="00432326">
        <w:t>G</w:t>
      </w:r>
      <w:r w:rsidR="000A2EA6">
        <w:t xml:space="preserve"> Package</w:t>
      </w:r>
      <w:r w:rsidR="00D0273B">
        <w:t xml:space="preserve"> as </w:t>
      </w:r>
      <w:r w:rsidR="002A5C58">
        <w:t>irrigation</w:t>
      </w:r>
      <w:r w:rsidR="00D0273B">
        <w:t xml:space="preserve"> to UZF1</w:t>
      </w:r>
      <w:r w:rsidR="00395D00">
        <w:t>/PRMS</w:t>
      </w:r>
      <w:r w:rsidR="00D0273B">
        <w:t xml:space="preserve"> cells</w:t>
      </w:r>
      <w:r w:rsidR="00395D00">
        <w:t>/HRUs</w:t>
      </w:r>
      <w:r w:rsidR="00CF4CB5">
        <w:t>;</w:t>
      </w:r>
      <w:r w:rsidR="00D0273B">
        <w:t xml:space="preserve"> a</w:t>
      </w:r>
      <w:r w:rsidR="006D5580">
        <w:t>utomatic</w:t>
      </w:r>
      <w:r w:rsidR="00D0273B">
        <w:t xml:space="preserve"> pump</w:t>
      </w:r>
      <w:r w:rsidR="006D5580">
        <w:t>ing of</w:t>
      </w:r>
      <w:r w:rsidR="00D0273B">
        <w:t xml:space="preserve"> </w:t>
      </w:r>
      <w:r w:rsidR="006D5580">
        <w:t>ground</w:t>
      </w:r>
      <w:r w:rsidR="00D0273B">
        <w:t xml:space="preserve">water to supplement </w:t>
      </w:r>
      <w:r w:rsidR="00730A3B">
        <w:t>SFR</w:t>
      </w:r>
      <w:r w:rsidR="00D0273B">
        <w:t xml:space="preserve"> diversions when the available flow in a diversion segment is le</w:t>
      </w:r>
      <w:r w:rsidR="00CF4CB5">
        <w:t>ss than demand; and</w:t>
      </w:r>
      <w:r w:rsidR="0093101A">
        <w:t xml:space="preserve"> calculation of</w:t>
      </w:r>
      <w:r w:rsidR="00D0273B">
        <w:t xml:space="preserve"> </w:t>
      </w:r>
      <m:oMath>
        <m:r>
          <w:rPr>
            <w:rFonts w:ascii="Cambria Math" w:hAnsi="Cambria Math"/>
          </w:rPr>
          <m:t>NIWR</m:t>
        </m:r>
      </m:oMath>
      <w:r w:rsidR="00B6564F">
        <w:t xml:space="preserve"> </w:t>
      </w:r>
      <w:r w:rsidR="00D0273B">
        <w:t>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w:t>
      </w:r>
      <w:r w:rsidR="00CF4CB5">
        <w:t>S</w:t>
      </w:r>
      <w:r w:rsidR="00D0273B">
        <w:t xml:space="preserve">ub-irrigation </w:t>
      </w:r>
      <w:r w:rsidR="00CF4CB5">
        <w:t xml:space="preserve">also is represented </w:t>
      </w:r>
      <w:r w:rsidR="00D0273B">
        <w:t xml:space="preserve">where the ET demand </w:t>
      </w:r>
      <w:r w:rsidR="00395D00">
        <w:t>can be</w:t>
      </w:r>
      <w:r w:rsidR="00D0273B">
        <w:t xml:space="preserve"> supplemented by </w:t>
      </w:r>
      <w:r w:rsidR="00E945CA">
        <w:t>direct uptake of groundwater by plants</w:t>
      </w:r>
      <w:r w:rsidR="00432326">
        <w:t>, and irrigation scheduling can be fully automated or triggered by threshold ET deficits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1F60F7D4"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3855FD74" w:rsidR="0093101A" w:rsidRDefault="0093101A" w:rsidP="000B0819">
      <w:pPr>
        <w:pStyle w:val="BodyText"/>
      </w:pPr>
      <w:r>
        <w:lastRenderedPageBreak/>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B530FC">
        <w:t xml:space="preserve">There are many publications documenting theory and application of MODFLOW and GSFLOW, </w:t>
      </w:r>
      <w:r w:rsidR="008875CA">
        <w:t xml:space="preserve">and </w:t>
      </w:r>
      <w:r w:rsidR="00B530FC">
        <w:t xml:space="preserve">only new theoretical and implementation details for the AG Package are provided herein. Readers can refer to previous publications for simulations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33A9655A" w:rsidR="0014150E" w:rsidRDefault="00ED0169" w:rsidP="00E7244D">
      <w:pPr>
        <w:pStyle w:val="BodyText"/>
        <w:ind w:left="1080" w:firstLine="0"/>
      </w:pPr>
      <w:r>
        <w:t>NIWR 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rrigation water 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w:t>
      </w:r>
      <w:r w:rsidR="00F55847">
        <w:lastRenderedPageBreak/>
        <w:t xml:space="preserve">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6A099D"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6A099D"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6A6423E2" w:rsidR="005A6BDE" w:rsidRDefault="00014060" w:rsidP="00E7244D">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605C40C6" w:rsidR="00CD15CE" w:rsidRDefault="006B15D8" w:rsidP="00943F08">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DD2B2F">
        <w:t>ratio of</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lastRenderedPageBreak/>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45AFEBBF" w14:textId="6103D936" w:rsidR="00592989" w:rsidRDefault="00592989" w:rsidP="00592989">
      <w:pPr>
        <w:pStyle w:val="BodyText"/>
        <w:ind w:left="1080" w:firstLine="0"/>
      </w:pPr>
      <w:r>
        <w:t xml:space="preserve">For this option, the onset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p>
    <w:p w14:paraId="2B33313B" w14:textId="6EC85EAB" w:rsidR="000571EC" w:rsidRDefault="000571EC" w:rsidP="00592989">
      <w:pPr>
        <w:pStyle w:val="BodyText"/>
        <w:ind w:left="1080" w:firstLine="0"/>
      </w:pPr>
    </w:p>
    <w:p w14:paraId="2863C665" w14:textId="442B4D9D"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Surface water and groundwater return flows</w:t>
      </w:r>
      <w:r w:rsidR="00E35B6D">
        <w:t xml:space="preserve"> caused by irrigation</w:t>
      </w:r>
      <w:r w:rsidR="005F13D5">
        <w:t xml:space="preserve"> are simulated as runoff produced on the cell/HRU and water reaching the water table beneath a cell/HRU, respectively.</w:t>
      </w:r>
      <w:r w:rsidR="009238A5">
        <w:t xml:space="preserve"> 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groundwater beneath agricultural fields is simulated for irrigation configurations 3 and 4. Groundwater ET is simulated by UZF1 for MODFLOW simulations using a linear function of the depth to the water table; groundwater ET is simulated in GSFLOW </w:t>
      </w:r>
      <w:r w:rsidR="00846DA8">
        <w:t>due to</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6A099D"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CBCFDE6"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1</w:t>
      </w:r>
      <w:r w:rsidR="007C03EF">
        <w:t>A and 1B</w:t>
      </w:r>
      <w:r w:rsidR="00C043C9">
        <w:t>)</w:t>
      </w:r>
      <w:r w:rsidR="006126F0">
        <w:t>.</w:t>
      </w:r>
      <w:r>
        <w:t xml:space="preserve"> </w:t>
      </w:r>
      <w:r w:rsidR="00792B73">
        <w:t>For the simpler case</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lastRenderedPageBreak/>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6A099D"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w:t>
      </w:r>
      <w:r w:rsidR="00956623">
        <w:lastRenderedPageBreak/>
        <w:t xml:space="preserve">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6A099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4BD585C5" w:rsidR="009767CD" w:rsidRPr="000A69E6" w:rsidRDefault="009767CD" w:rsidP="006D18E5">
      <w:pPr>
        <w:pStyle w:val="BodyText"/>
        <w:ind w:firstLine="0"/>
      </w:pPr>
      <w:r>
        <w:tab/>
        <w:t xml:space="preserve">The third </w:t>
      </w:r>
      <w:r w:rsidR="00CE46BC">
        <w:t>approach</w:t>
      </w:r>
      <w:r>
        <w:t xml:space="preserve"> for simulating water </w:t>
      </w:r>
      <w:proofErr w:type="gramStart"/>
      <w:r>
        <w:t>use</w:t>
      </w:r>
      <w:proofErr w:type="gramEnd"/>
      <w:r>
        <w:t xml:space="preserve"> by </w:t>
      </w:r>
      <w:r w:rsidR="000E07DD">
        <w:t>ag</w:t>
      </w:r>
      <w:r>
        <w:t xml:space="preserve">riculture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w:t>
      </w:r>
      <w:r w:rsidR="007C03EF">
        <w:t xml:space="preserve"> (Fig. 1C)</w:t>
      </w:r>
      <w:r>
        <w:t xml:space="preserve">.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6A099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6A099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6A099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DFA99C1" w:rsidR="00A074C6" w:rsidRDefault="007C1A40" w:rsidP="00A074C6">
      <w:pPr>
        <w:pStyle w:val="BodyText"/>
        <w:ind w:firstLine="0"/>
      </w:pPr>
      <w:r>
        <w:t>Subject to the amount of surface water available for the diversion and/or well pumping capacity/aquifer production. 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t>G</w:t>
      </w:r>
      <w:r w:rsidR="000A2EA6">
        <w:t xml:space="preserve"> Package</w:t>
      </w:r>
      <w:r w:rsidR="00FF5FDD">
        <w:t xml:space="preserve"> </w:t>
      </w:r>
      <w:r>
        <w:t>can be used to constrain</w:t>
      </w:r>
      <w:r w:rsidR="00A22A71">
        <w:t xml:space="preserve"> irrigation timing and </w:t>
      </w:r>
      <w:r w:rsidR="001A020E">
        <w:t xml:space="preserve">maximum </w:t>
      </w:r>
      <w:r>
        <w:t>amounts. F</w:t>
      </w:r>
      <w:r w:rsidR="00A22A71">
        <w:t>or example</w:t>
      </w:r>
      <w:r w:rsidR="006F4E5B">
        <w:t>,</w:t>
      </w:r>
      <w:r w:rsidR="00A22A71">
        <w:t xml:space="preserve"> </w:t>
      </w:r>
      <w:r w:rsidR="00B952FD">
        <w:t xml:space="preserve">specified diversions and pumping rates can be used </w:t>
      </w:r>
      <w:r w:rsidR="00A22A71">
        <w:t xml:space="preserve">to represent growers </w:t>
      </w:r>
      <w:r w:rsidR="00353EC0">
        <w:t>that only can divert water</w:t>
      </w:r>
      <w:r w:rsidR="00B7756D">
        <w:t xml:space="preserve"> or pump groundwater</w:t>
      </w:r>
      <w:r w:rsidR="00353EC0">
        <w:t xml:space="preserve"> for irrigatio</w:t>
      </w:r>
      <w:r w:rsidR="00CA41C6">
        <w:t>n 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3286FA77" w:rsidR="00FC5999" w:rsidRDefault="00FC5999" w:rsidP="00A074C6">
      <w:pPr>
        <w:pStyle w:val="BodyText"/>
        <w:ind w:firstLine="0"/>
      </w:pPr>
      <w:r>
        <w:tab/>
      </w:r>
      <w:r w:rsidR="002B74AD">
        <w:t xml:space="preserve">Assuming for simplicity that one well </w:t>
      </w:r>
      <w:proofErr w:type="gramStart"/>
      <w:r w:rsidR="002B74AD">
        <w:t>supplements</w:t>
      </w:r>
      <w:proofErr w:type="gramEnd"/>
      <w:r w:rsidR="002B74AD">
        <w:t xml:space="preserve">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391F969C" w:rsidR="00FC5999" w:rsidRDefault="006A099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3A5312">
        <w:t>12</w:t>
      </w:r>
      <w:r w:rsidR="00FC5999">
        <w:t>)</w:t>
      </w:r>
    </w:p>
    <w:p w14:paraId="4D511CD1" w14:textId="68CE96D4" w:rsidR="000E32FC" w:rsidRDefault="000E32FC" w:rsidP="000E32FC">
      <w:pPr>
        <w:pStyle w:val="BodyText"/>
        <w:ind w:firstLine="0"/>
      </w:pPr>
      <w:r>
        <w:t>Where</w:t>
      </w:r>
    </w:p>
    <w:p w14:paraId="535DD30C" w14:textId="6C175AC7" w:rsidR="000E32FC" w:rsidRDefault="006A099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w:t>
      </w:r>
      <w:r w:rsidR="003A5312">
        <w:t>3</w:t>
      </w:r>
      <w:r w:rsidR="000E32FC">
        <w:t>)</w:t>
      </w:r>
    </w:p>
    <w:p w14:paraId="5FEBDB3F" w14:textId="0A3B5202"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 xml:space="preserve">convergence of </w:t>
      </w:r>
      <m:oMath>
        <m:r>
          <w:rPr>
            <w:rFonts w:ascii="Cambria Math" w:hAnsi="Cambria Math"/>
          </w:rPr>
          <m:t>NIWR</m:t>
        </m:r>
      </m:oMath>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w:t>
      </w:r>
      <w:r w:rsidR="003A5312">
        <w:t>amount</w:t>
      </w:r>
      <w:r w:rsidR="000B50B5">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15EF95E8" w:rsidR="008A46C5" w:rsidRPr="00CD6155" w:rsidRDefault="006A099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3A5312">
        <w:t>4</w:t>
      </w:r>
      <w:r w:rsidR="00CD6155">
        <w:t>)</w:t>
      </w:r>
    </w:p>
    <w:p w14:paraId="051D3B8E" w14:textId="352AAE25" w:rsidR="00F70406" w:rsidRDefault="003A5312" w:rsidP="00A074C6">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(L3/T-1</w:t>
      </w:r>
      <w:r w:rsidR="00696D3A">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04416708" w:rsidR="00947A68" w:rsidRDefault="006A099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9E5999">
        <w:t>5</w:t>
      </w:r>
      <w:r w:rsidR="00C94C39">
        <w:t>)</w:t>
      </w:r>
    </w:p>
    <w:p w14:paraId="0363D59A" w14:textId="641F10D7" w:rsidR="00C043C9" w:rsidRDefault="00C043C9" w:rsidP="00C043C9">
      <w:pPr>
        <w:pStyle w:val="BodyText"/>
        <w:ind w:firstLine="0"/>
      </w:pPr>
    </w:p>
    <w:p w14:paraId="24F592F2" w14:textId="70D42525"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 </w:t>
      </w:r>
      <w:proofErr w:type="gramStart"/>
      <w:r w:rsidR="00836E97">
        <w:t>then</w:t>
      </w:r>
      <w:proofErr w:type="gramEnd"/>
      <w:r w:rsidR="00836E97">
        <w:t xml:space="preserve"> the pumping rate is calculated using equations 12-14.</w:t>
      </w:r>
    </w:p>
    <w:p w14:paraId="54E66315" w14:textId="696F9301" w:rsidR="003A38A7" w:rsidRDefault="00C043C9" w:rsidP="00C043C9">
      <w:pPr>
        <w:pStyle w:val="BodyText"/>
        <w:ind w:firstLine="0"/>
      </w:pPr>
      <w:r>
        <w:tab/>
        <w:t>The fo</w:t>
      </w:r>
      <w:r w:rsidR="00CE46BC">
        <w:t>u</w:t>
      </w:r>
      <w:r>
        <w:t>rth approach for simulating agricultural water use automatically starts irrigation events when the ET deficit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6CE0E32B" w:rsidR="003A38A7" w:rsidRDefault="006A099D"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(16)</w:t>
      </w:r>
    </w:p>
    <w:p w14:paraId="68D29168" w14:textId="7E248EEB" w:rsidR="003A38A7" w:rsidRDefault="003A38A7" w:rsidP="00C043C9">
      <w:pPr>
        <w:pStyle w:val="BodyText"/>
        <w:ind w:firstLine="0"/>
      </w:pPr>
      <w:r>
        <w:t>And the irrigation event continues until:</w:t>
      </w:r>
    </w:p>
    <w:p w14:paraId="0E764592" w14:textId="19F7FABF" w:rsidR="003A38A7" w:rsidRPr="003A38A7" w:rsidRDefault="006A099D"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(17)</w:t>
      </w:r>
    </w:p>
    <w:p w14:paraId="3E869512" w14:textId="62EBCB6F" w:rsidR="003A38A7"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are the elapsed </w:t>
      </w:r>
      <w:r w:rsidR="00990E11">
        <w:t xml:space="preserve">and </w:t>
      </w:r>
      <w:r>
        <w:t xml:space="preserve">specified irrigation time, respectively.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16D6034A" w14:textId="70310FB7" w:rsidR="00C043C9" w:rsidRDefault="00C4779E" w:rsidP="00C043C9">
      <w:pPr>
        <w:pStyle w:val="BodyText"/>
        <w:ind w:firstLine="0"/>
      </w:pPr>
      <w:r>
        <w:t>A</w:t>
      </w:r>
      <w:r w:rsidR="00CE46BC">
        <w:t>s with the third approach, ET is simulated using energy and water balance formulations, and water is explicitly diverted and/o</w:t>
      </w:r>
      <w:r>
        <w:t>r pumped and applied to fields.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4" w:name="_Toc488403565"/>
      <w:r w:rsidRPr="00973640">
        <w:rPr>
          <w:noProof/>
        </w:rPr>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4"/>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611CF763"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p>
    <w:p w14:paraId="2D615BB4" w14:textId="7BF4E119" w:rsidR="00FE148C" w:rsidRDefault="00FE148C" w:rsidP="00B80A31">
      <w:pPr>
        <w:pStyle w:val="Heading2"/>
      </w:pPr>
      <w:r>
        <w:t>Example Problem 1</w:t>
      </w:r>
    </w:p>
    <w:p w14:paraId="7C6C6DD2" w14:textId="2F4B7D8A" w:rsidR="00FE148C" w:rsidRDefault="00110B5E" w:rsidP="003A71DA">
      <w:pPr>
        <w:pStyle w:val="BodyText"/>
      </w:pPr>
      <w:r>
        <w:t>This model</w:t>
      </w:r>
      <w:r w:rsidR="00892832">
        <w:t xml:space="preserve"> represents an alluvial river basin in a semi-arid region. </w:t>
      </w:r>
      <w:r>
        <w:t xml:space="preserve">Agriculture in central part of the basin relies on water diverted from the Green River and pumped from the shallow aquifer. </w:t>
      </w:r>
      <w:r w:rsidR="00892832">
        <w:t>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w:t>
      </w:r>
      <w:r w:rsidR="003A71DA">
        <w:lastRenderedPageBreak/>
        <w:t xml:space="preserve">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32D252B4"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that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1E142F">
        <w:t>M</w:t>
      </w:r>
      <w:r w:rsidR="00B516B2">
        <w:t>aximum surface water diversion</w:t>
      </w:r>
      <w:r w:rsidR="001E142F">
        <w:t>s</w:t>
      </w:r>
      <w:r w:rsidR="00B516B2">
        <w:t xml:space="preserve"> </w:t>
      </w:r>
      <w:r w:rsidR="001E142F">
        <w:t xml:space="preserve">rates were set within the SFR Package time series input files to control the timing </w:t>
      </w:r>
      <w:r w:rsidR="0028489F">
        <w:t xml:space="preserve">of diversions to </w:t>
      </w:r>
      <w:r w:rsidR="00E81443">
        <w:t>allow</w:t>
      </w:r>
      <w:r w:rsidR="00C72968">
        <w:t xml:space="preserve"> 7 days of irrigation </w:t>
      </w:r>
      <w:r w:rsidR="0028489F">
        <w:t>and</w:t>
      </w:r>
      <w:r w:rsidR="00C72968">
        <w:t xml:space="preserve"> 7 days without irrigation </w:t>
      </w:r>
      <w:r w:rsidR="001E142F">
        <w:t>from</w:t>
      </w:r>
      <w:r w:rsidR="00C72968">
        <w:t xml:space="preserve"> April </w:t>
      </w:r>
      <w:r w:rsidR="001E142F">
        <w:t xml:space="preserve">1 </w:t>
      </w:r>
      <w:r w:rsidR="00C72968">
        <w:t xml:space="preserve">to September </w:t>
      </w:r>
      <w:r w:rsidR="001E142F">
        <w:t>30</w:t>
      </w:r>
      <w:r w:rsidR="00110B5E">
        <w:t>, and a maximum rate of 55</w:t>
      </w:r>
      <w:r w:rsidR="00B516B2">
        <w:t xml:space="preserve"> ft</w:t>
      </w:r>
      <w:r w:rsidR="00B516B2">
        <w:rPr>
          <w:vertAlign w:val="superscript"/>
        </w:rPr>
        <w:t>3</w:t>
      </w:r>
      <w:r w:rsidR="00B516B2">
        <w:t>/s can be diverted from the stream for irrigation</w:t>
      </w:r>
      <w:r w:rsidR="00110B5E">
        <w:t xml:space="preserve"> (Fig. </w:t>
      </w:r>
      <w:r w:rsidR="0028489F">
        <w:t>4)</w:t>
      </w:r>
      <w:r w:rsidR="00FE4F81">
        <w:t xml:space="preserve">. </w:t>
      </w:r>
      <w:r w:rsidR="00276100">
        <w:t>EP</w:t>
      </w:r>
      <w:r w:rsidR="0087589F">
        <w:t xml:space="preserve">1b is identical to </w:t>
      </w:r>
      <w:r w:rsidR="00276100">
        <w:t>EP</w:t>
      </w:r>
      <w:r w:rsidR="0087589F">
        <w:t xml:space="preserve">1a, except that NIWR is satisfied by </w:t>
      </w:r>
      <w:r w:rsidR="00E81443">
        <w:t xml:space="preserve">solely </w:t>
      </w:r>
      <w:r w:rsidR="0087589F">
        <w:t>grou</w:t>
      </w:r>
      <w:r w:rsidR="00E81443">
        <w:t>ndwater</w:t>
      </w:r>
      <w:r w:rsidR="0087589F">
        <w:t xml:space="preserve">. </w:t>
      </w:r>
      <w:r w:rsidR="00276100">
        <w:t>An important difference between EP1a an EP1b is that control on the timing of irrigation events set in EP1a (Fig. 3), limits irrigation, representative of deficit irrigation practices.</w:t>
      </w:r>
      <w:r w:rsidR="00DB3B40">
        <w:t xml:space="preserve"> For EP1b</w:t>
      </w:r>
      <w:r w:rsidR="00276100">
        <w:t xml:space="preserve"> </w:t>
      </w:r>
      <w:r w:rsidR="00DB3B40">
        <w:t>m</w:t>
      </w:r>
      <w:r w:rsidR="00276100">
        <w:t>aximum pumping rates are set to large values (10,000 ft</w:t>
      </w:r>
      <w:r w:rsidR="00276100" w:rsidRPr="00FC3630">
        <w:rPr>
          <w:vertAlign w:val="superscript"/>
        </w:rPr>
        <w:t>3</w:t>
      </w:r>
      <w:r w:rsidR="00276100">
        <w:t xml:space="preserve">/s) in the AG Package input file to avoid any constraints on irrigation. Thus,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276100">
        <w:t xml:space="preserve"> </w:t>
      </w:r>
      <w:r w:rsidR="00DB3B40">
        <w:t>equal</w:t>
      </w:r>
      <w:r w:rsidR="0083113C">
        <w:t>s</w:t>
      </w:r>
      <w:r w:rsidR="00276100">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76100">
        <w:t xml:space="preserve"> throughout the </w:t>
      </w:r>
      <w:r w:rsidR="00DB3B40">
        <w:t xml:space="preserve">EP1b </w:t>
      </w:r>
      <w:r w:rsidR="00276100">
        <w:t>simulation.</w:t>
      </w:r>
    </w:p>
    <w:p w14:paraId="16BCFF7C" w14:textId="77777777" w:rsidR="00BE6563" w:rsidRDefault="00BE6563" w:rsidP="00BE6563">
      <w:pPr>
        <w:pStyle w:val="Heading2"/>
      </w:pPr>
      <w:r>
        <w:t>Example Problem 2</w:t>
      </w:r>
    </w:p>
    <w:p w14:paraId="23E57EB4" w14:textId="40E64D6D"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w:t>
      </w:r>
      <w:proofErr w:type="spellStart"/>
      <w:r w:rsidR="00BE6563" w:rsidRPr="00915986">
        <w:t>volcanics</w:t>
      </w:r>
      <w:proofErr w:type="spellEnd"/>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w:t>
      </w:r>
      <w:r w:rsidR="00BE6563" w:rsidRPr="00915986">
        <w:lastRenderedPageBreak/>
        <w:t xml:space="preserve">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77777777"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p>
    <w:p w14:paraId="355260E1" w14:textId="4BEF462F"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m:oMath>
        <m:r>
          <w:rPr>
            <w:rFonts w:ascii="Cambria Math" w:hAnsi="Cambria Math"/>
          </w:rPr>
          <m:t>NIWR</m:t>
        </m:r>
      </m:oMath>
      <w:r w:rsidR="009E60B7">
        <w:t xml:space="preserve"> </w:t>
      </w:r>
      <w:r w:rsidR="007D67CD">
        <w:t xml:space="preserve">during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schedule for supplemental 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p>
    <w:p w14:paraId="11E826D9" w14:textId="12270CE8" w:rsidR="007A7C28" w:rsidRDefault="007A7C28" w:rsidP="007A7C28">
      <w:pPr>
        <w:pStyle w:val="BodyText"/>
      </w:pPr>
    </w:p>
    <w:p w14:paraId="7F26CAFD" w14:textId="1264BBBE" w:rsidR="007A7C28" w:rsidRDefault="000161F3" w:rsidP="007A7C28">
      <w:pPr>
        <w:pStyle w:val="BodyText"/>
      </w:pPr>
      <w:r>
        <w:rPr>
          <w:noProof/>
        </w:rPr>
        <w:lastRenderedPageBreak/>
        <w:drawing>
          <wp:inline distT="0" distB="0" distL="0" distR="0" wp14:anchorId="3D831189" wp14:editId="56DE5E1F">
            <wp:extent cx="5943600" cy="2287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7270"/>
                    </a:xfrm>
                    <a:prstGeom prst="rect">
                      <a:avLst/>
                    </a:prstGeom>
                  </pic:spPr>
                </pic:pic>
              </a:graphicData>
            </a:graphic>
          </wp:inline>
        </w:drawing>
      </w:r>
    </w:p>
    <w:p w14:paraId="3DEF09BB" w14:textId="7392E893" w:rsidR="007A7C28" w:rsidRDefault="00445170" w:rsidP="007A7C28">
      <w:pPr>
        <w:pStyle w:val="FigureCaption"/>
      </w:pPr>
      <w:r>
        <w:t>Maximum irrigation diversions during growing season. Diversions</w:t>
      </w:r>
      <w:r w:rsidR="00BB7466">
        <w:t xml:space="preserve"> and supplementary pumping</w:t>
      </w:r>
      <w:r>
        <w:t xml:space="preserve"> for irrigation are limited to periods when flows are nonzero.</w:t>
      </w:r>
    </w:p>
    <w:p w14:paraId="5A53C824" w14:textId="38D0D915" w:rsidR="00110B5E" w:rsidRDefault="00D17545" w:rsidP="00D17545">
      <w:pPr>
        <w:pStyle w:val="BodyText"/>
      </w:pPr>
      <w:r w:rsidRPr="00D17545">
        <w:rPr>
          <w:noProof/>
        </w:rPr>
        <w:drawing>
          <wp:inline distT="0" distB="0" distL="0" distR="0" wp14:anchorId="78B1FEF6" wp14:editId="7FFF912C">
            <wp:extent cx="5943600" cy="24980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98090"/>
                    </a:xfrm>
                    <a:prstGeom prst="rect">
                      <a:avLst/>
                    </a:prstGeom>
                  </pic:spPr>
                </pic:pic>
              </a:graphicData>
            </a:graphic>
          </wp:inline>
        </w:drawing>
      </w:r>
    </w:p>
    <w:p w14:paraId="5B31E69E" w14:textId="1EA0D3B5" w:rsidR="00110B5E" w:rsidRDefault="00110B5E" w:rsidP="00110B5E">
      <w:pPr>
        <w:pStyle w:val="FigureCaption"/>
      </w:pPr>
      <w:r>
        <w:t>Inflo</w:t>
      </w:r>
      <w:r w:rsidR="00705EEB">
        <w:t>w hydrographs for test model 1a, representing years of average and below average precipitation.</w:t>
      </w:r>
    </w:p>
    <w:p w14:paraId="7C5169C6" w14:textId="7CF19EB4" w:rsidR="00110B5E" w:rsidRPr="00110B5E" w:rsidRDefault="00DD1F8C" w:rsidP="00110B5E">
      <w:pPr>
        <w:pStyle w:val="BodyText"/>
      </w:pPr>
      <w:r w:rsidRPr="00DD1F8C">
        <w:rPr>
          <w:noProof/>
        </w:rPr>
        <w:lastRenderedPageBreak/>
        <w:drawing>
          <wp:inline distT="0" distB="0" distL="0" distR="0" wp14:anchorId="5C62564D" wp14:editId="6D7E803D">
            <wp:extent cx="5943600" cy="5902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02325"/>
                    </a:xfrm>
                    <a:prstGeom prst="rect">
                      <a:avLst/>
                    </a:prstGeom>
                  </pic:spPr>
                </pic:pic>
              </a:graphicData>
            </a:graphic>
          </wp:inline>
        </w:drawing>
      </w:r>
    </w:p>
    <w:p w14:paraId="4C99FFC6" w14:textId="5D0A44F7" w:rsidR="00A91F70" w:rsidRDefault="00A91F70" w:rsidP="00A91F70">
      <w:pPr>
        <w:pStyle w:val="BodyText"/>
      </w:pPr>
    </w:p>
    <w:p w14:paraId="2FFCF7F5" w14:textId="532AFFAD" w:rsidR="00BC4D0D" w:rsidRDefault="00AA1627" w:rsidP="00BC4D0D">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5AA72594" w14:textId="59598198" w:rsidR="00BC0D88" w:rsidRDefault="00BC0D88" w:rsidP="00BC0D88">
      <w:pPr>
        <w:pStyle w:val="BodyText"/>
      </w:pPr>
    </w:p>
    <w:p w14:paraId="59CD9476" w14:textId="2E51CDB3" w:rsidR="00BC0D88" w:rsidRPr="00BC0D88" w:rsidRDefault="00A44967" w:rsidP="00A44967">
      <w:pPr>
        <w:pStyle w:val="BodyText"/>
        <w:ind w:firstLine="0"/>
      </w:pPr>
      <w:r w:rsidRPr="00A44967">
        <w:rPr>
          <w:noProof/>
        </w:rPr>
        <w:lastRenderedPageBreak/>
        <w:drawing>
          <wp:inline distT="0" distB="0" distL="0" distR="0" wp14:anchorId="134D2B0A" wp14:editId="1278DE66">
            <wp:extent cx="5942857" cy="2323809"/>
            <wp:effectExtent l="0" t="0" r="127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2857" cy="2323809"/>
                    </a:xfrm>
                    <a:prstGeom prst="rect">
                      <a:avLst/>
                    </a:prstGeom>
                  </pic:spPr>
                </pic:pic>
              </a:graphicData>
            </a:graphic>
          </wp:inline>
        </w:drawing>
      </w:r>
    </w:p>
    <w:p w14:paraId="0908C3E1" w14:textId="117360AC" w:rsidR="00FD3109" w:rsidRDefault="00FD3109" w:rsidP="00195975">
      <w:pPr>
        <w:pStyle w:val="FigureCaption"/>
      </w:pPr>
      <w:r>
        <w:t xml:space="preserve">Well-watered and actual </w:t>
      </w:r>
      <w:r w:rsidR="00853C00">
        <w:t xml:space="preserve">evapotranspiration </w:t>
      </w:r>
      <w:r>
        <w:t xml:space="preserve">for simulated agricultural fields </w:t>
      </w:r>
      <w:r w:rsidR="00F11C53">
        <w:t>in example problem 1a.</w:t>
      </w:r>
    </w:p>
    <w:p w14:paraId="401440FE" w14:textId="40FF2247" w:rsidR="00FD3109" w:rsidRDefault="00BE6563" w:rsidP="00FD3109">
      <w:pPr>
        <w:pStyle w:val="Heading2"/>
      </w:pPr>
      <w:r>
        <w:t>Example Problem 1b</w:t>
      </w:r>
    </w:p>
    <w:p w14:paraId="1B9EA97C" w14:textId="0A144105" w:rsidR="00D5755C" w:rsidRDefault="00F8383F" w:rsidP="00D5755C">
      <w:pPr>
        <w:pStyle w:val="BodyText"/>
      </w:pPr>
      <w:r>
        <w:t xml:space="preserve">This example problem is run for 2 different agricultural field soil types, including fine and coarse soil textures.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by the ET deficit (Fig. 8)</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coarse soils </w:t>
      </w:r>
      <w:r w:rsidR="00DE6A51">
        <w:t>due to greater amounts of groundwater return</w:t>
      </w:r>
      <w:r w:rsidR="002276F1">
        <w:t xml:space="preserve"> flows</w:t>
      </w:r>
      <w:r w:rsidR="00BF5172">
        <w:t xml:space="preserve">. </w:t>
      </w:r>
      <w:r w:rsidR="00FA3719">
        <w:t xml:space="preserve">A single irrigation event requires a maximum of 7 inches applied to an area </w:t>
      </w:r>
      <w:r w:rsidR="00A038C5">
        <w:t>of 3,440</w:t>
      </w:r>
      <w:r w:rsidR="00FA3719">
        <w:t xml:space="preserve"> acres of fields, and 2-3 large irrigation events are required per season to satisfy crop-water demands. </w:t>
      </w:r>
    </w:p>
    <w:p w14:paraId="6B448E4E" w14:textId="743D9710" w:rsidR="00FD3109" w:rsidRPr="00FD3109" w:rsidRDefault="00FD3109" w:rsidP="00FD3109">
      <w:pPr>
        <w:pStyle w:val="BodyText"/>
      </w:pPr>
    </w:p>
    <w:p w14:paraId="65131FF4" w14:textId="14901A85" w:rsidR="00773B5E" w:rsidRDefault="00D14BA7" w:rsidP="00773B5E">
      <w:pPr>
        <w:pStyle w:val="BodyText"/>
      </w:pPr>
      <w:r w:rsidRPr="00D14BA7">
        <w:rPr>
          <w:noProof/>
        </w:rPr>
        <w:lastRenderedPageBreak/>
        <w:drawing>
          <wp:inline distT="0" distB="0" distL="0" distR="0" wp14:anchorId="77562639" wp14:editId="75001933">
            <wp:extent cx="5943600" cy="5845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45175"/>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5" w:name="_Toc488393775"/>
      <w:bookmarkStart w:id="6" w:name="_Toc59000064"/>
    </w:p>
    <w:p w14:paraId="1A3FB448" w14:textId="16D2CECB" w:rsidR="00A278E3" w:rsidRDefault="00A278E3" w:rsidP="007C5873">
      <w:pPr>
        <w:pStyle w:val="BodyText"/>
      </w:pPr>
    </w:p>
    <w:p w14:paraId="305402C9" w14:textId="3172582C" w:rsidR="00BE6563" w:rsidRDefault="00BE6563" w:rsidP="00BE6563">
      <w:pPr>
        <w:pStyle w:val="Heading2"/>
      </w:pPr>
      <w:r>
        <w:lastRenderedPageBreak/>
        <w:t>Example Problem 2a</w:t>
      </w:r>
    </w:p>
    <w:p w14:paraId="3F2AD2F8" w14:textId="544F3CD5" w:rsidR="00C93063" w:rsidRDefault="008602C9" w:rsidP="0008264E">
      <w:pPr>
        <w:pStyle w:val="BodyText"/>
      </w:pPr>
      <w:r>
        <w:t xml:space="preserve">EP2a illustrates the effects of the crop coefficient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Annual average NIWR for the period 1991-1993 is 18.4 hectare-meters (0.7 hectare-meter per square meter) for high crop coefficient and 13.4</w:t>
      </w:r>
      <w:r w:rsidR="008B41B4">
        <w:t xml:space="preserve"> hectare-meters (0.</w:t>
      </w:r>
      <w:r w:rsidR="008B41B4">
        <w:t>5</w:t>
      </w:r>
      <w:r w:rsidR="008B41B4">
        <w:t xml:space="preserve"> hectare-meter per square meter) for </w:t>
      </w:r>
      <w:r w:rsidR="008B41B4">
        <w:t>low</w:t>
      </w:r>
      <w:r w:rsidR="008B41B4">
        <w:t xml:space="preserve"> crop coefficient</w:t>
      </w:r>
      <w:r w:rsidR="008B41B4">
        <w:t xml:space="preserve">. Annual average crop consumption </w:t>
      </w:r>
      <w:r w:rsidR="006D4B0C">
        <w:t>is</w:t>
      </w:r>
      <w:r w:rsidR="008B41B4">
        <w:t xml:space="preserve"> equal to </w:t>
      </w:r>
      <w:r w:rsidR="00974BEF">
        <w:t xml:space="preserve">27.2 hectare-meters </w:t>
      </w:r>
      <w:r w:rsidR="00974BEF">
        <w:t>(</w:t>
      </w:r>
      <w:r w:rsidR="00974BEF">
        <w:t>1.0</w:t>
      </w:r>
      <w:r w:rsidR="00974BEF">
        <w:t xml:space="preserve"> hectare-meter per square meter)</w:t>
      </w:r>
      <w:r w:rsidR="00974BEF">
        <w:t xml:space="preserve"> and 20.7 hectare-meters (</w:t>
      </w:r>
      <w:r w:rsidR="00974BEF">
        <w:t>0.7</w:t>
      </w:r>
      <w:r w:rsidR="00974BEF">
        <w:t>5</w:t>
      </w:r>
      <w:r w:rsidR="00974BEF">
        <w:t xml:space="preserve"> hectare-meter per square meter)</w:t>
      </w:r>
      <w:r w:rsidR="00974BEF">
        <w:t xml:space="preserve">, respectively. Actual ET equals well-watered ET in </w:t>
      </w:r>
      <w:r w:rsidR="006D4B0C">
        <w:t>this example</w:t>
      </w:r>
      <w:r w:rsidR="00974BEF">
        <w:t xml:space="preserve"> because the ET demand approach is used and there are no constraints on irrigation amounts. </w:t>
      </w:r>
      <w:r w:rsidR="00AB1AFD">
        <w:t>NIWR is less than crop consumption in this example because of water supplied by precipitation, groundwater, and return flows.</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Additionally, i</w:t>
      </w:r>
      <w:r w:rsidR="003A2A2C">
        <w:t xml:space="preserve">rrigation constraints can be superimposed onto </w:t>
      </w:r>
      <w:r w:rsidR="003A2A2C">
        <w:t>EP2a to more closely mimic real-world conditions</w:t>
      </w:r>
      <w:r w:rsidR="003A2A2C">
        <w:t xml:space="preserve">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220B1139"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 xml:space="preserve">measured at the Independence Lake climate station </w:t>
      </w:r>
      <w:r w:rsidR="00073E81">
        <w:lastRenderedPageBreak/>
        <w:t>for water years 1991</w:t>
      </w:r>
      <w:r>
        <w:t xml:space="preserve">, 1992, and </w:t>
      </w:r>
      <w:r w:rsidR="00073E81">
        <w:t>1993 was 83</w:t>
      </w:r>
      <w:r w:rsidR="00051D83">
        <w:t xml:space="preserve"> </w:t>
      </w:r>
      <w:r w:rsidR="00073E81">
        <w:t>cm, 71 cm, and 149 cm, respectively</w:t>
      </w:r>
      <w:r w:rsidR="00051D83">
        <w:t xml:space="preserve">, </w:t>
      </w:r>
      <w:r w:rsidR="00B63E47">
        <w:t>and</w:t>
      </w:r>
      <w:r w:rsidR="00051D83">
        <w:t xml:space="preserve"> NIWR for each of these years </w:t>
      </w:r>
      <w:r w:rsidR="00B63E47">
        <w:t xml:space="preserve">is inversely proportional to annual precipitation amounts </w:t>
      </w:r>
      <w:r w:rsidR="00051D83">
        <w:t>(Fig. 10).</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11)</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2B7B8A40" w:rsidR="00CB0BE3" w:rsidRDefault="008F0BC1" w:rsidP="000251AE">
      <w:pPr>
        <w:pStyle w:val="Heading1"/>
        <w:numPr>
          <w:ilvl w:val="0"/>
          <w:numId w:val="0"/>
        </w:numPr>
        <w:autoSpaceDE w:val="0"/>
        <w:ind w:left="432" w:hanging="432"/>
      </w:pPr>
      <w:r w:rsidRPr="008F0BC1">
        <w:lastRenderedPageBreak/>
        <w:drawing>
          <wp:inline distT="0" distB="0" distL="0" distR="0" wp14:anchorId="3D737EEF" wp14:editId="6B3B5737">
            <wp:extent cx="5943600" cy="5804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80453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4B9C53B1" w:rsidR="007C0DB7" w:rsidRDefault="00C8128A" w:rsidP="00761D66">
      <w:pPr>
        <w:pStyle w:val="BodyText"/>
      </w:pPr>
      <w:r>
        <w:t xml:space="preserve">Example problem 2b is identical to EP2a, except that the trigger approach is used, and the seasonal crop coefficients were set as shown in Figure 9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then a new irrigation period will </w:t>
      </w:r>
      <w:r w:rsidR="007C0DB7">
        <w:t>begin immediately</w:t>
      </w:r>
      <w:r w:rsidR="00FC6A2E">
        <w:t>.</w:t>
      </w:r>
    </w:p>
    <w:p w14:paraId="42653ECC" w14:textId="361E89B5" w:rsidR="00761D66" w:rsidRPr="00761D66" w:rsidRDefault="0019403F" w:rsidP="002F7395">
      <w:pPr>
        <w:pStyle w:val="BodyText"/>
      </w:pPr>
      <w:r>
        <w:t xml:space="preserve">Net irrigation water is directly proportional to the trigger threshold, where higher trigger values result in greater irrigation amounts (Fig. 12).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w:t>
      </w:r>
      <w:r w:rsidR="00355EB8">
        <w:t>hectare-meter per square meter</w:t>
      </w:r>
      <w:r w:rsidR="00355EB8">
        <w:t>)</w:t>
      </w:r>
      <w:r w:rsidR="007C0DB7">
        <w:t>.</w:t>
      </w:r>
      <w:r w:rsidR="002F7395">
        <w:t xml:space="preserve"> </w:t>
      </w:r>
      <w:bookmarkStart w:id="7" w:name="_GoBack"/>
      <w:bookmarkEnd w:id="7"/>
      <w:r>
        <w:t>Because setting a low trigger value allows the soils to drain more between irrigation events, lower trigger values result in less actual ET as compared to higher trigger values (Fig. 13).</w:t>
      </w:r>
    </w:p>
    <w:p w14:paraId="5C8541AC" w14:textId="5F4CFE9F" w:rsidR="00E558AF" w:rsidRPr="00E558AF" w:rsidRDefault="006A099D" w:rsidP="00E558AF">
      <w:pPr>
        <w:pStyle w:val="BodyText"/>
        <w:ind w:firstLine="0"/>
      </w:pPr>
      <w:r w:rsidRPr="006A099D">
        <w:lastRenderedPageBreak/>
        <w:drawing>
          <wp:inline distT="0" distB="0" distL="0" distR="0" wp14:anchorId="27D0FE8B" wp14:editId="2BE8F94D">
            <wp:extent cx="5943600" cy="58775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877560"/>
                    </a:xfrm>
                    <a:prstGeom prst="rect">
                      <a:avLst/>
                    </a:prstGeom>
                  </pic:spPr>
                </pic:pic>
              </a:graphicData>
            </a:graphic>
          </wp:inline>
        </w:drawing>
      </w:r>
    </w:p>
    <w:p w14:paraId="6FED623F" w14:textId="26FD62A4" w:rsidR="00A27606" w:rsidRDefault="00A27606" w:rsidP="00A27606">
      <w:pPr>
        <w:pStyle w:val="FigureCaption"/>
      </w:pPr>
      <w:r>
        <w:t xml:space="preserve">Comparison of agricultural water use for example problem 2a, using low and high </w:t>
      </w:r>
      <w:r>
        <w:t>irrigation trigger values</w:t>
      </w:r>
      <w:r>
        <w:t>.</w:t>
      </w:r>
    </w:p>
    <w:p w14:paraId="5DD1317C" w14:textId="73045985" w:rsidR="0028639D" w:rsidRDefault="0028639D" w:rsidP="003D4F1B">
      <w:pPr>
        <w:pStyle w:val="Heading1"/>
        <w:autoSpaceDE w:val="0"/>
      </w:pPr>
      <w:r>
        <w:t>Discussion</w:t>
      </w:r>
    </w:p>
    <w:p w14:paraId="3D64548A" w14:textId="7D67AF0B"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w:t>
      </w:r>
      <w:r w:rsidR="00750487">
        <w:lastRenderedPageBreak/>
        <w:t xml:space="preserve">used to estimate agricultural water use for systems where information about NIWR, surface water and groundwater use is not available, or it can be used to simulate the impacts of agricultural water use on water supply. The latter use is important in regions where there are competing needs for water, and system changes such as climate change, population growth, and land use change that are having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lastRenderedPageBreak/>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5"/>
    <w:p w14:paraId="2AA65FD4" w14:textId="34917EA1" w:rsidR="007940A3" w:rsidRDefault="007940A3" w:rsidP="00BE67B5">
      <w:pPr>
        <w:pStyle w:val="Heading1"/>
      </w:pPr>
      <w:r>
        <w:t>Conclusions</w:t>
      </w:r>
    </w:p>
    <w:p w14:paraId="4CB3BBFB" w14:textId="1B1D71C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proofErr w:type="gramStart"/>
      <w:r w:rsidR="000C5814">
        <w:t>understanding</w:t>
      </w:r>
      <w:proofErr w:type="gramEnd"/>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 xml:space="preserve">example problems, this paper demonstrates the software’s </w:t>
      </w:r>
      <w:r w:rsidR="000C5814">
        <w:lastRenderedPageBreak/>
        <w:t>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t>References</w:t>
      </w:r>
      <w:r w:rsidRPr="00DC6924">
        <w:t xml:space="preserve"> Cited</w:t>
      </w:r>
      <w:bookmarkEnd w:id="6"/>
      <w:bookmarkEnd w:id="8"/>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6"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w:t>
      </w:r>
      <w:r w:rsidRPr="00E910BA">
        <w:lastRenderedPageBreak/>
        <w:t>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lastRenderedPageBreak/>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lastRenderedPageBreak/>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9" w:name="_Toc59000065"/>
    </w:p>
    <w:p w14:paraId="4A7C0C88" w14:textId="1848F3E7" w:rsidR="003A7530" w:rsidRDefault="003A7530" w:rsidP="008C7E2C">
      <w:pPr>
        <w:pStyle w:val="Reference"/>
        <w:rPr>
          <w:rStyle w:val="Hyperlink"/>
        </w:rPr>
      </w:pPr>
      <w:proofErr w:type="spellStart"/>
      <w:r>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7"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725518A" w:rsidR="001E2ABC" w:rsidRDefault="001E2ABC" w:rsidP="003A7530">
      <w:pPr>
        <w:pStyle w:val="Reference"/>
      </w:pP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8"/>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9"/>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6A099D" w:rsidRDefault="006A099D">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6A099D" w:rsidRDefault="006A099D">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44BD8" w14:textId="77777777" w:rsidR="00EA6690" w:rsidRDefault="00EA6690">
      <w:pPr>
        <w:spacing w:line="240" w:lineRule="auto"/>
      </w:pPr>
      <w:r>
        <w:separator/>
      </w:r>
    </w:p>
  </w:endnote>
  <w:endnote w:type="continuationSeparator" w:id="0">
    <w:p w14:paraId="50F0A214" w14:textId="77777777" w:rsidR="00EA6690" w:rsidRDefault="00EA6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6A099D" w:rsidRPr="004126AC" w:rsidRDefault="006A099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6A099D" w:rsidRDefault="006A0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588FA" w14:textId="77777777" w:rsidR="00EA6690" w:rsidRDefault="00EA6690">
      <w:pPr>
        <w:spacing w:line="240" w:lineRule="auto"/>
      </w:pPr>
      <w:r>
        <w:separator/>
      </w:r>
    </w:p>
  </w:footnote>
  <w:footnote w:type="continuationSeparator" w:id="0">
    <w:p w14:paraId="49D482F6" w14:textId="77777777" w:rsidR="00EA6690" w:rsidRDefault="00EA66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6462"/>
    <w:rsid w:val="000D165B"/>
    <w:rsid w:val="000D17EF"/>
    <w:rsid w:val="000D4D35"/>
    <w:rsid w:val="000E046F"/>
    <w:rsid w:val="000E07DD"/>
    <w:rsid w:val="000E1775"/>
    <w:rsid w:val="000E32FC"/>
    <w:rsid w:val="000E40EE"/>
    <w:rsid w:val="000E61A9"/>
    <w:rsid w:val="000E7638"/>
    <w:rsid w:val="000E7AD2"/>
    <w:rsid w:val="000F01D5"/>
    <w:rsid w:val="000F3138"/>
    <w:rsid w:val="000F56F9"/>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7A58"/>
    <w:rsid w:val="0018090B"/>
    <w:rsid w:val="00182B98"/>
    <w:rsid w:val="00190617"/>
    <w:rsid w:val="00191EAD"/>
    <w:rsid w:val="00191F8C"/>
    <w:rsid w:val="00192759"/>
    <w:rsid w:val="00192AA4"/>
    <w:rsid w:val="0019403F"/>
    <w:rsid w:val="00195217"/>
    <w:rsid w:val="00195975"/>
    <w:rsid w:val="00195BE7"/>
    <w:rsid w:val="001967D9"/>
    <w:rsid w:val="0019719F"/>
    <w:rsid w:val="001974F1"/>
    <w:rsid w:val="001A020E"/>
    <w:rsid w:val="001A4432"/>
    <w:rsid w:val="001A4B95"/>
    <w:rsid w:val="001A67DD"/>
    <w:rsid w:val="001B3807"/>
    <w:rsid w:val="001B380D"/>
    <w:rsid w:val="001B391F"/>
    <w:rsid w:val="001B3CD8"/>
    <w:rsid w:val="001B4815"/>
    <w:rsid w:val="001C02A6"/>
    <w:rsid w:val="001C0BD8"/>
    <w:rsid w:val="001C283D"/>
    <w:rsid w:val="001C3733"/>
    <w:rsid w:val="001C4DD7"/>
    <w:rsid w:val="001C5C35"/>
    <w:rsid w:val="001D095A"/>
    <w:rsid w:val="001D10F5"/>
    <w:rsid w:val="001D332D"/>
    <w:rsid w:val="001D3817"/>
    <w:rsid w:val="001D4E40"/>
    <w:rsid w:val="001D611F"/>
    <w:rsid w:val="001E063A"/>
    <w:rsid w:val="001E081F"/>
    <w:rsid w:val="001E0EDF"/>
    <w:rsid w:val="001E142F"/>
    <w:rsid w:val="001E2ABC"/>
    <w:rsid w:val="001E62D6"/>
    <w:rsid w:val="001F1EB4"/>
    <w:rsid w:val="001F423D"/>
    <w:rsid w:val="001F7B67"/>
    <w:rsid w:val="002057A2"/>
    <w:rsid w:val="00206438"/>
    <w:rsid w:val="00206536"/>
    <w:rsid w:val="002121AC"/>
    <w:rsid w:val="00215BDB"/>
    <w:rsid w:val="00215E7F"/>
    <w:rsid w:val="00216AA8"/>
    <w:rsid w:val="00216B7F"/>
    <w:rsid w:val="00217B0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1507"/>
    <w:rsid w:val="00311575"/>
    <w:rsid w:val="00314DE5"/>
    <w:rsid w:val="00315A3C"/>
    <w:rsid w:val="003166D4"/>
    <w:rsid w:val="00317EFC"/>
    <w:rsid w:val="003235D1"/>
    <w:rsid w:val="00327F52"/>
    <w:rsid w:val="003323AB"/>
    <w:rsid w:val="00344308"/>
    <w:rsid w:val="00345DDF"/>
    <w:rsid w:val="0035057B"/>
    <w:rsid w:val="00353EC0"/>
    <w:rsid w:val="00355AA9"/>
    <w:rsid w:val="00355EB8"/>
    <w:rsid w:val="00361245"/>
    <w:rsid w:val="00361F7E"/>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2D3D"/>
    <w:rsid w:val="003938CE"/>
    <w:rsid w:val="00393B7F"/>
    <w:rsid w:val="00393CC5"/>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C0D48"/>
    <w:rsid w:val="003C27B0"/>
    <w:rsid w:val="003C4518"/>
    <w:rsid w:val="003C53FD"/>
    <w:rsid w:val="003C5B32"/>
    <w:rsid w:val="003C7B4B"/>
    <w:rsid w:val="003D2BEA"/>
    <w:rsid w:val="003D4F1B"/>
    <w:rsid w:val="003D5339"/>
    <w:rsid w:val="003D598A"/>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EAF"/>
    <w:rsid w:val="004D751B"/>
    <w:rsid w:val="004D7B3A"/>
    <w:rsid w:val="004E1C51"/>
    <w:rsid w:val="004E4746"/>
    <w:rsid w:val="004E4B63"/>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3E3B"/>
    <w:rsid w:val="00534968"/>
    <w:rsid w:val="005355CD"/>
    <w:rsid w:val="00537014"/>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D174E"/>
    <w:rsid w:val="005D20CA"/>
    <w:rsid w:val="005D2A02"/>
    <w:rsid w:val="005D7116"/>
    <w:rsid w:val="005D75C7"/>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507"/>
    <w:rsid w:val="006213EB"/>
    <w:rsid w:val="00624E84"/>
    <w:rsid w:val="00633E8C"/>
    <w:rsid w:val="00637D64"/>
    <w:rsid w:val="00640D14"/>
    <w:rsid w:val="0064351F"/>
    <w:rsid w:val="006441AC"/>
    <w:rsid w:val="0064697A"/>
    <w:rsid w:val="006471FF"/>
    <w:rsid w:val="00650005"/>
    <w:rsid w:val="00651CEA"/>
    <w:rsid w:val="00657E94"/>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6EA3"/>
    <w:rsid w:val="00687287"/>
    <w:rsid w:val="0068760D"/>
    <w:rsid w:val="00691157"/>
    <w:rsid w:val="006915B8"/>
    <w:rsid w:val="0069187A"/>
    <w:rsid w:val="00692B96"/>
    <w:rsid w:val="00694F09"/>
    <w:rsid w:val="00696D3A"/>
    <w:rsid w:val="0069794B"/>
    <w:rsid w:val="006A099D"/>
    <w:rsid w:val="006A1188"/>
    <w:rsid w:val="006A1B34"/>
    <w:rsid w:val="006A4837"/>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F01"/>
    <w:rsid w:val="00716B1E"/>
    <w:rsid w:val="00720E82"/>
    <w:rsid w:val="007225C5"/>
    <w:rsid w:val="00723F2C"/>
    <w:rsid w:val="007260AA"/>
    <w:rsid w:val="00726E14"/>
    <w:rsid w:val="00730A3B"/>
    <w:rsid w:val="007326B2"/>
    <w:rsid w:val="00733E5D"/>
    <w:rsid w:val="00735C7E"/>
    <w:rsid w:val="00735FA9"/>
    <w:rsid w:val="0074410A"/>
    <w:rsid w:val="0074580F"/>
    <w:rsid w:val="00746948"/>
    <w:rsid w:val="00750487"/>
    <w:rsid w:val="007517A0"/>
    <w:rsid w:val="007517B6"/>
    <w:rsid w:val="00752E5B"/>
    <w:rsid w:val="0075392B"/>
    <w:rsid w:val="00755DA2"/>
    <w:rsid w:val="00755DDF"/>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90627"/>
    <w:rsid w:val="007912A0"/>
    <w:rsid w:val="00792B73"/>
    <w:rsid w:val="007940A3"/>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D034B"/>
    <w:rsid w:val="007D0F8A"/>
    <w:rsid w:val="007D5EE0"/>
    <w:rsid w:val="007D6416"/>
    <w:rsid w:val="007D67CD"/>
    <w:rsid w:val="007D7F03"/>
    <w:rsid w:val="007E3028"/>
    <w:rsid w:val="007E3EBA"/>
    <w:rsid w:val="007E4318"/>
    <w:rsid w:val="007E4940"/>
    <w:rsid w:val="007E64BA"/>
    <w:rsid w:val="007F035E"/>
    <w:rsid w:val="007F0D6F"/>
    <w:rsid w:val="007F1D21"/>
    <w:rsid w:val="007F2933"/>
    <w:rsid w:val="007F509D"/>
    <w:rsid w:val="007F6135"/>
    <w:rsid w:val="00802438"/>
    <w:rsid w:val="00803148"/>
    <w:rsid w:val="00803D02"/>
    <w:rsid w:val="008049CA"/>
    <w:rsid w:val="00805064"/>
    <w:rsid w:val="008058BC"/>
    <w:rsid w:val="00805EAA"/>
    <w:rsid w:val="00807292"/>
    <w:rsid w:val="0080735D"/>
    <w:rsid w:val="00807773"/>
    <w:rsid w:val="008114CF"/>
    <w:rsid w:val="00811A40"/>
    <w:rsid w:val="00813202"/>
    <w:rsid w:val="0081552B"/>
    <w:rsid w:val="00816AB1"/>
    <w:rsid w:val="0082107B"/>
    <w:rsid w:val="00821955"/>
    <w:rsid w:val="00822752"/>
    <w:rsid w:val="008236B5"/>
    <w:rsid w:val="008246A3"/>
    <w:rsid w:val="00825C67"/>
    <w:rsid w:val="008269B5"/>
    <w:rsid w:val="0082712B"/>
    <w:rsid w:val="00830565"/>
    <w:rsid w:val="00830F7A"/>
    <w:rsid w:val="0083113C"/>
    <w:rsid w:val="00833192"/>
    <w:rsid w:val="00833C7E"/>
    <w:rsid w:val="00835539"/>
    <w:rsid w:val="00835F4F"/>
    <w:rsid w:val="00836E97"/>
    <w:rsid w:val="008408B5"/>
    <w:rsid w:val="008411B4"/>
    <w:rsid w:val="008413BF"/>
    <w:rsid w:val="00842F3C"/>
    <w:rsid w:val="008435B3"/>
    <w:rsid w:val="00843A00"/>
    <w:rsid w:val="00846DA8"/>
    <w:rsid w:val="00852116"/>
    <w:rsid w:val="008531B2"/>
    <w:rsid w:val="00853C00"/>
    <w:rsid w:val="00856C70"/>
    <w:rsid w:val="008602C9"/>
    <w:rsid w:val="00862295"/>
    <w:rsid w:val="00862DEE"/>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360E"/>
    <w:rsid w:val="008C36D0"/>
    <w:rsid w:val="008C58A9"/>
    <w:rsid w:val="008C6434"/>
    <w:rsid w:val="008C7E2C"/>
    <w:rsid w:val="008D0D10"/>
    <w:rsid w:val="008D2840"/>
    <w:rsid w:val="008D3148"/>
    <w:rsid w:val="008D555C"/>
    <w:rsid w:val="008E498A"/>
    <w:rsid w:val="008E4F11"/>
    <w:rsid w:val="008E5C50"/>
    <w:rsid w:val="008E7155"/>
    <w:rsid w:val="008F0530"/>
    <w:rsid w:val="008F074B"/>
    <w:rsid w:val="008F0BC1"/>
    <w:rsid w:val="008F21F5"/>
    <w:rsid w:val="008F5C2F"/>
    <w:rsid w:val="008F614A"/>
    <w:rsid w:val="008F697F"/>
    <w:rsid w:val="008F714C"/>
    <w:rsid w:val="008F739F"/>
    <w:rsid w:val="009006CF"/>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735D"/>
    <w:rsid w:val="0092778F"/>
    <w:rsid w:val="0093101A"/>
    <w:rsid w:val="0093133B"/>
    <w:rsid w:val="00932F02"/>
    <w:rsid w:val="00933876"/>
    <w:rsid w:val="00937441"/>
    <w:rsid w:val="00937DB8"/>
    <w:rsid w:val="0094026F"/>
    <w:rsid w:val="00943F08"/>
    <w:rsid w:val="009449AE"/>
    <w:rsid w:val="00946770"/>
    <w:rsid w:val="00947A68"/>
    <w:rsid w:val="00950B23"/>
    <w:rsid w:val="00951DD6"/>
    <w:rsid w:val="00952796"/>
    <w:rsid w:val="009527FE"/>
    <w:rsid w:val="0095618F"/>
    <w:rsid w:val="00956623"/>
    <w:rsid w:val="0095790F"/>
    <w:rsid w:val="00957DAC"/>
    <w:rsid w:val="00960A7A"/>
    <w:rsid w:val="00961B04"/>
    <w:rsid w:val="00973640"/>
    <w:rsid w:val="00974490"/>
    <w:rsid w:val="00974BEF"/>
    <w:rsid w:val="009752FF"/>
    <w:rsid w:val="00975FEB"/>
    <w:rsid w:val="00976075"/>
    <w:rsid w:val="009767CD"/>
    <w:rsid w:val="00976A95"/>
    <w:rsid w:val="00977BAE"/>
    <w:rsid w:val="00982B68"/>
    <w:rsid w:val="00982F57"/>
    <w:rsid w:val="009855F9"/>
    <w:rsid w:val="00985CAD"/>
    <w:rsid w:val="009862D7"/>
    <w:rsid w:val="00986637"/>
    <w:rsid w:val="009875C2"/>
    <w:rsid w:val="00990E11"/>
    <w:rsid w:val="00991DE3"/>
    <w:rsid w:val="009929B6"/>
    <w:rsid w:val="00992F13"/>
    <w:rsid w:val="00993EF7"/>
    <w:rsid w:val="00995E34"/>
    <w:rsid w:val="00997EA3"/>
    <w:rsid w:val="009A164A"/>
    <w:rsid w:val="009A1854"/>
    <w:rsid w:val="009A19AD"/>
    <w:rsid w:val="009A7F3B"/>
    <w:rsid w:val="009B0B9B"/>
    <w:rsid w:val="009B22DF"/>
    <w:rsid w:val="009B26A3"/>
    <w:rsid w:val="009B4E45"/>
    <w:rsid w:val="009B4F00"/>
    <w:rsid w:val="009C0F72"/>
    <w:rsid w:val="009C2375"/>
    <w:rsid w:val="009C3EF5"/>
    <w:rsid w:val="009D0511"/>
    <w:rsid w:val="009D1B4D"/>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697C"/>
    <w:rsid w:val="00AA07ED"/>
    <w:rsid w:val="00AA1627"/>
    <w:rsid w:val="00AA3B82"/>
    <w:rsid w:val="00AA3C01"/>
    <w:rsid w:val="00AA4111"/>
    <w:rsid w:val="00AA6266"/>
    <w:rsid w:val="00AB1AFD"/>
    <w:rsid w:val="00AB1D44"/>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402D8"/>
    <w:rsid w:val="00B40F8C"/>
    <w:rsid w:val="00B423A7"/>
    <w:rsid w:val="00B44311"/>
    <w:rsid w:val="00B45F51"/>
    <w:rsid w:val="00B462D1"/>
    <w:rsid w:val="00B46AF2"/>
    <w:rsid w:val="00B473B8"/>
    <w:rsid w:val="00B516B2"/>
    <w:rsid w:val="00B530FC"/>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60D3"/>
    <w:rsid w:val="00BA10EA"/>
    <w:rsid w:val="00BA329D"/>
    <w:rsid w:val="00BA3AC6"/>
    <w:rsid w:val="00BA4462"/>
    <w:rsid w:val="00BA6745"/>
    <w:rsid w:val="00BB00D8"/>
    <w:rsid w:val="00BB0987"/>
    <w:rsid w:val="00BB5185"/>
    <w:rsid w:val="00BB5270"/>
    <w:rsid w:val="00BB5731"/>
    <w:rsid w:val="00BB7466"/>
    <w:rsid w:val="00BC0B94"/>
    <w:rsid w:val="00BC0D88"/>
    <w:rsid w:val="00BC0F62"/>
    <w:rsid w:val="00BC2214"/>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5172"/>
    <w:rsid w:val="00BF6D72"/>
    <w:rsid w:val="00C00DF6"/>
    <w:rsid w:val="00C017AA"/>
    <w:rsid w:val="00C043C9"/>
    <w:rsid w:val="00C04FD1"/>
    <w:rsid w:val="00C058EE"/>
    <w:rsid w:val="00C0618D"/>
    <w:rsid w:val="00C1449A"/>
    <w:rsid w:val="00C17262"/>
    <w:rsid w:val="00C21525"/>
    <w:rsid w:val="00C21FBD"/>
    <w:rsid w:val="00C22EFA"/>
    <w:rsid w:val="00C2359E"/>
    <w:rsid w:val="00C315A2"/>
    <w:rsid w:val="00C3202F"/>
    <w:rsid w:val="00C323ED"/>
    <w:rsid w:val="00C34DE5"/>
    <w:rsid w:val="00C3501F"/>
    <w:rsid w:val="00C352A4"/>
    <w:rsid w:val="00C3646C"/>
    <w:rsid w:val="00C3672A"/>
    <w:rsid w:val="00C36C02"/>
    <w:rsid w:val="00C36EA2"/>
    <w:rsid w:val="00C4779E"/>
    <w:rsid w:val="00C515FB"/>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C7D"/>
    <w:rsid w:val="00D024B9"/>
    <w:rsid w:val="00D0273B"/>
    <w:rsid w:val="00D02BDD"/>
    <w:rsid w:val="00D0307E"/>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4158"/>
    <w:rsid w:val="00D853A9"/>
    <w:rsid w:val="00D85918"/>
    <w:rsid w:val="00D860F8"/>
    <w:rsid w:val="00D90852"/>
    <w:rsid w:val="00D90E89"/>
    <w:rsid w:val="00D91120"/>
    <w:rsid w:val="00D933BD"/>
    <w:rsid w:val="00D97FC5"/>
    <w:rsid w:val="00DA2859"/>
    <w:rsid w:val="00DA30F1"/>
    <w:rsid w:val="00DA604D"/>
    <w:rsid w:val="00DB31B5"/>
    <w:rsid w:val="00DB3B40"/>
    <w:rsid w:val="00DB78D1"/>
    <w:rsid w:val="00DB79C5"/>
    <w:rsid w:val="00DC0B81"/>
    <w:rsid w:val="00DC20E8"/>
    <w:rsid w:val="00DC21AF"/>
    <w:rsid w:val="00DC3679"/>
    <w:rsid w:val="00DD1F8C"/>
    <w:rsid w:val="00DD2996"/>
    <w:rsid w:val="00DD2B2F"/>
    <w:rsid w:val="00DE3AE7"/>
    <w:rsid w:val="00DE4034"/>
    <w:rsid w:val="00DE4697"/>
    <w:rsid w:val="00DE5457"/>
    <w:rsid w:val="00DE6A51"/>
    <w:rsid w:val="00DF0D54"/>
    <w:rsid w:val="00DF743A"/>
    <w:rsid w:val="00E00AC0"/>
    <w:rsid w:val="00E022A9"/>
    <w:rsid w:val="00E02BAB"/>
    <w:rsid w:val="00E03898"/>
    <w:rsid w:val="00E05D42"/>
    <w:rsid w:val="00E069CD"/>
    <w:rsid w:val="00E10242"/>
    <w:rsid w:val="00E10761"/>
    <w:rsid w:val="00E1085B"/>
    <w:rsid w:val="00E10A63"/>
    <w:rsid w:val="00E13D6C"/>
    <w:rsid w:val="00E14382"/>
    <w:rsid w:val="00E14C12"/>
    <w:rsid w:val="00E14F09"/>
    <w:rsid w:val="00E1677D"/>
    <w:rsid w:val="00E17709"/>
    <w:rsid w:val="00E20EDD"/>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690"/>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383F"/>
    <w:rsid w:val="00F8480F"/>
    <w:rsid w:val="00F85071"/>
    <w:rsid w:val="00F87719"/>
    <w:rsid w:val="00F87FC0"/>
    <w:rsid w:val="00F92E73"/>
    <w:rsid w:val="00F94C3E"/>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D02"/>
    <w:rsid w:val="00FE3F49"/>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3133/tm6B7"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dx.doi.org/10.3133/sir20145052"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2DCE4-B738-4DCA-852A-232C92D1B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37349</TotalTime>
  <Pages>39</Pages>
  <Words>7008</Words>
  <Characters>39950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206</cp:revision>
  <cp:lastPrinted>2017-08-01T14:27:00Z</cp:lastPrinted>
  <dcterms:created xsi:type="dcterms:W3CDTF">2018-09-12T20:59:00Z</dcterms:created>
  <dcterms:modified xsi:type="dcterms:W3CDTF">2019-03-04T21:52:00Z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