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EA51F0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1DC28C8"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924D09">
        <w:t>surface water diversions and well pumping rates were specified independent of the soil-water deficit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automatically</w:t>
      </w:r>
      <w:r w:rsidR="00924D09">
        <w:t xml:space="preserve">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lastRenderedPageBreak/>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6A099D"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6A099D"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6103D936"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42B4D9D"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for irrigation configurations 3 and 4. Groundwater ET is simulated by UZF1 for MODFLOW simulations using a linear function of the depth to the water table; groundwater ET is simulated in GSFLOW </w:t>
      </w:r>
      <w:r w:rsidR="00846DA8">
        <w:t>due to</w:t>
      </w:r>
      <w:r w:rsidR="006D51B0">
        <w:t xml:space="preserve"> groundwater </w:t>
      </w:r>
      <w:r w:rsidR="006D51B0">
        <w:lastRenderedPageBreak/>
        <w:t xml:space="preserve">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6A099D"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w:lastRenderedPageBreak/>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6A099D"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w:t>
      </w:r>
      <w:r w:rsidR="00956623">
        <w:lastRenderedPageBreak/>
        <w:t xml:space="preserve">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6A099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5D2BF95D" w:rsidR="009767CD" w:rsidRPr="000A69E6" w:rsidRDefault="009767CD" w:rsidP="006D18E5">
      <w:pPr>
        <w:pStyle w:val="BodyText"/>
        <w:ind w:firstLine="0"/>
      </w:pPr>
      <w:r>
        <w:tab/>
        <w:t xml:space="preserve">The third </w:t>
      </w:r>
      <w:r w:rsidR="00CE46BC">
        <w:t>approach</w:t>
      </w:r>
      <w:r>
        <w:t xml:space="preserve"> for simulating </w:t>
      </w:r>
      <w:r w:rsidR="00012C40">
        <w:t>agriculture</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6A099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6A099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6A099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16A27791"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734576AF" w:rsidR="00FC5999" w:rsidRDefault="006A099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1B1B4690" w:rsidR="000E32FC" w:rsidRDefault="006A099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r>
                      <w:rPr>
                        <w:rFonts w:ascii="Cambria Math" w:hAnsi="Cambria Math"/>
                      </w:rPr>
                      <m:t>-</m:t>
                    </m:r>
                  </m:sub>
                </m:sSub>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4689ED65"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w:t>
      </w:r>
      <w:r w:rsidR="00E21D97">
        <w:t xml:space="preserve"> usually set to 1</w:t>
      </w:r>
      <w:r w:rsidR="000B50B5">
        <w:t xml:space="preserve"> that controls the </w:t>
      </w:r>
      <w:r w:rsidR="00E53A17">
        <w:t xml:space="preserve">convergence of </w:t>
      </w:r>
      <m:oMath>
        <m:r>
          <w:rPr>
            <w:rFonts w:ascii="Cambria Math" w:hAnsi="Cambria Math"/>
          </w:rPr>
          <m:t>NIWR</m:t>
        </m:r>
      </m:oMath>
      <w:r w:rsidR="000B50B5">
        <w:t xml:space="preserve"> during no</w:t>
      </w:r>
      <w:bookmarkStart w:id="4" w:name="_GoBack"/>
      <w:bookmarkEnd w:id="4"/>
      <w:r w:rsidR="000B50B5">
        <w:t>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6A099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lastRenderedPageBreak/>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6A099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w:t>
      </w:r>
      <w:proofErr w:type="gramStart"/>
      <w:r w:rsidR="00836E97">
        <w:t>then</w:t>
      </w:r>
      <w:proofErr w:type="gramEnd"/>
      <w:r w:rsidR="00836E97">
        <w:t xml:space="preserve"> the pumping rate is calculated using equations 12-14.</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6A099D"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6A099D"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5"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5"/>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627BEB4B"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5D77C3">
        <w:t xml:space="preserve">totaling </w:t>
      </w:r>
      <w:r w:rsidR="005242E5">
        <w:t xml:space="preserve">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lastRenderedPageBreak/>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7392E893" w:rsidR="007A7C28" w:rsidRDefault="00445170" w:rsidP="007A7C28">
      <w:pPr>
        <w:pStyle w:val="FigureCaption"/>
      </w:pPr>
      <w:r>
        <w:t>Maximum irrigation diversions during growing season. Diversions</w:t>
      </w:r>
      <w:r w:rsidR="00BB7466">
        <w:t xml:space="preserve"> and supplementary pumping</w:t>
      </w:r>
      <w:r>
        <w:t xml:space="preserve"> for irrigation are limited to periods when flows are nonzero.</w:t>
      </w:r>
    </w:p>
    <w:p w14:paraId="5A53C824" w14:textId="30B32BDA" w:rsidR="00110B5E" w:rsidRDefault="00110B5E" w:rsidP="009A17C1">
      <w:pPr>
        <w:pStyle w:val="BodyText"/>
        <w:ind w:firstLine="0"/>
      </w:pP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4C99FFC6" w14:textId="06129F52" w:rsidR="00A91F70" w:rsidRDefault="009A17C1" w:rsidP="009A17C1">
      <w:pPr>
        <w:pStyle w:val="BodyText"/>
      </w:pPr>
      <w:r w:rsidRPr="009A17C1">
        <w:lastRenderedPageBreak/>
        <w:drawing>
          <wp:inline distT="0" distB="0" distL="0" distR="0" wp14:anchorId="4EA56A88" wp14:editId="740FA29F">
            <wp:extent cx="5943600" cy="5772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72785"/>
                    </a:xfrm>
                    <a:prstGeom prst="rect">
                      <a:avLst/>
                    </a:prstGeom>
                  </pic:spPr>
                </pic:pic>
              </a:graphicData>
            </a:graphic>
          </wp:inline>
        </w:drawing>
      </w:r>
    </w:p>
    <w:p w14:paraId="2FFCF7F5" w14:textId="532AFFAD" w:rsidR="00BC4D0D" w:rsidRDefault="00AA1627" w:rsidP="00BC4D0D">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5AA72594" w14:textId="59598198" w:rsidR="00BC0D88" w:rsidRDefault="00BC0D88" w:rsidP="00BC0D88">
      <w:pPr>
        <w:pStyle w:val="BodyText"/>
      </w:pPr>
    </w:p>
    <w:p w14:paraId="59CD9476" w14:textId="1376BA0C" w:rsidR="00BC0D88" w:rsidRPr="00BC0D88" w:rsidRDefault="00BC0D88" w:rsidP="00A44967">
      <w:pPr>
        <w:pStyle w:val="BodyText"/>
        <w:ind w:firstLine="0"/>
      </w:pPr>
    </w:p>
    <w:p w14:paraId="0908C3E1" w14:textId="117360AC" w:rsidR="00FD3109" w:rsidRDefault="00FD3109" w:rsidP="00195975">
      <w:pPr>
        <w:pStyle w:val="FigureCaption"/>
      </w:pPr>
      <w:r>
        <w:t xml:space="preserve">Well-watered and actual </w:t>
      </w:r>
      <w:r w:rsidR="00853C00">
        <w:t xml:space="preserve">evapotranspiration </w:t>
      </w:r>
      <w:r>
        <w:t xml:space="preserve">for simulated agricultural fields </w:t>
      </w:r>
      <w:r w:rsidR="00F11C53">
        <w:t>in example problem 1a.</w:t>
      </w:r>
    </w:p>
    <w:p w14:paraId="401440FE" w14:textId="40FF2247" w:rsidR="00FD3109" w:rsidRDefault="00BE6563" w:rsidP="00FD3109">
      <w:pPr>
        <w:pStyle w:val="Heading2"/>
      </w:pPr>
      <w:r>
        <w:lastRenderedPageBreak/>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lastRenderedPageBreak/>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6" w:name="_Toc488393775"/>
      <w:bookmarkStart w:id="7" w:name="_Toc59000064"/>
    </w:p>
    <w:p w14:paraId="1A3FB448" w14:textId="16D2CECB" w:rsidR="00A278E3" w:rsidRDefault="00A278E3" w:rsidP="007C5873">
      <w:pPr>
        <w:pStyle w:val="BodyText"/>
      </w:pPr>
    </w:p>
    <w:p w14:paraId="305402C9" w14:textId="3172582C" w:rsidR="00BE6563" w:rsidRDefault="00BE6563" w:rsidP="00BE6563">
      <w:pPr>
        <w:pStyle w:val="Heading2"/>
      </w:pPr>
      <w:r>
        <w:lastRenderedPageBreak/>
        <w:t>Example Problem 2a</w:t>
      </w:r>
    </w:p>
    <w:p w14:paraId="3F2AD2F8" w14:textId="544F3CD5" w:rsidR="00C93063" w:rsidRDefault="008602C9" w:rsidP="0008264E">
      <w:pPr>
        <w:pStyle w:val="BodyText"/>
      </w:pPr>
      <w:r>
        <w:t xml:space="preserve">EP2a illustrates the effects of the crop coefficient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Annual average NIWR for the period 1991-1993 is 18.4 hectare-meters (0.7 hectare-meter per square meter) for high crop coefficient and 13.4</w:t>
      </w:r>
      <w:r w:rsidR="008B41B4">
        <w:t xml:space="preserve"> hectare-meters (0.</w:t>
      </w:r>
      <w:r w:rsidR="008B41B4">
        <w:t>5</w:t>
      </w:r>
      <w:r w:rsidR="008B41B4">
        <w:t xml:space="preserve"> hectare-meter per square meter) for </w:t>
      </w:r>
      <w:r w:rsidR="008B41B4">
        <w:t>low</w:t>
      </w:r>
      <w:r w:rsidR="008B41B4">
        <w:t xml:space="preserve"> crop coefficient</w:t>
      </w:r>
      <w:r w:rsidR="008B41B4">
        <w:t xml:space="preserve">. Annual average crop consumption </w:t>
      </w:r>
      <w:r w:rsidR="006D4B0C">
        <w:t>is</w:t>
      </w:r>
      <w:r w:rsidR="008B41B4">
        <w:t xml:space="preserve"> equal to </w:t>
      </w:r>
      <w:r w:rsidR="00974BEF">
        <w:t xml:space="preserve">27.2 hectare-meters </w:t>
      </w:r>
      <w:r w:rsidR="00974BEF">
        <w:t>(</w:t>
      </w:r>
      <w:r w:rsidR="00974BEF">
        <w:t>1.0</w:t>
      </w:r>
      <w:r w:rsidR="00974BEF">
        <w:t xml:space="preserve"> hectare-meter per square meter)</w:t>
      </w:r>
      <w:r w:rsidR="00974BEF">
        <w:t xml:space="preserve"> and 20.7 hectare-meters (</w:t>
      </w:r>
      <w:r w:rsidR="00974BEF">
        <w:t>0.7</w:t>
      </w:r>
      <w:r w:rsidR="00974BEF">
        <w:t>5</w:t>
      </w:r>
      <w:r w:rsidR="00974BEF">
        <w:t xml:space="preserve"> hectare-meter per square meter)</w:t>
      </w:r>
      <w:r w:rsidR="00974BEF">
        <w:t xml:space="preserve">, respectively.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 groundwater, and return flows.</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Additionally, i</w:t>
      </w:r>
      <w:r w:rsidR="003A2A2C">
        <w:t xml:space="preserve">rrigation constraints can be superimposed onto </w:t>
      </w:r>
      <w:r w:rsidR="003A2A2C">
        <w:t>EP2a to more closely mimic real-world conditions</w:t>
      </w:r>
      <w:r w:rsidR="003A2A2C">
        <w:t xml:space="preserve">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220B1139"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 xml:space="preserve">measured at the Independence Lake climate station </w:t>
      </w:r>
      <w:r w:rsidR="00073E81">
        <w:lastRenderedPageBreak/>
        <w:t>for water years 1991</w:t>
      </w:r>
      <w:r>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11)</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B7B8A40" w:rsidR="00CB0BE3" w:rsidRDefault="008F0BC1" w:rsidP="000251AE">
      <w:pPr>
        <w:pStyle w:val="Heading1"/>
        <w:numPr>
          <w:ilvl w:val="0"/>
          <w:numId w:val="0"/>
        </w:numPr>
        <w:autoSpaceDE w:val="0"/>
        <w:ind w:left="432" w:hanging="432"/>
      </w:pPr>
      <w:r w:rsidRPr="008F0BC1">
        <w:lastRenderedPageBreak/>
        <w:drawing>
          <wp:inline distT="0" distB="0" distL="0" distR="0" wp14:anchorId="3D737EEF" wp14:editId="6B3B5737">
            <wp:extent cx="5943600" cy="5804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0453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w:t>
      </w:r>
      <w:r w:rsidR="00355EB8">
        <w:t>hectare-meter per square meter</w:t>
      </w:r>
      <w:r w:rsidR="00355EB8">
        <w:t>)</w:t>
      </w:r>
      <w:r w:rsidR="007C0DB7">
        <w:t>.</w:t>
      </w:r>
      <w:r w:rsidR="002F7395">
        <w:t xml:space="preserve"> </w:t>
      </w:r>
      <w:r>
        <w:t>Because setting a low trigger value allows the soils to drain more between irrigation events, lower trigger values result in less actual ET as compared to higher trigger values (Fig. 13).</w:t>
      </w:r>
    </w:p>
    <w:p w14:paraId="5C8541AC" w14:textId="5F4CFE9F" w:rsidR="00E558AF" w:rsidRPr="00E558AF" w:rsidRDefault="006A099D" w:rsidP="00E558AF">
      <w:pPr>
        <w:pStyle w:val="BodyText"/>
        <w:ind w:firstLine="0"/>
      </w:pPr>
      <w:r w:rsidRPr="006A099D">
        <w:lastRenderedPageBreak/>
        <w:drawing>
          <wp:inline distT="0" distB="0" distL="0" distR="0" wp14:anchorId="27D0FE8B" wp14:editId="2BE8F94D">
            <wp:extent cx="5943600" cy="5877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77560"/>
                    </a:xfrm>
                    <a:prstGeom prst="rect">
                      <a:avLst/>
                    </a:prstGeom>
                  </pic:spPr>
                </pic:pic>
              </a:graphicData>
            </a:graphic>
          </wp:inline>
        </w:drawing>
      </w:r>
    </w:p>
    <w:p w14:paraId="6FED623F" w14:textId="26FD62A4" w:rsidR="00A27606" w:rsidRDefault="00A27606" w:rsidP="00A27606">
      <w:pPr>
        <w:pStyle w:val="FigureCaption"/>
      </w:pPr>
      <w:r>
        <w:t xml:space="preserve">Comparison of agricultural water use for example problem 2a, using low and high </w:t>
      </w:r>
      <w:r>
        <w:t>irrigation trigger values</w:t>
      </w:r>
      <w:r>
        <w:t>.</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6"/>
    <w:p w14:paraId="2AA65FD4" w14:textId="34917EA1" w:rsidR="007940A3" w:rsidRDefault="007940A3" w:rsidP="00BE67B5">
      <w:pPr>
        <w:pStyle w:val="Heading1"/>
      </w:pPr>
      <w:r>
        <w:t>Conclusions</w:t>
      </w:r>
    </w:p>
    <w:p w14:paraId="4CB3BBFB" w14:textId="1B1D71C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proofErr w:type="gramStart"/>
      <w:r w:rsidR="000C5814">
        <w:t>understanding</w:t>
      </w:r>
      <w:proofErr w:type="gramEnd"/>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software’s </w:t>
      </w:r>
      <w:r w:rsidR="000C5814">
        <w:lastRenderedPageBreak/>
        <w:t>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7"/>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4"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w:t>
      </w:r>
      <w:r w:rsidRPr="00E910BA">
        <w:lastRenderedPageBreak/>
        <w:t>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lastRenderedPageBreak/>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lastRenderedPageBreak/>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5"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6"/>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7"/>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6A099D" w:rsidRDefault="006A099D">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6A099D" w:rsidRDefault="006A099D">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0ABD2" w14:textId="77777777" w:rsidR="00E53971" w:rsidRDefault="00E53971">
      <w:pPr>
        <w:spacing w:line="240" w:lineRule="auto"/>
      </w:pPr>
      <w:r>
        <w:separator/>
      </w:r>
    </w:p>
  </w:endnote>
  <w:endnote w:type="continuationSeparator" w:id="0">
    <w:p w14:paraId="48E791A0" w14:textId="77777777" w:rsidR="00E53971" w:rsidRDefault="00E53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6A099D" w:rsidRPr="004126AC" w:rsidRDefault="006A099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6A099D" w:rsidRDefault="006A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67E27" w14:textId="77777777" w:rsidR="00E53971" w:rsidRDefault="00E53971">
      <w:pPr>
        <w:spacing w:line="240" w:lineRule="auto"/>
      </w:pPr>
      <w:r>
        <w:separator/>
      </w:r>
    </w:p>
  </w:footnote>
  <w:footnote w:type="continuationSeparator" w:id="0">
    <w:p w14:paraId="5052085C" w14:textId="77777777" w:rsidR="00E53971" w:rsidRDefault="00E539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6462"/>
    <w:rsid w:val="000D165B"/>
    <w:rsid w:val="000D17EF"/>
    <w:rsid w:val="000D4D35"/>
    <w:rsid w:val="000E046F"/>
    <w:rsid w:val="000E07DD"/>
    <w:rsid w:val="000E1775"/>
    <w:rsid w:val="000E32FC"/>
    <w:rsid w:val="000E40EE"/>
    <w:rsid w:val="000E61A9"/>
    <w:rsid w:val="000E7638"/>
    <w:rsid w:val="000E7AD2"/>
    <w:rsid w:val="000F01D5"/>
    <w:rsid w:val="000F3138"/>
    <w:rsid w:val="000F56F9"/>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464"/>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35D1"/>
    <w:rsid w:val="00327F52"/>
    <w:rsid w:val="003323AB"/>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1C51"/>
    <w:rsid w:val="004E4746"/>
    <w:rsid w:val="004E4B63"/>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507"/>
    <w:rsid w:val="006213EB"/>
    <w:rsid w:val="006236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17A0"/>
    <w:rsid w:val="007517B6"/>
    <w:rsid w:val="00752E5B"/>
    <w:rsid w:val="0075392B"/>
    <w:rsid w:val="00755DA2"/>
    <w:rsid w:val="00755DDF"/>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4AF8"/>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408B5"/>
    <w:rsid w:val="008411B4"/>
    <w:rsid w:val="008413BF"/>
    <w:rsid w:val="00842F3C"/>
    <w:rsid w:val="008435B3"/>
    <w:rsid w:val="00843A00"/>
    <w:rsid w:val="00846DA8"/>
    <w:rsid w:val="00852116"/>
    <w:rsid w:val="008531B2"/>
    <w:rsid w:val="00853C00"/>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5172"/>
    <w:rsid w:val="00BF6D72"/>
    <w:rsid w:val="00C005AF"/>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677D"/>
    <w:rsid w:val="00E17709"/>
    <w:rsid w:val="00E20EDD"/>
    <w:rsid w:val="00E21D97"/>
    <w:rsid w:val="00E21F7F"/>
    <w:rsid w:val="00E249E9"/>
    <w:rsid w:val="00E314F6"/>
    <w:rsid w:val="00E354D6"/>
    <w:rsid w:val="00E35B6D"/>
    <w:rsid w:val="00E36A7D"/>
    <w:rsid w:val="00E40A1B"/>
    <w:rsid w:val="00E504B1"/>
    <w:rsid w:val="00E53971"/>
    <w:rsid w:val="00E53A17"/>
    <w:rsid w:val="00E54B27"/>
    <w:rsid w:val="00E558AF"/>
    <w:rsid w:val="00E55B03"/>
    <w:rsid w:val="00E6049D"/>
    <w:rsid w:val="00E62AFA"/>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sir2014505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hyperlink" Target="http://dx.doi.org/10.3133/tm6B7"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44BC7-41AB-486E-89A3-F5A12759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40156</TotalTime>
  <Pages>39</Pages>
  <Words>7062</Words>
  <Characters>40255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216</cp:revision>
  <cp:lastPrinted>2017-08-01T14:27:00Z</cp:lastPrinted>
  <dcterms:created xsi:type="dcterms:W3CDTF">2018-09-12T20:59:00Z</dcterms:created>
  <dcterms:modified xsi:type="dcterms:W3CDTF">2019-03-07T04:39:00Z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