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408A0CC2" w:rsidR="0011777F" w:rsidRDefault="00FB7346" w:rsidP="0018784D">
      <w:pPr>
        <w:ind w:firstLine="720"/>
        <w:rPr>
          <w:rStyle w:val="Red"/>
          <w:color w:val="auto"/>
        </w:rPr>
      </w:pPr>
      <w:r>
        <w:rPr>
          <w:rStyle w:val="Red"/>
          <w:color w:val="auto"/>
        </w:rPr>
        <w:t>[</w:t>
      </w:r>
      <w:r w:rsidRPr="00FB7346">
        <w:rPr>
          <w:rStyle w:val="Red"/>
          <w:color w:val="auto"/>
        </w:rPr>
        <w:t>ETDEMAND</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lastRenderedPageBreak/>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lastRenderedPageBreak/>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lastRenderedPageBreak/>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lastRenderedPageBreak/>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lastRenderedPageBreak/>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lastRenderedPageBreak/>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bookmarkStart w:id="0" w:name="_GoBack"/>
      <w:bookmarkEnd w:id="0"/>
      <w:r w:rsidR="003F0569">
        <w:t xml:space="preserve"> used for irrigation, and outflows (“OUT”) are consumptive use of groundwater (“GW IRRIGATION”) and surface water </w:t>
      </w:r>
      <w:r w:rsidR="003F0569">
        <w:t>(“</w:t>
      </w:r>
      <w:r w:rsidR="003F0569">
        <w:t>S</w:t>
      </w:r>
      <w:r w:rsidR="003F0569">
        <w:t>W IRRIGATION”)</w:t>
      </w:r>
      <w:r w:rsidR="003F0569">
        <w:t>, groundwater return flows (“SYSTEM LOSSES GW”</w:t>
      </w:r>
      <w:r w:rsidR="00873887">
        <w:t>)</w:t>
      </w:r>
      <w:r w:rsidR="003F0569">
        <w:t xml:space="preserve"> and surface water return flows </w:t>
      </w:r>
      <w:r w:rsidR="00387BC2">
        <w:t xml:space="preserve">(“SYSTEM LOSSES </w:t>
      </w:r>
      <w:r w:rsidR="00387BC2">
        <w:t>SW</w:t>
      </w:r>
      <w:r w:rsidR="00387BC2">
        <w:t>”</w:t>
      </w:r>
      <w:r w:rsidR="00387BC2">
        <w:t xml:space="preserve">).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210D" w14:textId="77777777" w:rsidR="00C50F53" w:rsidRDefault="00C50F53" w:rsidP="00271008">
      <w:r>
        <w:separator/>
      </w:r>
    </w:p>
  </w:endnote>
  <w:endnote w:type="continuationSeparator" w:id="0">
    <w:p w14:paraId="51E67DAA" w14:textId="77777777" w:rsidR="00C50F53" w:rsidRDefault="00C50F53" w:rsidP="00271008">
      <w:r>
        <w:continuationSeparator/>
      </w:r>
    </w:p>
  </w:endnote>
  <w:endnote w:type="continuationNotice" w:id="1">
    <w:p w14:paraId="6332F04C" w14:textId="77777777" w:rsidR="00C50F53" w:rsidRDefault="00C50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A220" w14:textId="77777777" w:rsidR="00C50F53" w:rsidRDefault="00C50F53" w:rsidP="00271008">
      <w:r>
        <w:separator/>
      </w:r>
    </w:p>
  </w:footnote>
  <w:footnote w:type="continuationSeparator" w:id="0">
    <w:p w14:paraId="10287A04" w14:textId="77777777" w:rsidR="00C50F53" w:rsidRDefault="00C50F53" w:rsidP="00271008">
      <w:r>
        <w:continuationSeparator/>
      </w:r>
    </w:p>
  </w:footnote>
  <w:footnote w:type="continuationNotice" w:id="1">
    <w:p w14:paraId="7FDC257E" w14:textId="77777777" w:rsidR="00C50F53" w:rsidRDefault="00C50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369F0-B13F-4F6A-90A1-88805EE7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28176</TotalTime>
  <Pages>11</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46</cp:revision>
  <cp:lastPrinted>2012-01-12T13:00:00Z</cp:lastPrinted>
  <dcterms:created xsi:type="dcterms:W3CDTF">2012-01-09T21:00:00Z</dcterms:created>
  <dcterms:modified xsi:type="dcterms:W3CDTF">2019-08-31T02:47:00Z</dcterms:modified>
</cp:coreProperties>
</file>