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40" w:after="60" w:line="240" w:lineRule="auto"/>
      </w:pPr>
      <w:r>
        <w:rPr>
          <w:rFonts w:ascii="Calibri" w:hAnsi="Calibri" w:eastAsia="Microsoft YaHei"/>
          <w:b/>
          <w:i w:val="0"/>
          <w:color w:val="2E74B5"/>
          <w:sz w:val="22"/>
        </w:rPr>
        <w:t>PROJECT TECHNICAL REPORT</w:t>
      </w:r>
    </w:p>
    <w:p>
      <w:pPr>
        <w:keepNext w:val="0"/>
        <w:spacing w:before="0" w:after="120" w:line="240" w:lineRule="auto"/>
      </w:pPr>
      <w:r>
        <w:rPr>
          <w:rFonts w:ascii="Calibri" w:hAnsi="Calibri" w:eastAsia="Microsoft YaHei"/>
          <w:b/>
          <w:i w:val="0"/>
          <w:color w:val="17365D"/>
          <w:sz w:val="48"/>
        </w:rPr>
        <w:t>Confidential Walk-Forward Portfolio Agent Evaluation System</w:t>
      </w:r>
    </w:p>
    <w:p>
      <w:pPr>
        <w:keepNext w:val="0"/>
        <w:spacing w:before="0" w:after="360" w:line="264" w:lineRule="auto"/>
      </w:pPr>
      <w:r>
        <w:rPr>
          <w:rFonts w:ascii="Calibri" w:hAnsi="Calibri" w:eastAsia="Microsoft YaHei"/>
          <w:b w:val="0"/>
          <w:i w:val="0"/>
          <w:color w:val="5B6573"/>
          <w:sz w:val="28"/>
        </w:rPr>
        <w:t>Data Protocol, Secure Evaluation, and Three Baseline Agents</w:t>
      </w:r>
    </w:p>
    <w:p>
      <w:pPr>
        <w:keepNext w:val="0"/>
        <w:spacing w:before="0" w:after="40" w:line="240" w:lineRule="auto"/>
      </w:pPr>
      <w:r>
        <w:rPr>
          <w:rFonts w:ascii="Calibri" w:hAnsi="Calibri" w:eastAsia="Microsoft YaHei"/>
          <w:b/>
          <w:i w:val="0"/>
          <w:color w:val="17365D"/>
          <w:sz w:val="22"/>
        </w:rPr>
        <w:t xml:space="preserve">Scope: </w:t>
      </w:r>
      <w:r>
        <w:rPr>
          <w:rFonts w:ascii="Calibri" w:hAnsi="Calibri" w:eastAsia="Microsoft YaHei"/>
          <w:b w:val="0"/>
          <w:i w:val="0"/>
          <w:color w:val="111111"/>
          <w:sz w:val="22"/>
        </w:rPr>
        <w:t>Daily portfolio allocation across 30 confidential U.S. equities</w:t>
      </w:r>
    </w:p>
    <w:p>
      <w:pPr>
        <w:keepNext w:val="0"/>
        <w:spacing w:before="0" w:after="40" w:line="240" w:lineRule="auto"/>
      </w:pPr>
      <w:r>
        <w:rPr>
          <w:rFonts w:ascii="Calibri" w:hAnsi="Calibri" w:eastAsia="Microsoft YaHei"/>
          <w:b/>
          <w:i w:val="0"/>
          <w:color w:val="17365D"/>
          <w:sz w:val="22"/>
        </w:rPr>
        <w:t xml:space="preserve">Inputs: </w:t>
      </w:r>
      <w:r>
        <w:rPr>
          <w:rFonts w:ascii="Calibri" w:hAnsi="Calibri" w:eastAsia="Microsoft YaHei"/>
          <w:b w:val="0"/>
          <w:i w:val="0"/>
          <w:color w:val="111111"/>
          <w:sz w:val="22"/>
        </w:rPr>
        <w:t>Derived market features, point-in-time fundamentals, and portfolio state</w:t>
      </w:r>
    </w:p>
    <w:p>
      <w:pPr>
        <w:keepNext w:val="0"/>
        <w:spacing w:before="0" w:after="40" w:line="240" w:lineRule="auto"/>
      </w:pPr>
      <w:r>
        <w:rPr>
          <w:rFonts w:ascii="Calibri" w:hAnsi="Calibri" w:eastAsia="Microsoft YaHei"/>
          <w:b/>
          <w:i w:val="0"/>
          <w:color w:val="17365D"/>
          <w:sz w:val="22"/>
        </w:rPr>
        <w:t xml:space="preserve">Evaluation: </w:t>
      </w:r>
      <w:r>
        <w:rPr>
          <w:rFonts w:ascii="Calibri" w:hAnsi="Calibri" w:eastAsia="Microsoft YaHei"/>
          <w:b w:val="0"/>
          <w:i w:val="0"/>
          <w:color w:val="111111"/>
          <w:sz w:val="22"/>
        </w:rPr>
        <w:t>One full hidden year with a separate 60-trading-day pre-roll context</w:t>
      </w:r>
    </w:p>
    <w:p>
      <w:pPr>
        <w:keepNext w:val="0"/>
        <w:spacing w:before="0" w:after="40" w:line="240" w:lineRule="auto"/>
      </w:pPr>
      <w:r>
        <w:rPr>
          <w:rFonts w:ascii="Calibri" w:hAnsi="Calibri" w:eastAsia="Microsoft YaHei"/>
          <w:b/>
          <w:i w:val="0"/>
          <w:color w:val="17365D"/>
          <w:sz w:val="22"/>
        </w:rPr>
        <w:t xml:space="preserve">Agents: </w:t>
      </w:r>
      <w:r>
        <w:rPr>
          <w:rFonts w:ascii="Calibri" w:hAnsi="Calibri" w:eastAsia="Microsoft YaHei"/>
          <w:b w:val="0"/>
          <w:i w:val="0"/>
          <w:color w:val="111111"/>
          <w:sz w:val="22"/>
        </w:rPr>
        <w:t>Rule-based hybrid, PPO reinforcement learning, and local-LLM allocation</w:t>
      </w:r>
    </w:p>
    <w:p>
      <w:pPr>
        <w:keepNext w:val="0"/>
        <w:spacing w:before="0" w:after="40" w:line="240" w:lineRule="auto"/>
      </w:pPr>
      <w:r>
        <w:rPr>
          <w:rFonts w:ascii="Calibri" w:hAnsi="Calibri" w:eastAsia="Microsoft YaHei"/>
          <w:b/>
          <w:i w:val="0"/>
          <w:color w:val="17365D"/>
          <w:sz w:val="22"/>
        </w:rPr>
        <w:t xml:space="preserve">Version: </w:t>
      </w:r>
      <w:r>
        <w:rPr>
          <w:rFonts w:ascii="Calibri" w:hAnsi="Calibri" w:eastAsia="Microsoft YaHei"/>
          <w:b w:val="0"/>
          <w:i w:val="0"/>
          <w:color w:val="111111"/>
          <w:sz w:val="22"/>
        </w:rPr>
        <w:t>3.0</w:t>
      </w:r>
    </w:p>
    <w:p>
      <w:pPr>
        <w:keepNext w:val="0"/>
        <w:spacing w:before="0" w:after="40" w:line="240" w:lineRule="auto"/>
      </w:pPr>
      <w:r>
        <w:rPr>
          <w:rFonts w:ascii="Calibri" w:hAnsi="Calibri" w:eastAsia="Microsoft YaHei"/>
          <w:b/>
          <w:i w:val="0"/>
          <w:color w:val="17365D"/>
          <w:sz w:val="22"/>
        </w:rPr>
        <w:t xml:space="preserve">Date: </w:t>
      </w:r>
      <w:r>
        <w:rPr>
          <w:rFonts w:ascii="Calibri" w:hAnsi="Calibri" w:eastAsia="Microsoft YaHei"/>
          <w:b w:val="0"/>
          <w:i w:val="0"/>
          <w:color w:val="111111"/>
          <w:sz w:val="22"/>
        </w:rPr>
        <w:t>2026-06-20</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7FB"/>
          </w:tcPr>
          <w:p>
            <w:pPr>
              <w:keepNext w:val="0"/>
              <w:spacing w:before="40" w:after="40" w:line="264" w:lineRule="auto"/>
            </w:pPr>
            <w:r>
              <w:rPr>
                <w:rFonts w:ascii="Calibri" w:hAnsi="Calibri" w:eastAsia="Microsoft YaHei"/>
                <w:b/>
                <w:i w:val="0"/>
                <w:color w:val="17365D"/>
                <w:sz w:val="22"/>
              </w:rPr>
              <w:t>Primary decision：</w:t>
            </w:r>
            <w:r>
              <w:rPr>
                <w:rFonts w:ascii="Calibri" w:hAnsi="Calibri" w:eastAsia="Microsoft YaHei"/>
                <w:b w:val="0"/>
                <w:i w:val="0"/>
                <w:color w:val="111111"/>
                <w:sz w:val="22"/>
              </w:rPr>
              <w:t>The entire one-year evaluation interval remains hidden and out of sample. The RL policy is trained only on a separate public historical corpus and is frozen before the private universe is selected. Raw identities, dates, prices, volumes, and financial statement amounts never cross the evaluator-to-agent boundary.</w:t>
            </w:r>
          </w:p>
        </w:tc>
      </w:tr>
    </w:tbl>
    <w:p>
      <w:pPr>
        <w:spacing w:after="0"/>
      </w:pPr>
    </w:p>
    <w:p>
      <w:pPr>
        <w:pStyle w:val="Heading1"/>
      </w:pPr>
      <w:r>
        <w:rPr>
          <w:rFonts w:ascii="Calibri" w:hAnsi="Calibri" w:eastAsia="Microsoft YaHei"/>
          <w:b/>
          <w:i w:val="0"/>
          <w:color w:val="2E74B5"/>
          <w:sz w:val="32"/>
        </w:rPr>
        <w:t>1. Project Scope</w:t>
      </w:r>
    </w:p>
    <w:p>
      <w:pPr/>
      <w:r>
        <w:rPr>
          <w:rFonts w:ascii="Calibri" w:hAnsi="Calibri" w:eastAsia="Microsoft YaHei"/>
          <w:b w:val="0"/>
          <w:i w:val="0"/>
          <w:color w:val="111111"/>
          <w:sz w:val="22"/>
        </w:rPr>
        <w:t>This project implements a reproducible evaluation system for portfolio-allocation agents. On each trading step, the evaluator supplies a strictly past-only observation and receives target portfolio weights. The evaluator alone validates the action, executes it at the next market open, charges transaction costs, updates cash and holdings, marks the portfolio at the close, and calculates performance metrics.</w:t>
      </w:r>
    </w:p>
    <w:p>
      <w:pPr>
        <w:pStyle w:val="Heading2"/>
      </w:pPr>
      <w:r>
        <w:rPr>
          <w:rFonts w:ascii="Calibri" w:hAnsi="Calibri" w:eastAsia="Microsoft YaHei"/>
          <w:b/>
          <w:i w:val="0"/>
          <w:color w:val="2E74B5"/>
          <w:sz w:val="26"/>
        </w:rPr>
        <w:t>1.1 Objectives</w:t>
      </w:r>
    </w:p>
    <w:p>
      <w:pPr>
        <w:pStyle w:val="ListBullet"/>
        <w:spacing w:after="80" w:line="264" w:lineRule="auto"/>
        <w:ind w:left="720" w:hanging="360"/>
      </w:pPr>
      <w:r>
        <w:rPr>
          <w:rFonts w:ascii="Calibri" w:hAnsi="Calibri" w:eastAsia="Microsoft YaHei"/>
          <w:b w:val="0"/>
          <w:i w:val="0"/>
          <w:color w:val="111111"/>
          <w:sz w:val="22"/>
        </w:rPr>
        <w:t>Evaluate rule-based, reinforcement-learning, and LLM-based decision methods under the same market and accounting rules.</w:t>
      </w:r>
    </w:p>
    <w:p>
      <w:pPr>
        <w:pStyle w:val="ListBullet"/>
        <w:spacing w:after="80" w:line="264" w:lineRule="auto"/>
        <w:ind w:left="720" w:hanging="360"/>
      </w:pPr>
      <w:r>
        <w:rPr>
          <w:rFonts w:ascii="Calibri" w:hAnsi="Calibri" w:eastAsia="Microsoft YaHei"/>
          <w:b w:val="0"/>
          <w:i w:val="0"/>
          <w:color w:val="111111"/>
          <w:sz w:val="22"/>
        </w:rPr>
        <w:t>Prevent look-ahead bias in prices, feature normalization, and quarterly fundamentals.</w:t>
      </w:r>
    </w:p>
    <w:p>
      <w:pPr>
        <w:pStyle w:val="ListBullet"/>
        <w:spacing w:after="80" w:line="264" w:lineRule="auto"/>
        <w:ind w:left="720" w:hanging="360"/>
      </w:pPr>
      <w:r>
        <w:rPr>
          <w:rFonts w:ascii="Calibri" w:hAnsi="Calibri" w:eastAsia="Microsoft YaHei"/>
          <w:b w:val="0"/>
          <w:i w:val="0"/>
          <w:color w:val="111111"/>
          <w:sz w:val="22"/>
        </w:rPr>
        <w:t>Prevent the evaluation universe, calendar interval, and raw observations from leaking during training or evaluation.</w:t>
      </w:r>
    </w:p>
    <w:p>
      <w:pPr>
        <w:pStyle w:val="ListBullet"/>
        <w:spacing w:after="80" w:line="264" w:lineRule="auto"/>
        <w:ind w:left="720" w:hanging="360"/>
      </w:pPr>
      <w:r>
        <w:rPr>
          <w:rFonts w:ascii="Calibri" w:hAnsi="Calibri" w:eastAsia="Microsoft YaHei"/>
          <w:b w:val="0"/>
          <w:i w:val="0"/>
          <w:color w:val="111111"/>
          <w:sz w:val="22"/>
        </w:rPr>
        <w:t>Preserve a complete audit trail of observations, raw actions, repaired actions, fills, fees, violations, and NAV.</w:t>
      </w:r>
    </w:p>
    <w:p>
      <w:pPr>
        <w:pStyle w:val="ListBullet"/>
        <w:spacing w:after="80" w:line="264" w:lineRule="auto"/>
        <w:ind w:left="720" w:hanging="360"/>
      </w:pPr>
      <w:r>
        <w:rPr>
          <w:rFonts w:ascii="Calibri" w:hAnsi="Calibri" w:eastAsia="Microsoft YaHei"/>
          <w:b w:val="0"/>
          <w:i w:val="0"/>
          <w:color w:val="111111"/>
          <w:sz w:val="22"/>
        </w:rPr>
        <w:t>Keep implementation and tests in a self-contained folder that can be extracted and extended independently.</w:t>
      </w:r>
    </w:p>
    <w:p>
      <w:pPr>
        <w:pStyle w:val="Heading2"/>
      </w:pPr>
      <w:r>
        <w:rPr>
          <w:rFonts w:ascii="Calibri" w:hAnsi="Calibri" w:eastAsia="Microsoft YaHei"/>
          <w:b/>
          <w:i w:val="0"/>
          <w:color w:val="2E74B5"/>
          <w:sz w:val="26"/>
        </w:rPr>
        <w:t>1.2 Fixed Portfolio Rules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8"/>
              </w:rPr>
              <w:t>Item</w:t>
            </w:r>
          </w:p>
        </w:tc>
        <w:tc>
          <w:tcPr>
            <w:tcW w:type="dxa" w:w="686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8"/>
              </w:rPr>
              <w:t>Setting</w:t>
            </w:r>
          </w:p>
        </w:tc>
      </w:tr>
      <w:tr>
        <w:tc>
          <w:tcPr>
            <w:tcW w:type="dxa" w:w="2500"/>
          </w:tcPr>
          <w:p>
            <w:pPr>
              <w:keepNext w:val="0"/>
              <w:spacing w:before="0" w:after="0" w:line="240" w:lineRule="auto"/>
              <w:jc w:val="left"/>
            </w:pPr>
            <w:r>
              <w:rPr>
                <w:rFonts w:ascii="Calibri" w:hAnsi="Calibri" w:eastAsia="Microsoft YaHei"/>
                <w:b w:val="0"/>
                <w:i w:val="0"/>
                <w:color w:val="111111"/>
                <w:sz w:val="18"/>
              </w:rPr>
              <w:t>Initial capital</w:t>
            </w:r>
          </w:p>
        </w:tc>
        <w:tc>
          <w:tcPr>
            <w:tcW w:type="dxa" w:w="6860"/>
          </w:tcPr>
          <w:p>
            <w:pPr>
              <w:keepNext w:val="0"/>
              <w:spacing w:before="0" w:after="0" w:line="240" w:lineRule="auto"/>
              <w:jc w:val="left"/>
            </w:pPr>
            <w:r>
              <w:rPr>
                <w:rFonts w:ascii="Calibri" w:hAnsi="Calibri" w:eastAsia="Microsoft YaHei"/>
                <w:b w:val="0"/>
                <w:i w:val="0"/>
                <w:color w:val="111111"/>
                <w:sz w:val="18"/>
              </w:rPr>
              <w:t>1,000,000</w:t>
            </w:r>
          </w:p>
        </w:tc>
      </w:tr>
      <w:tr>
        <w:tc>
          <w:tcPr>
            <w:tcW w:type="dxa" w:w="2500"/>
          </w:tcPr>
          <w:p>
            <w:pPr>
              <w:keepNext w:val="0"/>
              <w:spacing w:before="0" w:after="0" w:line="240" w:lineRule="auto"/>
              <w:jc w:val="left"/>
            </w:pPr>
            <w:r>
              <w:rPr>
                <w:rFonts w:ascii="Calibri" w:hAnsi="Calibri" w:eastAsia="Microsoft YaHei"/>
                <w:b w:val="0"/>
                <w:i w:val="0"/>
                <w:color w:val="111111"/>
                <w:sz w:val="18"/>
              </w:rPr>
              <w:t>Position direction</w:t>
            </w:r>
          </w:p>
        </w:tc>
        <w:tc>
          <w:tcPr>
            <w:tcW w:type="dxa" w:w="6860"/>
          </w:tcPr>
          <w:p>
            <w:pPr>
              <w:keepNext w:val="0"/>
              <w:spacing w:before="0" w:after="0" w:line="240" w:lineRule="auto"/>
              <w:jc w:val="left"/>
            </w:pPr>
            <w:r>
              <w:rPr>
                <w:rFonts w:ascii="Calibri" w:hAnsi="Calibri" w:eastAsia="Microsoft YaHei"/>
                <w:b w:val="0"/>
                <w:i w:val="0"/>
                <w:color w:val="111111"/>
                <w:sz w:val="18"/>
              </w:rPr>
              <w:t>Long-only</w:t>
            </w:r>
          </w:p>
        </w:tc>
      </w:tr>
      <w:tr>
        <w:tc>
          <w:tcPr>
            <w:tcW w:type="dxa" w:w="2500"/>
          </w:tcPr>
          <w:p>
            <w:pPr>
              <w:keepNext w:val="0"/>
              <w:spacing w:before="0" w:after="0" w:line="240" w:lineRule="auto"/>
              <w:jc w:val="left"/>
            </w:pPr>
            <w:r>
              <w:rPr>
                <w:rFonts w:ascii="Calibri" w:hAnsi="Calibri" w:eastAsia="Microsoft YaHei"/>
                <w:b w:val="0"/>
                <w:i w:val="0"/>
                <w:color w:val="111111"/>
                <w:sz w:val="18"/>
              </w:rPr>
              <w:t>Per-asset limit</w:t>
            </w:r>
          </w:p>
        </w:tc>
        <w:tc>
          <w:tcPr>
            <w:tcW w:type="dxa" w:w="6860"/>
          </w:tcPr>
          <w:p>
            <w:pPr>
              <w:keepNext w:val="0"/>
              <w:spacing w:before="0" w:after="0" w:line="240" w:lineRule="auto"/>
              <w:jc w:val="left"/>
            </w:pPr>
            <w:r>
              <w:rPr>
                <w:rFonts w:ascii="Calibri" w:hAnsi="Calibri" w:eastAsia="Microsoft YaHei"/>
                <w:b w:val="0"/>
                <w:i w:val="0"/>
                <w:color w:val="111111"/>
                <w:sz w:val="18"/>
              </w:rPr>
              <w:t>30% of portfolio NAV</w:t>
            </w:r>
          </w:p>
        </w:tc>
      </w:tr>
      <w:tr>
        <w:tc>
          <w:tcPr>
            <w:tcW w:type="dxa" w:w="2500"/>
          </w:tcPr>
          <w:p>
            <w:pPr>
              <w:keepNext w:val="0"/>
              <w:spacing w:before="0" w:after="0" w:line="240" w:lineRule="auto"/>
              <w:jc w:val="left"/>
            </w:pPr>
            <w:r>
              <w:rPr>
                <w:rFonts w:ascii="Calibri" w:hAnsi="Calibri" w:eastAsia="Microsoft YaHei"/>
                <w:b w:val="0"/>
                <w:i w:val="0"/>
                <w:color w:val="111111"/>
                <w:sz w:val="18"/>
              </w:rPr>
              <w:t>Gross exposure</w:t>
            </w:r>
          </w:p>
        </w:tc>
        <w:tc>
          <w:tcPr>
            <w:tcW w:type="dxa" w:w="6860"/>
          </w:tcPr>
          <w:p>
            <w:pPr>
              <w:keepNext w:val="0"/>
              <w:spacing w:before="0" w:after="0" w:line="240" w:lineRule="auto"/>
              <w:jc w:val="left"/>
            </w:pPr>
            <w:r>
              <w:rPr>
                <w:rFonts w:ascii="Calibri" w:hAnsi="Calibri" w:eastAsia="Microsoft YaHei"/>
                <w:b w:val="0"/>
                <w:i w:val="0"/>
                <w:color w:val="111111"/>
                <w:sz w:val="18"/>
              </w:rPr>
              <w:t>At most 100%; the residual remains cash</w:t>
            </w:r>
          </w:p>
        </w:tc>
      </w:tr>
      <w:tr>
        <w:tc>
          <w:tcPr>
            <w:tcW w:type="dxa" w:w="2500"/>
          </w:tcPr>
          <w:p>
            <w:pPr>
              <w:keepNext w:val="0"/>
              <w:spacing w:before="0" w:after="0" w:line="240" w:lineRule="auto"/>
              <w:jc w:val="left"/>
            </w:pPr>
            <w:r>
              <w:rPr>
                <w:rFonts w:ascii="Calibri" w:hAnsi="Calibri" w:eastAsia="Microsoft YaHei"/>
                <w:b w:val="0"/>
                <w:i w:val="0"/>
                <w:color w:val="111111"/>
                <w:sz w:val="18"/>
              </w:rPr>
              <w:t>Transaction fee</w:t>
            </w:r>
          </w:p>
        </w:tc>
        <w:tc>
          <w:tcPr>
            <w:tcW w:type="dxa" w:w="6860"/>
          </w:tcPr>
          <w:p>
            <w:pPr>
              <w:keepNext w:val="0"/>
              <w:spacing w:before="0" w:after="0" w:line="240" w:lineRule="auto"/>
              <w:jc w:val="left"/>
            </w:pPr>
            <w:r>
              <w:rPr>
                <w:rFonts w:ascii="Calibri" w:hAnsi="Calibri" w:eastAsia="Microsoft YaHei"/>
                <w:b w:val="0"/>
                <w:i w:val="0"/>
                <w:color w:val="111111"/>
                <w:sz w:val="18"/>
              </w:rPr>
              <w:t>0.1% of executed notional on both buys and sells</w:t>
            </w:r>
          </w:p>
        </w:tc>
      </w:tr>
      <w:tr>
        <w:tc>
          <w:tcPr>
            <w:tcW w:type="dxa" w:w="2500"/>
          </w:tcPr>
          <w:p>
            <w:pPr>
              <w:keepNext w:val="0"/>
              <w:spacing w:before="0" w:after="0" w:line="240" w:lineRule="auto"/>
              <w:jc w:val="left"/>
            </w:pPr>
            <w:r>
              <w:rPr>
                <w:rFonts w:ascii="Calibri" w:hAnsi="Calibri" w:eastAsia="Microsoft YaHei"/>
                <w:b w:val="0"/>
                <w:i w:val="0"/>
                <w:color w:val="111111"/>
                <w:sz w:val="18"/>
              </w:rPr>
              <w:t>Decision frequency</w:t>
            </w:r>
          </w:p>
        </w:tc>
        <w:tc>
          <w:tcPr>
            <w:tcW w:type="dxa" w:w="6860"/>
          </w:tcPr>
          <w:p>
            <w:pPr>
              <w:keepNext w:val="0"/>
              <w:spacing w:before="0" w:after="0" w:line="240" w:lineRule="auto"/>
              <w:jc w:val="left"/>
            </w:pPr>
            <w:r>
              <w:rPr>
                <w:rFonts w:ascii="Calibri" w:hAnsi="Calibri" w:eastAsia="Microsoft YaHei"/>
                <w:b w:val="0"/>
                <w:i w:val="0"/>
                <w:color w:val="111111"/>
                <w:sz w:val="18"/>
              </w:rPr>
              <w:t>One action per trading day; baseline agents rebalance every five days</w:t>
            </w:r>
          </w:p>
        </w:tc>
      </w:tr>
      <w:tr>
        <w:tc>
          <w:tcPr>
            <w:tcW w:type="dxa" w:w="2500"/>
          </w:tcPr>
          <w:p>
            <w:pPr>
              <w:keepNext w:val="0"/>
              <w:spacing w:before="0" w:after="0" w:line="240" w:lineRule="auto"/>
              <w:jc w:val="left"/>
            </w:pPr>
            <w:r>
              <w:rPr>
                <w:rFonts w:ascii="Calibri" w:hAnsi="Calibri" w:eastAsia="Microsoft YaHei"/>
                <w:b w:val="0"/>
                <w:i w:val="0"/>
                <w:color w:val="111111"/>
                <w:sz w:val="18"/>
              </w:rPr>
              <w:t>Execution timing</w:t>
            </w:r>
          </w:p>
        </w:tc>
        <w:tc>
          <w:tcPr>
            <w:tcW w:type="dxa" w:w="6860"/>
          </w:tcPr>
          <w:p>
            <w:pPr>
              <w:keepNext w:val="0"/>
              <w:spacing w:before="0" w:after="0" w:line="240" w:lineRule="auto"/>
              <w:jc w:val="left"/>
            </w:pPr>
            <w:r>
              <w:rPr>
                <w:rFonts w:ascii="Calibri" w:hAnsi="Calibri" w:eastAsia="Microsoft YaHei"/>
                <w:b w:val="0"/>
                <w:i w:val="0"/>
                <w:color w:val="111111"/>
                <w:sz w:val="18"/>
              </w:rPr>
              <w:t>Observation after close t; execution at open t+1</w:t>
            </w:r>
          </w:p>
        </w:tc>
      </w:tr>
      <w:tr>
        <w:tc>
          <w:tcPr>
            <w:tcW w:type="dxa" w:w="2500"/>
          </w:tcPr>
          <w:p>
            <w:pPr>
              <w:keepNext w:val="0"/>
              <w:spacing w:before="0" w:after="0" w:line="240" w:lineRule="auto"/>
              <w:jc w:val="left"/>
            </w:pPr>
            <w:r>
              <w:rPr>
                <w:rFonts w:ascii="Calibri" w:hAnsi="Calibri" w:eastAsia="Microsoft YaHei"/>
                <w:b w:val="0"/>
                <w:i w:val="0"/>
                <w:color w:val="111111"/>
                <w:sz w:val="18"/>
              </w:rPr>
              <w:t>Share model</w:t>
            </w:r>
          </w:p>
        </w:tc>
        <w:tc>
          <w:tcPr>
            <w:tcW w:type="dxa" w:w="6860"/>
          </w:tcPr>
          <w:p>
            <w:pPr>
              <w:keepNext w:val="0"/>
              <w:spacing w:before="0" w:after="0" w:line="240" w:lineRule="auto"/>
              <w:jc w:val="left"/>
            </w:pPr>
            <w:r>
              <w:rPr>
                <w:rFonts w:ascii="Calibri" w:hAnsi="Calibri" w:eastAsia="Microsoft YaHei"/>
                <w:b w:val="0"/>
                <w:i w:val="0"/>
                <w:color w:val="111111"/>
                <w:sz w:val="18"/>
              </w:rPr>
              <w:t>Fractional shares to avoid price-level discretization bias</w:t>
            </w:r>
          </w:p>
        </w:tc>
      </w:tr>
    </w:tbl>
    <w:p>
      <w:pPr>
        <w:spacing w:after="0"/>
      </w:pPr>
    </w:p>
    <w:p>
      <w:pPr>
        <w:pStyle w:val="Heading1"/>
      </w:pPr>
      <w:r>
        <w:rPr>
          <w:rFonts w:ascii="Calibri" w:hAnsi="Calibri" w:eastAsia="Microsoft YaHei"/>
          <w:b/>
          <w:i w:val="0"/>
          <w:color w:val="2E74B5"/>
          <w:sz w:val="32"/>
        </w:rPr>
        <w:t>2. Confidentiality and Threat Model</w:t>
      </w:r>
    </w:p>
    <w:p>
      <w:pPr/>
      <w:r>
        <w:rPr>
          <w:rFonts w:ascii="Calibri" w:hAnsi="Calibri" w:eastAsia="Microsoft YaHei"/>
          <w:b w:val="0"/>
          <w:i w:val="0"/>
          <w:color w:val="111111"/>
          <w:sz w:val="22"/>
        </w:rPr>
        <w:t>Confidentiality is treated as an architectural property rather than a documentation convention. The system separates private evaluator state from agent-visible state. Agent code is assumed to be potentially curious: it may inspect every field it receives, attempt to infer asset identities, write logs, or call an external service. The evaluator therefore minimizes information before calling any agent and restricts the agent execution environment.</w:t>
      </w:r>
    </w:p>
    <w:p>
      <w:pPr>
        <w:pStyle w:val="Heading2"/>
      </w:pPr>
      <w:r>
        <w:rPr>
          <w:rFonts w:ascii="Calibri" w:hAnsi="Calibri" w:eastAsia="Microsoft YaHei"/>
          <w:b/>
          <w:i w:val="0"/>
          <w:color w:val="2E74B5"/>
          <w:sz w:val="26"/>
        </w:rPr>
        <w:t>2.1 Protected Information</w:t>
      </w:r>
    </w:p>
    <w:tbl>
      <w:tblPr>
        <w:tblStyle w:val="TableGrid"/>
        <w:tblW w:type="dxa" w:w="9360"/>
        <w:jc w:val="left"/>
        <w:tblLayout w:type="fixed"/>
        <w:tblLook w:firstColumn="1" w:firstRow="1" w:lastColumn="0" w:lastRow="0" w:noHBand="0" w:noVBand="1" w:val="04A0"/>
        <w:tblInd w:w="120" w:type="dxa"/>
      </w:tblPr>
      <w:tblGrid>
        <w:gridCol w:w="2200"/>
        <w:gridCol w:w="3300"/>
        <w:gridCol w:w="3860"/>
      </w:tblGrid>
      <w:tr>
        <w:trPr>
          <w:tblHeader w:val="true"/>
        </w:trPr>
        <w:tc>
          <w:tcPr>
            <w:tcW w:type="dxa" w:w="22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7"/>
              </w:rPr>
              <w:t>Protected item</w:t>
            </w:r>
          </w:p>
        </w:tc>
        <w:tc>
          <w:tcPr>
            <w:tcW w:type="dxa" w:w="33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7"/>
              </w:rPr>
              <w:t>Why it is sensitive</w:t>
            </w:r>
          </w:p>
        </w:tc>
        <w:tc>
          <w:tcPr>
            <w:tcW w:type="dxa" w:w="386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7"/>
              </w:rPr>
              <w:t>Agent-safe replacement</w:t>
            </w:r>
          </w:p>
        </w:tc>
      </w:tr>
      <w:tr>
        <w:tc>
          <w:tcPr>
            <w:tcW w:type="dxa" w:w="2200"/>
          </w:tcPr>
          <w:p>
            <w:pPr>
              <w:keepNext w:val="0"/>
              <w:spacing w:before="0" w:after="0" w:line="240" w:lineRule="auto"/>
              <w:jc w:val="left"/>
            </w:pPr>
            <w:r>
              <w:rPr>
                <w:rFonts w:ascii="Calibri" w:hAnsi="Calibri" w:eastAsia="Microsoft YaHei"/>
                <w:b w:val="0"/>
                <w:i w:val="0"/>
                <w:color w:val="111111"/>
                <w:sz w:val="17"/>
              </w:rPr>
              <w:t>Ticker and company name</w:t>
            </w:r>
          </w:p>
        </w:tc>
        <w:tc>
          <w:tcPr>
            <w:tcW w:type="dxa" w:w="3300"/>
          </w:tcPr>
          <w:p>
            <w:pPr>
              <w:keepNext w:val="0"/>
              <w:spacing w:before="0" w:after="0" w:line="240" w:lineRule="auto"/>
              <w:jc w:val="left"/>
            </w:pPr>
            <w:r>
              <w:rPr>
                <w:rFonts w:ascii="Calibri" w:hAnsi="Calibri" w:eastAsia="Microsoft YaHei"/>
                <w:b w:val="0"/>
                <w:i w:val="0"/>
                <w:color w:val="111111"/>
                <w:sz w:val="17"/>
              </w:rPr>
              <w:t>Reveals the selected universe</w:t>
            </w:r>
          </w:p>
        </w:tc>
        <w:tc>
          <w:tcPr>
            <w:tcW w:type="dxa" w:w="3860"/>
          </w:tcPr>
          <w:p>
            <w:pPr>
              <w:keepNext w:val="0"/>
              <w:spacing w:before="0" w:after="0" w:line="240" w:lineRule="auto"/>
              <w:jc w:val="left"/>
            </w:pPr>
            <w:r>
              <w:rPr>
                <w:rFonts w:ascii="Calibri" w:hAnsi="Calibri" w:eastAsia="Microsoft YaHei"/>
                <w:b w:val="0"/>
                <w:i w:val="0"/>
                <w:color w:val="111111"/>
                <w:sz w:val="17"/>
              </w:rPr>
              <w:t>Opaque HMAC-derived asset ID</w:t>
            </w:r>
          </w:p>
        </w:tc>
      </w:tr>
      <w:tr>
        <w:tc>
          <w:tcPr>
            <w:tcW w:type="dxa" w:w="2200"/>
          </w:tcPr>
          <w:p>
            <w:pPr>
              <w:keepNext w:val="0"/>
              <w:spacing w:before="0" w:after="0" w:line="240" w:lineRule="auto"/>
              <w:jc w:val="left"/>
            </w:pPr>
            <w:r>
              <w:rPr>
                <w:rFonts w:ascii="Calibri" w:hAnsi="Calibri" w:eastAsia="Microsoft YaHei"/>
                <w:b w:val="0"/>
                <w:i w:val="0"/>
                <w:color w:val="111111"/>
                <w:sz w:val="17"/>
              </w:rPr>
              <w:t>Absolute calendar date</w:t>
            </w:r>
          </w:p>
        </w:tc>
        <w:tc>
          <w:tcPr>
            <w:tcW w:type="dxa" w:w="3300"/>
          </w:tcPr>
          <w:p>
            <w:pPr>
              <w:keepNext w:val="0"/>
              <w:spacing w:before="0" w:after="0" w:line="240" w:lineRule="auto"/>
              <w:jc w:val="left"/>
            </w:pPr>
            <w:r>
              <w:rPr>
                <w:rFonts w:ascii="Calibri" w:hAnsi="Calibri" w:eastAsia="Microsoft YaHei"/>
                <w:b w:val="0"/>
                <w:i w:val="0"/>
                <w:color w:val="111111"/>
                <w:sz w:val="17"/>
              </w:rPr>
              <w:t>Reveals the hidden evaluation interval</w:t>
            </w:r>
          </w:p>
        </w:tc>
        <w:tc>
          <w:tcPr>
            <w:tcW w:type="dxa" w:w="3860"/>
          </w:tcPr>
          <w:p>
            <w:pPr>
              <w:keepNext w:val="0"/>
              <w:spacing w:before="0" w:after="0" w:line="240" w:lineRule="auto"/>
              <w:jc w:val="left"/>
            </w:pPr>
            <w:r>
              <w:rPr>
                <w:rFonts w:ascii="Calibri" w:hAnsi="Calibri" w:eastAsia="Microsoft YaHei"/>
                <w:b w:val="0"/>
                <w:i w:val="0"/>
                <w:color w:val="111111"/>
                <w:sz w:val="17"/>
              </w:rPr>
              <w:t>step_id and relative report age</w:t>
            </w:r>
          </w:p>
        </w:tc>
      </w:tr>
      <w:tr>
        <w:tc>
          <w:tcPr>
            <w:tcW w:type="dxa" w:w="2200"/>
          </w:tcPr>
          <w:p>
            <w:pPr>
              <w:keepNext w:val="0"/>
              <w:spacing w:before="0" w:after="0" w:line="240" w:lineRule="auto"/>
              <w:jc w:val="left"/>
            </w:pPr>
            <w:r>
              <w:rPr>
                <w:rFonts w:ascii="Calibri" w:hAnsi="Calibri" w:eastAsia="Microsoft YaHei"/>
                <w:b w:val="0"/>
                <w:i w:val="0"/>
                <w:color w:val="111111"/>
                <w:sz w:val="17"/>
              </w:rPr>
              <w:t>Raw OHLC price</w:t>
            </w:r>
          </w:p>
        </w:tc>
        <w:tc>
          <w:tcPr>
            <w:tcW w:type="dxa" w:w="3300"/>
          </w:tcPr>
          <w:p>
            <w:pPr>
              <w:keepNext w:val="0"/>
              <w:spacing w:before="0" w:after="0" w:line="240" w:lineRule="auto"/>
              <w:jc w:val="left"/>
            </w:pPr>
            <w:r>
              <w:rPr>
                <w:rFonts w:ascii="Calibri" w:hAnsi="Calibri" w:eastAsia="Microsoft YaHei"/>
                <w:b w:val="0"/>
                <w:i w:val="0"/>
                <w:color w:val="111111"/>
                <w:sz w:val="17"/>
              </w:rPr>
              <w:t>Can fingerprint a listed security</w:t>
            </w:r>
          </w:p>
        </w:tc>
        <w:tc>
          <w:tcPr>
            <w:tcW w:type="dxa" w:w="3860"/>
          </w:tcPr>
          <w:p>
            <w:pPr>
              <w:keepNext w:val="0"/>
              <w:spacing w:before="0" w:after="0" w:line="240" w:lineRule="auto"/>
              <w:jc w:val="left"/>
            </w:pPr>
            <w:r>
              <w:rPr>
                <w:rFonts w:ascii="Calibri" w:hAnsi="Calibri" w:eastAsia="Microsoft YaHei"/>
                <w:b w:val="0"/>
                <w:i w:val="0"/>
                <w:color w:val="111111"/>
                <w:sz w:val="17"/>
              </w:rPr>
              <w:t>Relative price and rolling returns</w:t>
            </w:r>
          </w:p>
        </w:tc>
      </w:tr>
      <w:tr>
        <w:tc>
          <w:tcPr>
            <w:tcW w:type="dxa" w:w="2200"/>
          </w:tcPr>
          <w:p>
            <w:pPr>
              <w:keepNext w:val="0"/>
              <w:spacing w:before="0" w:after="0" w:line="240" w:lineRule="auto"/>
              <w:jc w:val="left"/>
            </w:pPr>
            <w:r>
              <w:rPr>
                <w:rFonts w:ascii="Calibri" w:hAnsi="Calibri" w:eastAsia="Microsoft YaHei"/>
                <w:b w:val="0"/>
                <w:i w:val="0"/>
                <w:color w:val="111111"/>
                <w:sz w:val="17"/>
              </w:rPr>
              <w:t>Raw volume</w:t>
            </w:r>
          </w:p>
        </w:tc>
        <w:tc>
          <w:tcPr>
            <w:tcW w:type="dxa" w:w="3300"/>
          </w:tcPr>
          <w:p>
            <w:pPr>
              <w:keepNext w:val="0"/>
              <w:spacing w:before="0" w:after="0" w:line="240" w:lineRule="auto"/>
              <w:jc w:val="left"/>
            </w:pPr>
            <w:r>
              <w:rPr>
                <w:rFonts w:ascii="Calibri" w:hAnsi="Calibri" w:eastAsia="Microsoft YaHei"/>
                <w:b w:val="0"/>
                <w:i w:val="0"/>
                <w:color w:val="111111"/>
                <w:sz w:val="17"/>
              </w:rPr>
              <w:t>Can fingerprint a listed security</w:t>
            </w:r>
          </w:p>
        </w:tc>
        <w:tc>
          <w:tcPr>
            <w:tcW w:type="dxa" w:w="3860"/>
          </w:tcPr>
          <w:p>
            <w:pPr>
              <w:keepNext w:val="0"/>
              <w:spacing w:before="0" w:after="0" w:line="240" w:lineRule="auto"/>
              <w:jc w:val="left"/>
            </w:pPr>
            <w:r>
              <w:rPr>
                <w:rFonts w:ascii="Calibri" w:hAnsi="Calibri" w:eastAsia="Microsoft YaHei"/>
                <w:b w:val="0"/>
                <w:i w:val="0"/>
                <w:color w:val="111111"/>
                <w:sz w:val="17"/>
              </w:rPr>
              <w:t>Rolling volume z-score or ratio</w:t>
            </w:r>
          </w:p>
        </w:tc>
      </w:tr>
      <w:tr>
        <w:tc>
          <w:tcPr>
            <w:tcW w:type="dxa" w:w="2200"/>
          </w:tcPr>
          <w:p>
            <w:pPr>
              <w:keepNext w:val="0"/>
              <w:spacing w:before="0" w:after="0" w:line="240" w:lineRule="auto"/>
              <w:jc w:val="left"/>
            </w:pPr>
            <w:r>
              <w:rPr>
                <w:rFonts w:ascii="Calibri" w:hAnsi="Calibri" w:eastAsia="Microsoft YaHei"/>
                <w:b w:val="0"/>
                <w:i w:val="0"/>
                <w:color w:val="111111"/>
                <w:sz w:val="17"/>
              </w:rPr>
              <w:t>Raw financial amounts</w:t>
            </w:r>
          </w:p>
        </w:tc>
        <w:tc>
          <w:tcPr>
            <w:tcW w:type="dxa" w:w="3300"/>
          </w:tcPr>
          <w:p>
            <w:pPr>
              <w:keepNext w:val="0"/>
              <w:spacing w:before="0" w:after="0" w:line="240" w:lineRule="auto"/>
              <w:jc w:val="left"/>
            </w:pPr>
            <w:r>
              <w:rPr>
                <w:rFonts w:ascii="Calibri" w:hAnsi="Calibri" w:eastAsia="Microsoft YaHei"/>
                <w:b w:val="0"/>
                <w:i w:val="0"/>
                <w:color w:val="111111"/>
                <w:sz w:val="17"/>
              </w:rPr>
              <w:t>Revenue and assets can identify a company</w:t>
            </w:r>
          </w:p>
        </w:tc>
        <w:tc>
          <w:tcPr>
            <w:tcW w:type="dxa" w:w="3860"/>
          </w:tcPr>
          <w:p>
            <w:pPr>
              <w:keepNext w:val="0"/>
              <w:spacing w:before="0" w:after="0" w:line="240" w:lineRule="auto"/>
              <w:jc w:val="left"/>
            </w:pPr>
            <w:r>
              <w:rPr>
                <w:rFonts w:ascii="Calibri" w:hAnsi="Calibri" w:eastAsia="Microsoft YaHei"/>
                <w:b w:val="0"/>
                <w:i w:val="0"/>
                <w:color w:val="111111"/>
                <w:sz w:val="17"/>
              </w:rPr>
              <w:t>Margins, growth, leverage, and quality ratios</w:t>
            </w:r>
          </w:p>
        </w:tc>
      </w:tr>
      <w:tr>
        <w:tc>
          <w:tcPr>
            <w:tcW w:type="dxa" w:w="2200"/>
          </w:tcPr>
          <w:p>
            <w:pPr>
              <w:keepNext w:val="0"/>
              <w:spacing w:before="0" w:after="0" w:line="240" w:lineRule="auto"/>
              <w:jc w:val="left"/>
            </w:pPr>
            <w:r>
              <w:rPr>
                <w:rFonts w:ascii="Calibri" w:hAnsi="Calibri" w:eastAsia="Microsoft YaHei"/>
                <w:b w:val="0"/>
                <w:i w:val="0"/>
                <w:color w:val="111111"/>
                <w:sz w:val="17"/>
              </w:rPr>
              <w:t>Share count</w:t>
            </w:r>
          </w:p>
        </w:tc>
        <w:tc>
          <w:tcPr>
            <w:tcW w:type="dxa" w:w="3300"/>
          </w:tcPr>
          <w:p>
            <w:pPr>
              <w:keepNext w:val="0"/>
              <w:spacing w:before="0" w:after="0" w:line="240" w:lineRule="auto"/>
              <w:jc w:val="left"/>
            </w:pPr>
            <w:r>
              <w:rPr>
                <w:rFonts w:ascii="Calibri" w:hAnsi="Calibri" w:eastAsia="Microsoft YaHei"/>
                <w:b w:val="0"/>
                <w:i w:val="0"/>
                <w:color w:val="111111"/>
                <w:sz w:val="17"/>
              </w:rPr>
              <w:t>Combined with weight can reveal price</w:t>
            </w:r>
          </w:p>
        </w:tc>
        <w:tc>
          <w:tcPr>
            <w:tcW w:type="dxa" w:w="3860"/>
          </w:tcPr>
          <w:p>
            <w:pPr>
              <w:keepNext w:val="0"/>
              <w:spacing w:before="0" w:after="0" w:line="240" w:lineRule="auto"/>
              <w:jc w:val="left"/>
            </w:pPr>
            <w:r>
              <w:rPr>
                <w:rFonts w:ascii="Calibri" w:hAnsi="Calibri" w:eastAsia="Microsoft YaHei"/>
                <w:b w:val="0"/>
                <w:i w:val="0"/>
                <w:color w:val="111111"/>
                <w:sz w:val="17"/>
              </w:rPr>
              <w:t>Portfolio weight only</w:t>
            </w:r>
          </w:p>
        </w:tc>
      </w:tr>
      <w:tr>
        <w:tc>
          <w:tcPr>
            <w:tcW w:type="dxa" w:w="2200"/>
          </w:tcPr>
          <w:p>
            <w:pPr>
              <w:keepNext w:val="0"/>
              <w:spacing w:before="0" w:after="0" w:line="240" w:lineRule="auto"/>
              <w:jc w:val="left"/>
            </w:pPr>
            <w:r>
              <w:rPr>
                <w:rFonts w:ascii="Calibri" w:hAnsi="Calibri" w:eastAsia="Microsoft YaHei"/>
                <w:b w:val="0"/>
                <w:i w:val="0"/>
                <w:color w:val="111111"/>
                <w:sz w:val="17"/>
              </w:rPr>
              <w:t>Raw paths and manifests</w:t>
            </w:r>
          </w:p>
        </w:tc>
        <w:tc>
          <w:tcPr>
            <w:tcW w:type="dxa" w:w="3300"/>
          </w:tcPr>
          <w:p>
            <w:pPr>
              <w:keepNext w:val="0"/>
              <w:spacing w:before="0" w:after="0" w:line="240" w:lineRule="auto"/>
              <w:jc w:val="left"/>
            </w:pPr>
            <w:r>
              <w:rPr>
                <w:rFonts w:ascii="Calibri" w:hAnsi="Calibri" w:eastAsia="Microsoft YaHei"/>
                <w:b w:val="0"/>
                <w:i w:val="0"/>
                <w:color w:val="111111"/>
                <w:sz w:val="17"/>
              </w:rPr>
              <w:t>Can expose private storage and mappings</w:t>
            </w:r>
          </w:p>
        </w:tc>
        <w:tc>
          <w:tcPr>
            <w:tcW w:type="dxa" w:w="3860"/>
          </w:tcPr>
          <w:p>
            <w:pPr>
              <w:keepNext w:val="0"/>
              <w:spacing w:before="0" w:after="0" w:line="240" w:lineRule="auto"/>
              <w:jc w:val="left"/>
            </w:pPr>
            <w:r>
              <w:rPr>
                <w:rFonts w:ascii="Calibri" w:hAnsi="Calibri" w:eastAsia="Microsoft YaHei"/>
                <w:b w:val="0"/>
                <w:i w:val="0"/>
                <w:color w:val="111111"/>
                <w:sz w:val="17"/>
              </w:rPr>
              <w:t>No equivalent is sent</w:t>
            </w:r>
          </w:p>
        </w:tc>
      </w:tr>
    </w:tbl>
    <w:p>
      <w:pPr>
        <w:spacing w:after="0"/>
      </w:pPr>
    </w:p>
    <w:p>
      <w:pPr>
        <w:pStyle w:val="Heading2"/>
      </w:pPr>
      <w:r>
        <w:rPr>
          <w:rFonts w:ascii="Calibri" w:hAnsi="Calibri" w:eastAsia="Microsoft YaHei"/>
          <w:b/>
          <w:i w:val="0"/>
          <w:color w:val="2E74B5"/>
          <w:sz w:val="26"/>
        </w:rPr>
        <w:t>2.2 Security Boundary</w:t>
      </w:r>
    </w:p>
    <w:p>
      <w:pPr>
        <w:keepNext w:val="0"/>
        <w:spacing w:before="40" w:after="140" w:line="240" w:lineRule="auto"/>
        <w:ind w:left="259" w:right="259"/>
        <w:shd w:fill="F6F8FA"/>
      </w:pPr>
      <w:r>
        <w:rPr>
          <w:rFonts w:ascii="DejaVu Sans Mono" w:hAnsi="DejaVu Sans Mono" w:eastAsia="Microsoft YaHei"/>
          <w:b w:val="0"/>
          <w:i w:val="0"/>
          <w:color w:val="263238"/>
          <w:sz w:val="17"/>
        </w:rPr>
        <w:t>PRIVATE EVALUATOR</w:t>
      </w:r>
      <w:r>
        <w:br/>
      </w:r>
      <w:r>
        <w:rPr>
          <w:rFonts w:ascii="DejaVu Sans Mono" w:hAnsi="DejaVu Sans Mono" w:eastAsia="Microsoft YaHei"/>
          <w:b w:val="0"/>
          <w:i w:val="0"/>
          <w:color w:val="263238"/>
          <w:sz w:val="17"/>
        </w:rPr>
        <w:t xml:space="preserve">  ticker, calendar date, raw OHLCV, filings, asset mapping, execution ledger</w:t>
      </w:r>
      <w:r>
        <w:br/>
      </w:r>
      <w:r>
        <w:rPr>
          <w:rFonts w:ascii="DejaVu Sans Mono" w:hAnsi="DejaVu Sans Mono" w:eastAsia="Microsoft YaHei"/>
          <w:b w:val="0"/>
          <w:i w:val="0"/>
          <w:color w:val="263238"/>
          <w:sz w:val="17"/>
        </w:rPr>
        <w:t xml:space="preserve">        |</w:t>
      </w:r>
      <w:r>
        <w:br/>
      </w:r>
      <w:r>
        <w:rPr>
          <w:rFonts w:ascii="DejaVu Sans Mono" w:hAnsi="DejaVu Sans Mono" w:eastAsia="Microsoft YaHei"/>
          <w:b w:val="0"/>
          <w:i w:val="0"/>
          <w:color w:val="263238"/>
          <w:sz w:val="17"/>
        </w:rPr>
        <w:t xml:space="preserve">        | deterministic minimization + point-in-time filter + anonymization</w:t>
      </w:r>
      <w:r>
        <w:br/>
      </w:r>
      <w:r>
        <w:rPr>
          <w:rFonts w:ascii="DejaVu Sans Mono" w:hAnsi="DejaVu Sans Mono" w:eastAsia="Microsoft YaHei"/>
          <w:b w:val="0"/>
          <w:i w:val="0"/>
          <w:color w:val="263238"/>
          <w:sz w:val="17"/>
        </w:rPr>
        <w:t xml:space="preserve">        v</w:t>
      </w:r>
      <w:r>
        <w:br/>
      </w:r>
      <w:r>
        <w:rPr>
          <w:rFonts w:ascii="DejaVu Sans Mono" w:hAnsi="DejaVu Sans Mono" w:eastAsia="Microsoft YaHei"/>
          <w:b w:val="0"/>
          <w:i w:val="0"/>
          <w:color w:val="263238"/>
          <w:sz w:val="17"/>
        </w:rPr>
        <w:t>AGENT-SAFE OBSERVATION</w:t>
      </w:r>
      <w:r>
        <w:br/>
      </w:r>
      <w:r>
        <w:rPr>
          <w:rFonts w:ascii="DejaVu Sans Mono" w:hAnsi="DejaVu Sans Mono" w:eastAsia="Microsoft YaHei"/>
          <w:b w:val="0"/>
          <w:i w:val="0"/>
          <w:color w:val="263238"/>
          <w:sz w:val="17"/>
        </w:rPr>
        <w:t xml:space="preserve">  asset_id, step_id, relative market features, fundamental ratios, weights</w:t>
      </w:r>
      <w:r>
        <w:br/>
      </w:r>
      <w:r>
        <w:rPr>
          <w:rFonts w:ascii="DejaVu Sans Mono" w:hAnsi="DejaVu Sans Mono" w:eastAsia="Microsoft YaHei"/>
          <w:b w:val="0"/>
          <w:i w:val="0"/>
          <w:color w:val="263238"/>
          <w:sz w:val="17"/>
        </w:rPr>
        <w:t xml:space="preserve">        |</w:t>
      </w:r>
      <w:r>
        <w:br/>
      </w:r>
      <w:r>
        <w:rPr>
          <w:rFonts w:ascii="DejaVu Sans Mono" w:hAnsi="DejaVu Sans Mono" w:eastAsia="Microsoft YaHei"/>
          <w:b w:val="0"/>
          <w:i w:val="0"/>
          <w:color w:val="263238"/>
          <w:sz w:val="17"/>
        </w:rPr>
        <w:t xml:space="preserve">        v</w:t>
      </w:r>
      <w:r>
        <w:br/>
      </w:r>
      <w:r>
        <w:rPr>
          <w:rFonts w:ascii="DejaVu Sans Mono" w:hAnsi="DejaVu Sans Mono" w:eastAsia="Microsoft YaHei"/>
          <w:b w:val="0"/>
          <w:i w:val="0"/>
          <w:color w:val="263238"/>
          <w:sz w:val="17"/>
        </w:rPr>
        <w:t>AGENT ACTION: target_weights only</w:t>
      </w:r>
    </w:p>
    <w:p>
      <w:pPr/>
      <w:r>
        <w:rPr>
          <w:rFonts w:ascii="Calibri" w:hAnsi="Calibri" w:eastAsia="Microsoft YaHei"/>
          <w:b w:val="0"/>
          <w:i w:val="0"/>
          <w:color w:val="111111"/>
          <w:sz w:val="22"/>
        </w:rPr>
        <w:t>Opaque asset IDs are generated with a secret-keyed HMAC rather than a plain hash. A plain hash over a small ticker dictionary can be reversed by enumeration. The HMAC secret remains inside the evaluator and is changed between independent evaluation packages when unlinkability is required.</w:t>
      </w:r>
    </w:p>
    <w:p>
      <w:pPr>
        <w:pStyle w:val="Heading2"/>
      </w:pPr>
      <w:r>
        <w:rPr>
          <w:rFonts w:ascii="Calibri" w:hAnsi="Calibri" w:eastAsia="Microsoft YaHei"/>
          <w:b/>
          <w:i w:val="0"/>
          <w:color w:val="2E74B5"/>
          <w:sz w:val="26"/>
        </w:rPr>
        <w:t>2.3 Training-Time Isolation</w:t>
      </w:r>
    </w:p>
    <w:p>
      <w:pPr>
        <w:pStyle w:val="ListBullet"/>
        <w:spacing w:after="80" w:line="264" w:lineRule="auto"/>
        <w:ind w:left="720" w:hanging="360"/>
      </w:pPr>
      <w:r>
        <w:rPr>
          <w:rFonts w:ascii="Calibri" w:hAnsi="Calibri" w:eastAsia="Microsoft YaHei"/>
          <w:b w:val="0"/>
          <w:i w:val="0"/>
          <w:color w:val="111111"/>
          <w:sz w:val="22"/>
        </w:rPr>
        <w:t>Training jobs can read only the public development-data root; the secure evaluation root is not mounted into the process.</w:t>
      </w:r>
    </w:p>
    <w:p>
      <w:pPr>
        <w:pStyle w:val="ListBullet"/>
        <w:spacing w:after="80" w:line="264" w:lineRule="auto"/>
        <w:ind w:left="720" w:hanging="360"/>
      </w:pPr>
      <w:r>
        <w:rPr>
          <w:rFonts w:ascii="Calibri" w:hAnsi="Calibri" w:eastAsia="Microsoft YaHei"/>
          <w:b w:val="0"/>
          <w:i w:val="0"/>
          <w:color w:val="111111"/>
          <w:sz w:val="22"/>
        </w:rPr>
        <w:t>The RL training configuration is frozen before the private universe is selected and mapped to anonymous IDs.</w:t>
      </w:r>
    </w:p>
    <w:p>
      <w:pPr>
        <w:pStyle w:val="ListBullet"/>
        <w:spacing w:after="80" w:line="264" w:lineRule="auto"/>
        <w:ind w:left="720" w:hanging="360"/>
      </w:pPr>
      <w:r>
        <w:rPr>
          <w:rFonts w:ascii="Calibri" w:hAnsi="Calibri" w:eastAsia="Microsoft YaHei"/>
          <w:b w:val="0"/>
          <w:i w:val="0"/>
          <w:color w:val="111111"/>
          <w:sz w:val="22"/>
        </w:rPr>
        <w:t>Training and validation dates end before the 60-day evaluation pre-roll window begins.</w:t>
      </w:r>
    </w:p>
    <w:p>
      <w:pPr>
        <w:pStyle w:val="ListBullet"/>
        <w:spacing w:after="80" w:line="264" w:lineRule="auto"/>
        <w:ind w:left="720" w:hanging="360"/>
      </w:pPr>
      <w:r>
        <w:rPr>
          <w:rFonts w:ascii="Calibri" w:hAnsi="Calibri" w:eastAsia="Microsoft YaHei"/>
          <w:b w:val="0"/>
          <w:i w:val="0"/>
          <w:color w:val="111111"/>
          <w:sz w:val="22"/>
        </w:rPr>
        <w:t>Feature scalers are fitted only on public training data or computed online from the current cross-section; no scaler is fitted on the hidden year.</w:t>
      </w:r>
    </w:p>
    <w:p>
      <w:pPr>
        <w:pStyle w:val="ListBullet"/>
        <w:spacing w:after="80" w:line="264" w:lineRule="auto"/>
        <w:ind w:left="720" w:hanging="360"/>
      </w:pPr>
      <w:r>
        <w:rPr>
          <w:rFonts w:ascii="Calibri" w:hAnsi="Calibri" w:eastAsia="Microsoft YaHei"/>
          <w:b w:val="0"/>
          <w:i w:val="0"/>
          <w:color w:val="111111"/>
          <w:sz w:val="22"/>
        </w:rPr>
        <w:t>Model checkpoints, replay buffers, prompts, and tuning reports are inspected to confirm that they contain no private rows or asset mappings.</w:t>
      </w:r>
    </w:p>
    <w:p>
      <w:pPr>
        <w:pStyle w:val="Heading2"/>
      </w:pPr>
      <w:r>
        <w:rPr>
          <w:rFonts w:ascii="Calibri" w:hAnsi="Calibri" w:eastAsia="Microsoft YaHei"/>
          <w:b/>
          <w:i w:val="0"/>
          <w:color w:val="2E74B5"/>
          <w:sz w:val="26"/>
        </w:rPr>
        <w:t>2.4 Evaluation-Time Isolation</w:t>
      </w:r>
    </w:p>
    <w:p>
      <w:pPr>
        <w:pStyle w:val="ListBullet"/>
        <w:spacing w:after="80" w:line="264" w:lineRule="auto"/>
        <w:ind w:left="720" w:hanging="360"/>
      </w:pPr>
      <w:r>
        <w:rPr>
          <w:rFonts w:ascii="Calibri" w:hAnsi="Calibri" w:eastAsia="Microsoft YaHei"/>
          <w:b w:val="0"/>
          <w:i w:val="0"/>
          <w:color w:val="111111"/>
          <w:sz w:val="22"/>
        </w:rPr>
        <w:t>The agent process receives no filesystem mount containing raw evaluation data or ticker mappings.</w:t>
      </w:r>
    </w:p>
    <w:p>
      <w:pPr>
        <w:pStyle w:val="ListBullet"/>
        <w:spacing w:after="80" w:line="264" w:lineRule="auto"/>
        <w:ind w:left="720" w:hanging="360"/>
      </w:pPr>
      <w:r>
        <w:rPr>
          <w:rFonts w:ascii="Calibri" w:hAnsi="Calibri" w:eastAsia="Microsoft YaHei"/>
          <w:b w:val="0"/>
          <w:i w:val="0"/>
          <w:color w:val="111111"/>
          <w:sz w:val="22"/>
        </w:rPr>
        <w:t>Network access is disabled. The LLM baseline must use a local model; an external LLM API would disclose confidential observations to a third party.</w:t>
      </w:r>
    </w:p>
    <w:p>
      <w:pPr>
        <w:pStyle w:val="ListBullet"/>
        <w:spacing w:after="80" w:line="264" w:lineRule="auto"/>
        <w:ind w:left="720" w:hanging="360"/>
      </w:pPr>
      <w:r>
        <w:rPr>
          <w:rFonts w:ascii="Calibri" w:hAnsi="Calibri" w:eastAsia="Microsoft YaHei"/>
          <w:b w:val="0"/>
          <w:i w:val="0"/>
          <w:color w:val="111111"/>
          <w:sz w:val="22"/>
        </w:rPr>
        <w:t>Agent stdout and exception messages are redacted or disabled; agent-owned logs may contain actions and aggregate diagnostics only.</w:t>
      </w:r>
    </w:p>
    <w:p>
      <w:pPr>
        <w:pStyle w:val="ListBullet"/>
        <w:spacing w:after="80" w:line="264" w:lineRule="auto"/>
        <w:ind w:left="720" w:hanging="360"/>
      </w:pPr>
      <w:r>
        <w:rPr>
          <w:rFonts w:ascii="Calibri" w:hAnsi="Calibri" w:eastAsia="Microsoft YaHei"/>
          <w:b w:val="0"/>
          <w:i w:val="0"/>
          <w:color w:val="111111"/>
          <w:sz w:val="22"/>
        </w:rPr>
        <w:t>Raw observations are retained only by the evaluator in access-controlled storage. Agent-facing result packages contain metrics and sanitized traces.</w:t>
      </w:r>
    </w:p>
    <w:p>
      <w:pPr>
        <w:pStyle w:val="ListBullet"/>
        <w:spacing w:after="80" w:line="264" w:lineRule="auto"/>
        <w:ind w:left="720" w:hanging="360"/>
      </w:pPr>
      <w:r>
        <w:rPr>
          <w:rFonts w:ascii="Calibri" w:hAnsi="Calibri" w:eastAsia="Microsoft YaHei"/>
          <w:b w:val="0"/>
          <w:i w:val="0"/>
          <w:color w:val="111111"/>
          <w:sz w:val="22"/>
        </w:rPr>
        <w:t>The evaluator rejects any observation containing forbidden raw keys before invoking the agent.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keepNext w:val="0"/>
              <w:spacing w:before="40" w:after="40" w:line="264" w:lineRule="auto"/>
            </w:pPr>
            <w:r>
              <w:rPr>
                <w:rFonts w:ascii="Calibri" w:hAnsi="Calibri" w:eastAsia="Microsoft YaHei"/>
                <w:b/>
                <w:i w:val="0"/>
                <w:color w:val="17365D"/>
                <w:sz w:val="22"/>
              </w:rPr>
              <w:t>Security caveat：</w:t>
            </w:r>
            <w:r>
              <w:rPr>
                <w:rFonts w:ascii="Calibri" w:hAnsi="Calibri" w:eastAsia="Microsoft YaHei"/>
                <w:b w:val="0"/>
                <w:i w:val="0"/>
                <w:color w:val="111111"/>
                <w:sz w:val="22"/>
              </w:rPr>
              <w:t>Anonymizing the ticker alone is insufficient. Exact dates, raw price paths, raw volume, and absolute financial statement values can re-identify an equity. The observation contract therefore removes or transforms all of them together.</w:t>
            </w:r>
          </w:p>
        </w:tc>
      </w:tr>
    </w:tbl>
    <w:p>
      <w:pPr>
        <w:spacing w:after="0"/>
      </w:pPr>
    </w:p>
    <w:p>
      <w:pPr>
        <w:pStyle w:val="Heading1"/>
      </w:pPr>
      <w:r>
        <w:rPr>
          <w:rFonts w:ascii="Calibri" w:hAnsi="Calibri" w:eastAsia="Microsoft YaHei"/>
          <w:b/>
          <w:i w:val="0"/>
          <w:color w:val="2E74B5"/>
          <w:sz w:val="32"/>
        </w:rPr>
        <w:t>3. Data Specification</w:t>
      </w:r>
    </w:p>
    <w:p>
      <w:pPr>
        <w:pStyle w:val="Heading2"/>
      </w:pPr>
      <w:r>
        <w:rPr>
          <w:rFonts w:ascii="Calibri" w:hAnsi="Calibri" w:eastAsia="Microsoft YaHei"/>
          <w:b/>
          <w:i w:val="0"/>
          <w:color w:val="2E74B5"/>
          <w:sz w:val="26"/>
        </w:rPr>
        <w:t>3.1 Evaluation Universe</w:t>
      </w:r>
    </w:p>
    <w:p>
      <w:pPr/>
      <w:r>
        <w:rPr>
          <w:rFonts w:ascii="Calibri" w:hAnsi="Calibri" w:eastAsia="Microsoft YaHei"/>
          <w:b w:val="0"/>
          <w:i w:val="0"/>
          <w:color w:val="111111"/>
          <w:sz w:val="22"/>
        </w:rPr>
        <w:t>The private universe contains 30 U.S. listed equities across six broad groups: technology, finance, healthcare, consumer, industrial and energy, and communication and utilities. Each group contributes five assets. Selection balances industry coverage and one-year behavior so that rising, stable, and declining trajectories are represented. The list is fixed before the run but is not disclosed to agent development or training.</w:t>
      </w:r>
    </w:p>
    <w:p>
      <w:pPr>
        <w:pStyle w:val="Heading2"/>
      </w:pPr>
      <w:r>
        <w:rPr>
          <w:rFonts w:ascii="Calibri" w:hAnsi="Calibri" w:eastAsia="Microsoft YaHei"/>
          <w:b/>
          <w:i w:val="0"/>
          <w:color w:val="2E74B5"/>
          <w:sz w:val="26"/>
        </w:rPr>
        <w:t>3.2 Raw Private Market Data</w:t>
      </w:r>
    </w:p>
    <w:tbl>
      <w:tblPr>
        <w:tblStyle w:val="TableGrid"/>
        <w:tblW w:type="dxa" w:w="9360"/>
        <w:jc w:val="left"/>
        <w:tblLayout w:type="fixed"/>
        <w:tblLook w:firstColumn="1" w:firstRow="1" w:lastColumn="0" w:lastRow="0" w:noHBand="0" w:noVBand="1" w:val="04A0"/>
        <w:tblInd w:w="120" w:type="dxa"/>
      </w:tblPr>
      <w:tblGrid>
        <w:gridCol w:w="1600"/>
        <w:gridCol w:w="3100"/>
        <w:gridCol w:w="4660"/>
      </w:tblGrid>
      <w:tr>
        <w:trPr>
          <w:tblHeader w:val="true"/>
        </w:trPr>
        <w:tc>
          <w:tcPr>
            <w:tcW w:type="dxa" w:w="16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8"/>
              </w:rPr>
              <w:t>Field</w:t>
            </w:r>
          </w:p>
        </w:tc>
        <w:tc>
          <w:tcPr>
            <w:tcW w:type="dxa" w:w="31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8"/>
              </w:rPr>
              <w:t>Meaning</w:t>
            </w:r>
          </w:p>
        </w:tc>
        <w:tc>
          <w:tcPr>
            <w:tcW w:type="dxa" w:w="466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8"/>
              </w:rPr>
              <w:t>Private use</w:t>
            </w:r>
          </w:p>
        </w:tc>
      </w:tr>
      <w:tr>
        <w:tc>
          <w:tcPr>
            <w:tcW w:type="dxa" w:w="1600"/>
          </w:tcPr>
          <w:p>
            <w:pPr>
              <w:keepNext w:val="0"/>
              <w:spacing w:before="0" w:after="0" w:line="240" w:lineRule="auto"/>
              <w:jc w:val="left"/>
            </w:pPr>
            <w:r>
              <w:rPr>
                <w:rFonts w:ascii="Calibri" w:hAnsi="Calibri" w:eastAsia="Microsoft YaHei"/>
                <w:b w:val="0"/>
                <w:i w:val="0"/>
                <w:color w:val="111111"/>
                <w:sz w:val="18"/>
              </w:rPr>
              <w:t>timestamp</w:t>
            </w:r>
          </w:p>
        </w:tc>
        <w:tc>
          <w:tcPr>
            <w:tcW w:type="dxa" w:w="3100"/>
          </w:tcPr>
          <w:p>
            <w:pPr>
              <w:keepNext w:val="0"/>
              <w:spacing w:before="0" w:after="0" w:line="240" w:lineRule="auto"/>
              <w:jc w:val="left"/>
            </w:pPr>
            <w:r>
              <w:rPr>
                <w:rFonts w:ascii="Calibri" w:hAnsi="Calibri" w:eastAsia="Microsoft YaHei"/>
                <w:b w:val="0"/>
                <w:i w:val="0"/>
                <w:color w:val="111111"/>
                <w:sz w:val="18"/>
              </w:rPr>
              <w:t>Exchange trading date</w:t>
            </w:r>
          </w:p>
        </w:tc>
        <w:tc>
          <w:tcPr>
            <w:tcW w:type="dxa" w:w="4660"/>
          </w:tcPr>
          <w:p>
            <w:pPr>
              <w:keepNext w:val="0"/>
              <w:spacing w:before="0" w:after="0" w:line="240" w:lineRule="auto"/>
              <w:jc w:val="left"/>
            </w:pPr>
            <w:r>
              <w:rPr>
                <w:rFonts w:ascii="Calibri" w:hAnsi="Calibri" w:eastAsia="Microsoft YaHei"/>
                <w:b w:val="0"/>
                <w:i w:val="0"/>
                <w:color w:val="111111"/>
                <w:sz w:val="18"/>
              </w:rPr>
              <w:t>Ordering and cutoff enforcement</w:t>
            </w:r>
          </w:p>
        </w:tc>
      </w:tr>
      <w:tr>
        <w:tc>
          <w:tcPr>
            <w:tcW w:type="dxa" w:w="1600"/>
          </w:tcPr>
          <w:p>
            <w:pPr>
              <w:keepNext w:val="0"/>
              <w:spacing w:before="0" w:after="0" w:line="240" w:lineRule="auto"/>
              <w:jc w:val="left"/>
            </w:pPr>
            <w:r>
              <w:rPr>
                <w:rFonts w:ascii="Calibri" w:hAnsi="Calibri" w:eastAsia="Microsoft YaHei"/>
                <w:b w:val="0"/>
                <w:i w:val="0"/>
                <w:color w:val="111111"/>
                <w:sz w:val="18"/>
              </w:rPr>
              <w:t>open</w:t>
            </w:r>
          </w:p>
        </w:tc>
        <w:tc>
          <w:tcPr>
            <w:tcW w:type="dxa" w:w="3100"/>
          </w:tcPr>
          <w:p>
            <w:pPr>
              <w:keepNext w:val="0"/>
              <w:spacing w:before="0" w:after="0" w:line="240" w:lineRule="auto"/>
              <w:jc w:val="left"/>
            </w:pPr>
            <w:r>
              <w:rPr>
                <w:rFonts w:ascii="Calibri" w:hAnsi="Calibri" w:eastAsia="Microsoft YaHei"/>
                <w:b w:val="0"/>
                <w:i w:val="0"/>
                <w:color w:val="111111"/>
                <w:sz w:val="18"/>
              </w:rPr>
              <w:t>Adjusted opening price</w:t>
            </w:r>
          </w:p>
        </w:tc>
        <w:tc>
          <w:tcPr>
            <w:tcW w:type="dxa" w:w="4660"/>
          </w:tcPr>
          <w:p>
            <w:pPr>
              <w:keepNext w:val="0"/>
              <w:spacing w:before="0" w:after="0" w:line="240" w:lineRule="auto"/>
              <w:jc w:val="left"/>
            </w:pPr>
            <w:r>
              <w:rPr>
                <w:rFonts w:ascii="Calibri" w:hAnsi="Calibri" w:eastAsia="Microsoft YaHei"/>
                <w:b w:val="0"/>
                <w:i w:val="0"/>
                <w:color w:val="111111"/>
                <w:sz w:val="18"/>
              </w:rPr>
              <w:t>Execution of pending weights</w:t>
            </w:r>
          </w:p>
        </w:tc>
      </w:tr>
      <w:tr>
        <w:tc>
          <w:tcPr>
            <w:tcW w:type="dxa" w:w="1600"/>
          </w:tcPr>
          <w:p>
            <w:pPr>
              <w:keepNext w:val="0"/>
              <w:spacing w:before="0" w:after="0" w:line="240" w:lineRule="auto"/>
              <w:jc w:val="left"/>
            </w:pPr>
            <w:r>
              <w:rPr>
                <w:rFonts w:ascii="Calibri" w:hAnsi="Calibri" w:eastAsia="Microsoft YaHei"/>
                <w:b w:val="0"/>
                <w:i w:val="0"/>
                <w:color w:val="111111"/>
                <w:sz w:val="18"/>
              </w:rPr>
              <w:t>high / low</w:t>
            </w:r>
          </w:p>
        </w:tc>
        <w:tc>
          <w:tcPr>
            <w:tcW w:type="dxa" w:w="3100"/>
          </w:tcPr>
          <w:p>
            <w:pPr>
              <w:keepNext w:val="0"/>
              <w:spacing w:before="0" w:after="0" w:line="240" w:lineRule="auto"/>
              <w:jc w:val="left"/>
            </w:pPr>
            <w:r>
              <w:rPr>
                <w:rFonts w:ascii="Calibri" w:hAnsi="Calibri" w:eastAsia="Microsoft YaHei"/>
                <w:b w:val="0"/>
                <w:i w:val="0"/>
                <w:color w:val="111111"/>
                <w:sz w:val="18"/>
              </w:rPr>
              <w:t>Adjusted daily range</w:t>
            </w:r>
          </w:p>
        </w:tc>
        <w:tc>
          <w:tcPr>
            <w:tcW w:type="dxa" w:w="4660"/>
          </w:tcPr>
          <w:p>
            <w:pPr>
              <w:keepNext w:val="0"/>
              <w:spacing w:before="0" w:after="0" w:line="240" w:lineRule="auto"/>
              <w:jc w:val="left"/>
            </w:pPr>
            <w:r>
              <w:rPr>
                <w:rFonts w:ascii="Calibri" w:hAnsi="Calibri" w:eastAsia="Microsoft YaHei"/>
                <w:b w:val="0"/>
                <w:i w:val="0"/>
                <w:color w:val="111111"/>
                <w:sz w:val="18"/>
              </w:rPr>
              <w:t>Private feature construction</w:t>
            </w:r>
          </w:p>
        </w:tc>
      </w:tr>
      <w:tr>
        <w:tc>
          <w:tcPr>
            <w:tcW w:type="dxa" w:w="1600"/>
          </w:tcPr>
          <w:p>
            <w:pPr>
              <w:keepNext w:val="0"/>
              <w:spacing w:before="0" w:after="0" w:line="240" w:lineRule="auto"/>
              <w:jc w:val="left"/>
            </w:pPr>
            <w:r>
              <w:rPr>
                <w:rFonts w:ascii="Calibri" w:hAnsi="Calibri" w:eastAsia="Microsoft YaHei"/>
                <w:b w:val="0"/>
                <w:i w:val="0"/>
                <w:color w:val="111111"/>
                <w:sz w:val="18"/>
              </w:rPr>
              <w:t>close</w:t>
            </w:r>
          </w:p>
        </w:tc>
        <w:tc>
          <w:tcPr>
            <w:tcW w:type="dxa" w:w="3100"/>
          </w:tcPr>
          <w:p>
            <w:pPr>
              <w:keepNext w:val="0"/>
              <w:spacing w:before="0" w:after="0" w:line="240" w:lineRule="auto"/>
              <w:jc w:val="left"/>
            </w:pPr>
            <w:r>
              <w:rPr>
                <w:rFonts w:ascii="Calibri" w:hAnsi="Calibri" w:eastAsia="Microsoft YaHei"/>
                <w:b w:val="0"/>
                <w:i w:val="0"/>
                <w:color w:val="111111"/>
                <w:sz w:val="18"/>
              </w:rPr>
              <w:t>Adjusted closing price</w:t>
            </w:r>
          </w:p>
        </w:tc>
        <w:tc>
          <w:tcPr>
            <w:tcW w:type="dxa" w:w="4660"/>
          </w:tcPr>
          <w:p>
            <w:pPr>
              <w:keepNext w:val="0"/>
              <w:spacing w:before="0" w:after="0" w:line="240" w:lineRule="auto"/>
              <w:jc w:val="left"/>
            </w:pPr>
            <w:r>
              <w:rPr>
                <w:rFonts w:ascii="Calibri" w:hAnsi="Calibri" w:eastAsia="Microsoft YaHei"/>
                <w:b w:val="0"/>
                <w:i w:val="0"/>
                <w:color w:val="111111"/>
                <w:sz w:val="18"/>
              </w:rPr>
              <w:t>Valuation and return calculation</w:t>
            </w:r>
          </w:p>
        </w:tc>
      </w:tr>
      <w:tr>
        <w:tc>
          <w:tcPr>
            <w:tcW w:type="dxa" w:w="1600"/>
          </w:tcPr>
          <w:p>
            <w:pPr>
              <w:keepNext w:val="0"/>
              <w:spacing w:before="0" w:after="0" w:line="240" w:lineRule="auto"/>
              <w:jc w:val="left"/>
            </w:pPr>
            <w:r>
              <w:rPr>
                <w:rFonts w:ascii="Calibri" w:hAnsi="Calibri" w:eastAsia="Microsoft YaHei"/>
                <w:b w:val="0"/>
                <w:i w:val="0"/>
                <w:color w:val="111111"/>
                <w:sz w:val="18"/>
              </w:rPr>
              <w:t>volume</w:t>
            </w:r>
          </w:p>
        </w:tc>
        <w:tc>
          <w:tcPr>
            <w:tcW w:type="dxa" w:w="3100"/>
          </w:tcPr>
          <w:p>
            <w:pPr>
              <w:keepNext w:val="0"/>
              <w:spacing w:before="0" w:after="0" w:line="240" w:lineRule="auto"/>
              <w:jc w:val="left"/>
            </w:pPr>
            <w:r>
              <w:rPr>
                <w:rFonts w:ascii="Calibri" w:hAnsi="Calibri" w:eastAsia="Microsoft YaHei"/>
                <w:b w:val="0"/>
                <w:i w:val="0"/>
                <w:color w:val="111111"/>
                <w:sz w:val="18"/>
              </w:rPr>
              <w:t>Daily traded shares</w:t>
            </w:r>
          </w:p>
        </w:tc>
        <w:tc>
          <w:tcPr>
            <w:tcW w:type="dxa" w:w="4660"/>
          </w:tcPr>
          <w:p>
            <w:pPr>
              <w:keepNext w:val="0"/>
              <w:spacing w:before="0" w:after="0" w:line="240" w:lineRule="auto"/>
              <w:jc w:val="left"/>
            </w:pPr>
            <w:r>
              <w:rPr>
                <w:rFonts w:ascii="Calibri" w:hAnsi="Calibri" w:eastAsia="Microsoft YaHei"/>
                <w:b w:val="0"/>
                <w:i w:val="0"/>
                <w:color w:val="111111"/>
                <w:sz w:val="18"/>
              </w:rPr>
              <w:t>Relative liquidity features</w:t>
            </w:r>
          </w:p>
        </w:tc>
      </w:tr>
      <w:tr>
        <w:tc>
          <w:tcPr>
            <w:tcW w:type="dxa" w:w="1600"/>
          </w:tcPr>
          <w:p>
            <w:pPr>
              <w:keepNext w:val="0"/>
              <w:spacing w:before="0" w:after="0" w:line="240" w:lineRule="auto"/>
              <w:jc w:val="left"/>
            </w:pPr>
            <w:r>
              <w:rPr>
                <w:rFonts w:ascii="Calibri" w:hAnsi="Calibri" w:eastAsia="Microsoft YaHei"/>
                <w:b w:val="0"/>
                <w:i w:val="0"/>
                <w:color w:val="111111"/>
                <w:sz w:val="18"/>
              </w:rPr>
              <w:t>ticker</w:t>
            </w:r>
          </w:p>
        </w:tc>
        <w:tc>
          <w:tcPr>
            <w:tcW w:type="dxa" w:w="3100"/>
          </w:tcPr>
          <w:p>
            <w:pPr>
              <w:keepNext w:val="0"/>
              <w:spacing w:before="0" w:after="0" w:line="240" w:lineRule="auto"/>
              <w:jc w:val="left"/>
            </w:pPr>
            <w:r>
              <w:rPr>
                <w:rFonts w:ascii="Calibri" w:hAnsi="Calibri" w:eastAsia="Microsoft YaHei"/>
                <w:b w:val="0"/>
                <w:i w:val="0"/>
                <w:color w:val="111111"/>
                <w:sz w:val="18"/>
              </w:rPr>
              <w:t>Real security identifier</w:t>
            </w:r>
          </w:p>
        </w:tc>
        <w:tc>
          <w:tcPr>
            <w:tcW w:type="dxa" w:w="4660"/>
          </w:tcPr>
          <w:p>
            <w:pPr>
              <w:keepNext w:val="0"/>
              <w:spacing w:before="0" w:after="0" w:line="240" w:lineRule="auto"/>
              <w:jc w:val="left"/>
            </w:pPr>
            <w:r>
              <w:rPr>
                <w:rFonts w:ascii="Calibri" w:hAnsi="Calibri" w:eastAsia="Microsoft YaHei"/>
                <w:b w:val="0"/>
                <w:i w:val="0"/>
                <w:color w:val="111111"/>
                <w:sz w:val="18"/>
              </w:rPr>
              <w:t>Mapping to opaque asset ID</w:t>
            </w:r>
          </w:p>
        </w:tc>
      </w:tr>
    </w:tbl>
    <w:p>
      <w:pPr>
        <w:spacing w:after="0"/>
      </w:pPr>
    </w:p>
    <w:p>
      <w:pPr/>
      <w:r>
        <w:rPr>
          <w:rFonts w:ascii="Calibri" w:hAnsi="Calibri" w:eastAsia="Microsoft YaHei"/>
          <w:b w:val="0"/>
          <w:i w:val="0"/>
          <w:color w:val="111111"/>
          <w:sz w:val="22"/>
        </w:rPr>
        <w:t>All market calculations use one consistent adjusted-price basis. If both raw close and adjusted close are stored, adjustment_factor = adjusted_close / raw_close and the same factor is applied to open, high, and low. This prevents splits and distributions from creating artificial returns or transactions.</w:t>
      </w:r>
    </w:p>
    <w:p>
      <w:pPr>
        <w:pStyle w:val="Heading2"/>
      </w:pPr>
      <w:r>
        <w:rPr>
          <w:rFonts w:ascii="Calibri" w:hAnsi="Calibri" w:eastAsia="Microsoft YaHei"/>
          <w:b/>
          <w:i w:val="0"/>
          <w:color w:val="2E74B5"/>
          <w:sz w:val="26"/>
        </w:rPr>
        <w:t>3.3 Raw Private Fundamentals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8"/>
              </w:rPr>
              <w:t>Source table</w:t>
            </w:r>
          </w:p>
        </w:tc>
        <w:tc>
          <w:tcPr>
            <w:tcW w:type="dxa" w:w="676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8"/>
              </w:rPr>
              <w:t>Representative fields</w:t>
            </w:r>
          </w:p>
        </w:tc>
      </w:tr>
      <w:tr>
        <w:tc>
          <w:tcPr>
            <w:tcW w:type="dxa" w:w="2600"/>
          </w:tcPr>
          <w:p>
            <w:pPr>
              <w:keepNext w:val="0"/>
              <w:spacing w:before="0" w:after="0" w:line="240" w:lineRule="auto"/>
              <w:jc w:val="left"/>
            </w:pPr>
            <w:r>
              <w:rPr>
                <w:rFonts w:ascii="Calibri" w:hAnsi="Calibri" w:eastAsia="Microsoft YaHei"/>
                <w:b w:val="0"/>
                <w:i w:val="0"/>
                <w:color w:val="111111"/>
                <w:sz w:val="18"/>
              </w:rPr>
              <w:t>Income statement</w:t>
            </w:r>
          </w:p>
        </w:tc>
        <w:tc>
          <w:tcPr>
            <w:tcW w:type="dxa" w:w="6760"/>
          </w:tcPr>
          <w:p>
            <w:pPr>
              <w:keepNext w:val="0"/>
              <w:spacing w:before="0" w:after="0" w:line="240" w:lineRule="auto"/>
              <w:jc w:val="left"/>
            </w:pPr>
            <w:r>
              <w:rPr>
                <w:rFonts w:ascii="Calibri" w:hAnsi="Calibri" w:eastAsia="Microsoft YaHei"/>
                <w:b w:val="0"/>
                <w:i w:val="0"/>
                <w:color w:val="111111"/>
                <w:sz w:val="18"/>
              </w:rPr>
              <w:t>Revenue, operating income, net income, diluted EPS</w:t>
            </w:r>
          </w:p>
        </w:tc>
      </w:tr>
      <w:tr>
        <w:tc>
          <w:tcPr>
            <w:tcW w:type="dxa" w:w="2600"/>
          </w:tcPr>
          <w:p>
            <w:pPr>
              <w:keepNext w:val="0"/>
              <w:spacing w:before="0" w:after="0" w:line="240" w:lineRule="auto"/>
              <w:jc w:val="left"/>
            </w:pPr>
            <w:r>
              <w:rPr>
                <w:rFonts w:ascii="Calibri" w:hAnsi="Calibri" w:eastAsia="Microsoft YaHei"/>
                <w:b w:val="0"/>
                <w:i w:val="0"/>
                <w:color w:val="111111"/>
                <w:sz w:val="18"/>
              </w:rPr>
              <w:t>Balance sheet</w:t>
            </w:r>
          </w:p>
        </w:tc>
        <w:tc>
          <w:tcPr>
            <w:tcW w:type="dxa" w:w="6760"/>
          </w:tcPr>
          <w:p>
            <w:pPr>
              <w:keepNext w:val="0"/>
              <w:spacing w:before="0" w:after="0" w:line="240" w:lineRule="auto"/>
              <w:jc w:val="left"/>
            </w:pPr>
            <w:r>
              <w:rPr>
                <w:rFonts w:ascii="Calibri" w:hAnsi="Calibri" w:eastAsia="Microsoft YaHei"/>
                <w:b w:val="0"/>
                <w:i w:val="0"/>
                <w:color w:val="111111"/>
                <w:sz w:val="18"/>
              </w:rPr>
              <w:t>Assets, debt, equity, cash and equivalents</w:t>
            </w:r>
          </w:p>
        </w:tc>
      </w:tr>
      <w:tr>
        <w:tc>
          <w:tcPr>
            <w:tcW w:type="dxa" w:w="2600"/>
          </w:tcPr>
          <w:p>
            <w:pPr>
              <w:keepNext w:val="0"/>
              <w:spacing w:before="0" w:after="0" w:line="240" w:lineRule="auto"/>
              <w:jc w:val="left"/>
            </w:pPr>
            <w:r>
              <w:rPr>
                <w:rFonts w:ascii="Calibri" w:hAnsi="Calibri" w:eastAsia="Microsoft YaHei"/>
                <w:b w:val="0"/>
                <w:i w:val="0"/>
                <w:color w:val="111111"/>
                <w:sz w:val="18"/>
              </w:rPr>
              <w:t>Cash-flow statement</w:t>
            </w:r>
          </w:p>
        </w:tc>
        <w:tc>
          <w:tcPr>
            <w:tcW w:type="dxa" w:w="6760"/>
          </w:tcPr>
          <w:p>
            <w:pPr>
              <w:keepNext w:val="0"/>
              <w:spacing w:before="0" w:after="0" w:line="240" w:lineRule="auto"/>
              <w:jc w:val="left"/>
            </w:pPr>
            <w:r>
              <w:rPr>
                <w:rFonts w:ascii="Calibri" w:hAnsi="Calibri" w:eastAsia="Microsoft YaHei"/>
                <w:b w:val="0"/>
                <w:i w:val="0"/>
                <w:color w:val="111111"/>
                <w:sz w:val="18"/>
              </w:rPr>
              <w:t>Operating cash flow, free cash flow, capital expenditure</w:t>
            </w:r>
          </w:p>
        </w:tc>
      </w:tr>
      <w:tr>
        <w:tc>
          <w:tcPr>
            <w:tcW w:type="dxa" w:w="2600"/>
          </w:tcPr>
          <w:p>
            <w:pPr>
              <w:keepNext w:val="0"/>
              <w:spacing w:before="0" w:after="0" w:line="240" w:lineRule="auto"/>
              <w:jc w:val="left"/>
            </w:pPr>
            <w:r>
              <w:rPr>
                <w:rFonts w:ascii="Calibri" w:hAnsi="Calibri" w:eastAsia="Microsoft YaHei"/>
                <w:b w:val="0"/>
                <w:i w:val="0"/>
                <w:color w:val="111111"/>
                <w:sz w:val="18"/>
              </w:rPr>
              <w:t>Availability metadata</w:t>
            </w:r>
          </w:p>
        </w:tc>
        <w:tc>
          <w:tcPr>
            <w:tcW w:type="dxa" w:w="6760"/>
          </w:tcPr>
          <w:p>
            <w:pPr>
              <w:keepNext w:val="0"/>
              <w:spacing w:before="0" w:after="0" w:line="240" w:lineRule="auto"/>
              <w:jc w:val="left"/>
            </w:pPr>
            <w:r>
              <w:rPr>
                <w:rFonts w:ascii="Calibri" w:hAnsi="Calibri" w:eastAsia="Microsoft YaHei"/>
                <w:b w:val="0"/>
                <w:i w:val="0"/>
                <w:color w:val="111111"/>
                <w:sz w:val="18"/>
              </w:rPr>
              <w:t>period_end, filed/available timestamp, filing type, revision ID</w:t>
            </w:r>
          </w:p>
        </w:tc>
      </w:tr>
    </w:tbl>
    <w:p>
      <w:pPr>
        <w:spacing w:after="0"/>
      </w:pPr>
    </w:p>
    <w:p>
      <w:pPr/>
      <w:r>
        <w:rPr>
          <w:rFonts w:ascii="Calibri" w:hAnsi="Calibri" w:eastAsia="Microsoft YaHei"/>
          <w:b w:val="0"/>
          <w:i w:val="0"/>
          <w:color w:val="111111"/>
          <w:sz w:val="22"/>
        </w:rPr>
        <w:t>period_end describes the accounting interval; available_at describes when the information became public. Evaluation visibility is controlled exclusively by available_at. A later restatement of an older quarter remains invisible until the restatement's own availability timestamp.</w:t>
      </w:r>
    </w:p>
    <w:p>
      <w:pPr>
        <w:pStyle w:val="Heading2"/>
      </w:pPr>
      <w:r>
        <w:rPr>
          <w:rFonts w:ascii="Calibri" w:hAnsi="Calibri" w:eastAsia="Microsoft YaHei"/>
          <w:b/>
          <w:i w:val="0"/>
          <w:color w:val="2E74B5"/>
          <w:sz w:val="26"/>
        </w:rPr>
        <w:t>3.4 Agent-Safe Features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8"/>
              </w:rPr>
              <w:t>Category</w:t>
            </w:r>
          </w:p>
        </w:tc>
        <w:tc>
          <w:tcPr>
            <w:tcW w:type="dxa" w:w="716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8"/>
              </w:rPr>
              <w:t>Agent-visible features</w:t>
            </w:r>
          </w:p>
        </w:tc>
      </w:tr>
      <w:tr>
        <w:tc>
          <w:tcPr>
            <w:tcW w:type="dxa" w:w="2200"/>
          </w:tcPr>
          <w:p>
            <w:pPr>
              <w:keepNext w:val="0"/>
              <w:spacing w:before="0" w:after="0" w:line="240" w:lineRule="auto"/>
              <w:jc w:val="left"/>
            </w:pPr>
            <w:r>
              <w:rPr>
                <w:rFonts w:ascii="Calibri" w:hAnsi="Calibri" w:eastAsia="Microsoft YaHei"/>
                <w:b w:val="0"/>
                <w:i w:val="0"/>
                <w:color w:val="111111"/>
                <w:sz w:val="18"/>
              </w:rPr>
              <w:t>Market</w:t>
            </w:r>
          </w:p>
        </w:tc>
        <w:tc>
          <w:tcPr>
            <w:tcW w:type="dxa" w:w="7160"/>
          </w:tcPr>
          <w:p>
            <w:pPr>
              <w:keepNext w:val="0"/>
              <w:spacing w:before="0" w:after="0" w:line="240" w:lineRule="auto"/>
              <w:jc w:val="left"/>
            </w:pPr>
            <w:r>
              <w:rPr>
                <w:rFonts w:ascii="Calibri" w:hAnsi="Calibri" w:eastAsia="Microsoft YaHei"/>
                <w:b w:val="0"/>
                <w:i w:val="0"/>
                <w:color w:val="111111"/>
                <w:sz w:val="18"/>
              </w:rPr>
              <w:t>Relative price, 1/5/20/60-day returns, SMA distance, 20-day volatility</w:t>
            </w:r>
          </w:p>
        </w:tc>
      </w:tr>
      <w:tr>
        <w:tc>
          <w:tcPr>
            <w:tcW w:type="dxa" w:w="2200"/>
          </w:tcPr>
          <w:p>
            <w:pPr>
              <w:keepNext w:val="0"/>
              <w:spacing w:before="0" w:after="0" w:line="240" w:lineRule="auto"/>
              <w:jc w:val="left"/>
            </w:pPr>
            <w:r>
              <w:rPr>
                <w:rFonts w:ascii="Calibri" w:hAnsi="Calibri" w:eastAsia="Microsoft YaHei"/>
                <w:b w:val="0"/>
                <w:i w:val="0"/>
                <w:color w:val="111111"/>
                <w:sz w:val="18"/>
              </w:rPr>
              <w:t>Liquidity</w:t>
            </w:r>
          </w:p>
        </w:tc>
        <w:tc>
          <w:tcPr>
            <w:tcW w:type="dxa" w:w="7160"/>
          </w:tcPr>
          <w:p>
            <w:pPr>
              <w:keepNext w:val="0"/>
              <w:spacing w:before="0" w:after="0" w:line="240" w:lineRule="auto"/>
              <w:jc w:val="left"/>
            </w:pPr>
            <w:r>
              <w:rPr>
                <w:rFonts w:ascii="Calibri" w:hAnsi="Calibri" w:eastAsia="Microsoft YaHei"/>
                <w:b w:val="0"/>
                <w:i w:val="0"/>
                <w:color w:val="111111"/>
                <w:sz w:val="18"/>
              </w:rPr>
              <w:t>20-day volume ratio and volume z-score</w:t>
            </w:r>
          </w:p>
        </w:tc>
      </w:tr>
      <w:tr>
        <w:tc>
          <w:tcPr>
            <w:tcW w:type="dxa" w:w="2200"/>
          </w:tcPr>
          <w:p>
            <w:pPr>
              <w:keepNext w:val="0"/>
              <w:spacing w:before="0" w:after="0" w:line="240" w:lineRule="auto"/>
              <w:jc w:val="left"/>
            </w:pPr>
            <w:r>
              <w:rPr>
                <w:rFonts w:ascii="Calibri" w:hAnsi="Calibri" w:eastAsia="Microsoft YaHei"/>
                <w:b w:val="0"/>
                <w:i w:val="0"/>
                <w:color w:val="111111"/>
                <w:sz w:val="18"/>
              </w:rPr>
              <w:t>Profitability</w:t>
            </w:r>
          </w:p>
        </w:tc>
        <w:tc>
          <w:tcPr>
            <w:tcW w:type="dxa" w:w="7160"/>
          </w:tcPr>
          <w:p>
            <w:pPr>
              <w:keepNext w:val="0"/>
              <w:spacing w:before="0" w:after="0" w:line="240" w:lineRule="auto"/>
              <w:jc w:val="left"/>
            </w:pPr>
            <w:r>
              <w:rPr>
                <w:rFonts w:ascii="Calibri" w:hAnsi="Calibri" w:eastAsia="Microsoft YaHei"/>
                <w:b w:val="0"/>
                <w:i w:val="0"/>
                <w:color w:val="111111"/>
                <w:sz w:val="18"/>
              </w:rPr>
              <w:t>Net margin, operating margin, ROE</w:t>
            </w:r>
          </w:p>
        </w:tc>
      </w:tr>
      <w:tr>
        <w:tc>
          <w:tcPr>
            <w:tcW w:type="dxa" w:w="2200"/>
          </w:tcPr>
          <w:p>
            <w:pPr>
              <w:keepNext w:val="0"/>
              <w:spacing w:before="0" w:after="0" w:line="240" w:lineRule="auto"/>
              <w:jc w:val="left"/>
            </w:pPr>
            <w:r>
              <w:rPr>
                <w:rFonts w:ascii="Calibri" w:hAnsi="Calibri" w:eastAsia="Microsoft YaHei"/>
                <w:b w:val="0"/>
                <w:i w:val="0"/>
                <w:color w:val="111111"/>
                <w:sz w:val="18"/>
              </w:rPr>
              <w:t>Growth</w:t>
            </w:r>
          </w:p>
        </w:tc>
        <w:tc>
          <w:tcPr>
            <w:tcW w:type="dxa" w:w="7160"/>
          </w:tcPr>
          <w:p>
            <w:pPr>
              <w:keepNext w:val="0"/>
              <w:spacing w:before="0" w:after="0" w:line="240" w:lineRule="auto"/>
              <w:jc w:val="left"/>
            </w:pPr>
            <w:r>
              <w:rPr>
                <w:rFonts w:ascii="Calibri" w:hAnsi="Calibri" w:eastAsia="Microsoft YaHei"/>
                <w:b w:val="0"/>
                <w:i w:val="0"/>
                <w:color w:val="111111"/>
                <w:sz w:val="18"/>
              </w:rPr>
              <w:t>Revenue YoY, net-income YoY, free-cash-flow YoY</w:t>
            </w:r>
          </w:p>
        </w:tc>
      </w:tr>
      <w:tr>
        <w:tc>
          <w:tcPr>
            <w:tcW w:type="dxa" w:w="2200"/>
          </w:tcPr>
          <w:p>
            <w:pPr>
              <w:keepNext w:val="0"/>
              <w:spacing w:before="0" w:after="0" w:line="240" w:lineRule="auto"/>
              <w:jc w:val="left"/>
            </w:pPr>
            <w:r>
              <w:rPr>
                <w:rFonts w:ascii="Calibri" w:hAnsi="Calibri" w:eastAsia="Microsoft YaHei"/>
                <w:b w:val="0"/>
                <w:i w:val="0"/>
                <w:color w:val="111111"/>
                <w:sz w:val="18"/>
              </w:rPr>
              <w:t>Quality</w:t>
            </w:r>
          </w:p>
        </w:tc>
        <w:tc>
          <w:tcPr>
            <w:tcW w:type="dxa" w:w="7160"/>
          </w:tcPr>
          <w:p>
            <w:pPr>
              <w:keepNext w:val="0"/>
              <w:spacing w:before="0" w:after="0" w:line="240" w:lineRule="auto"/>
              <w:jc w:val="left"/>
            </w:pPr>
            <w:r>
              <w:rPr>
                <w:rFonts w:ascii="Calibri" w:hAnsi="Calibri" w:eastAsia="Microsoft YaHei"/>
                <w:b w:val="0"/>
                <w:i w:val="0"/>
                <w:color w:val="111111"/>
                <w:sz w:val="18"/>
              </w:rPr>
              <w:t>FCF margin, operating-cash-flow conversion, debt/assets</w:t>
            </w:r>
          </w:p>
        </w:tc>
      </w:tr>
      <w:tr>
        <w:tc>
          <w:tcPr>
            <w:tcW w:type="dxa" w:w="2200"/>
          </w:tcPr>
          <w:p>
            <w:pPr>
              <w:keepNext w:val="0"/>
              <w:spacing w:before="0" w:after="0" w:line="240" w:lineRule="auto"/>
              <w:jc w:val="left"/>
            </w:pPr>
            <w:r>
              <w:rPr>
                <w:rFonts w:ascii="Calibri" w:hAnsi="Calibri" w:eastAsia="Microsoft YaHei"/>
                <w:b w:val="0"/>
                <w:i w:val="0"/>
                <w:color w:val="111111"/>
                <w:sz w:val="18"/>
              </w:rPr>
              <w:t>Freshness</w:t>
            </w:r>
          </w:p>
        </w:tc>
        <w:tc>
          <w:tcPr>
            <w:tcW w:type="dxa" w:w="7160"/>
          </w:tcPr>
          <w:p>
            <w:pPr>
              <w:keepNext w:val="0"/>
              <w:spacing w:before="0" w:after="0" w:line="240" w:lineRule="auto"/>
              <w:jc w:val="left"/>
            </w:pPr>
            <w:r>
              <w:rPr>
                <w:rFonts w:ascii="Calibri" w:hAnsi="Calibri" w:eastAsia="Microsoft YaHei"/>
                <w:b w:val="0"/>
                <w:i w:val="0"/>
                <w:color w:val="111111"/>
                <w:sz w:val="18"/>
              </w:rPr>
              <w:t>is_new_report, report_age_days, stale_fundamental flag</w:t>
            </w:r>
          </w:p>
        </w:tc>
      </w:tr>
      <w:tr>
        <w:tc>
          <w:tcPr>
            <w:tcW w:type="dxa" w:w="2200"/>
          </w:tcPr>
          <w:p>
            <w:pPr>
              <w:keepNext w:val="0"/>
              <w:spacing w:before="0" w:after="0" w:line="240" w:lineRule="auto"/>
              <w:jc w:val="left"/>
            </w:pPr>
            <w:r>
              <w:rPr>
                <w:rFonts w:ascii="Calibri" w:hAnsi="Calibri" w:eastAsia="Microsoft YaHei"/>
                <w:b w:val="0"/>
                <w:i w:val="0"/>
                <w:color w:val="111111"/>
                <w:sz w:val="18"/>
              </w:rPr>
              <w:t>Portfolio</w:t>
            </w:r>
          </w:p>
        </w:tc>
        <w:tc>
          <w:tcPr>
            <w:tcW w:type="dxa" w:w="7160"/>
          </w:tcPr>
          <w:p>
            <w:pPr>
              <w:keepNext w:val="0"/>
              <w:spacing w:before="0" w:after="0" w:line="240" w:lineRule="auto"/>
              <w:jc w:val="left"/>
            </w:pPr>
            <w:r>
              <w:rPr>
                <w:rFonts w:ascii="Calibri" w:hAnsi="Calibri" w:eastAsia="Microsoft YaHei"/>
                <w:b w:val="0"/>
                <w:i w:val="0"/>
                <w:color w:val="111111"/>
                <w:sz w:val="18"/>
              </w:rPr>
              <w:t>Current weights, cash ratio, NAV relative to initial capital, drawdown</w:t>
            </w:r>
          </w:p>
        </w:tc>
      </w:tr>
    </w:tbl>
    <w:p>
      <w:pPr>
        <w:spacing w:after="0"/>
      </w:pPr>
    </w:p>
    <w:p>
      <w:pPr/>
      <w:r>
        <w:rPr>
          <w:rFonts w:ascii="Calibri" w:hAnsi="Calibri" w:eastAsia="Microsoft YaHei"/>
          <w:b w:val="0"/>
          <w:i w:val="0"/>
          <w:color w:val="111111"/>
          <w:sz w:val="22"/>
        </w:rPr>
        <w:t>Raw financial amounts are converted into ratios before crossing the boundary. Cross-sectional transforms use only assets visible at the current step and are winsorized and standardized within broad sector groups. No full-year mean, standard deviation, percentile, or rank is used.</w:t>
      </w:r>
    </w:p>
    <w:p>
      <w:pPr>
        <w:pStyle w:val="Heading1"/>
      </w:pPr>
      <w:r>
        <w:rPr>
          <w:rFonts w:ascii="Calibri" w:hAnsi="Calibri" w:eastAsia="Microsoft YaHei"/>
          <w:b/>
          <w:i w:val="0"/>
          <w:color w:val="2E74B5"/>
          <w:sz w:val="32"/>
        </w:rPr>
        <w:t>4. Dataset Partition and RL Training</w:t>
      </w:r>
    </w:p>
    <w:p>
      <w:pPr>
        <w:pStyle w:val="Heading2"/>
      </w:pPr>
      <w:r>
        <w:rPr>
          <w:rFonts w:ascii="Calibri" w:hAnsi="Calibri" w:eastAsia="Microsoft YaHei"/>
          <w:b/>
          <w:i w:val="0"/>
          <w:color w:val="2E74B5"/>
          <w:sz w:val="26"/>
        </w:rPr>
        <w:t>4.1 Fixed Partition</w:t>
      </w:r>
    </w:p>
    <w:tbl>
      <w:tblPr>
        <w:tblStyle w:val="TableGrid"/>
        <w:tblW w:type="dxa" w:w="9360"/>
        <w:jc w:val="left"/>
        <w:tblLayout w:type="fixed"/>
        <w:tblLook w:firstColumn="1" w:firstRow="1" w:lastColumn="0" w:lastRow="0" w:noHBand="0" w:noVBand="1" w:val="04A0"/>
        <w:tblInd w:w="120" w:type="dxa"/>
      </w:tblPr>
      <w:tblGrid>
        <w:gridCol w:w="2200"/>
        <w:gridCol w:w="2400"/>
        <w:gridCol w:w="3000"/>
        <w:gridCol w:w="1760"/>
      </w:tblGrid>
      <w:tr>
        <w:trPr>
          <w:tblHeader w:val="true"/>
        </w:trPr>
        <w:tc>
          <w:tcPr>
            <w:tcW w:type="dxa" w:w="22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7"/>
              </w:rPr>
              <w:t>Partition</w:t>
            </w:r>
          </w:p>
        </w:tc>
        <w:tc>
          <w:tcPr>
            <w:tcW w:type="dxa" w:w="24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7"/>
              </w:rPr>
              <w:t>Visibility</w:t>
            </w:r>
          </w:p>
        </w:tc>
        <w:tc>
          <w:tcPr>
            <w:tcW w:type="dxa" w:w="30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7"/>
              </w:rPr>
              <w:t>Purpose</w:t>
            </w:r>
          </w:p>
        </w:tc>
        <w:tc>
          <w:tcPr>
            <w:tcW w:type="dxa" w:w="176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7"/>
              </w:rPr>
              <w:t>Included in metrics</w:t>
            </w:r>
          </w:p>
        </w:tc>
      </w:tr>
      <w:tr>
        <w:tc>
          <w:tcPr>
            <w:tcW w:type="dxa" w:w="2200"/>
          </w:tcPr>
          <w:p>
            <w:pPr>
              <w:keepNext w:val="0"/>
              <w:spacing w:before="0" w:after="0" w:line="240" w:lineRule="auto"/>
              <w:jc w:val="left"/>
            </w:pPr>
            <w:r>
              <w:rPr>
                <w:rFonts w:ascii="Calibri" w:hAnsi="Calibri" w:eastAsia="Microsoft YaHei"/>
                <w:b w:val="0"/>
                <w:i w:val="0"/>
                <w:color w:val="111111"/>
                <w:sz w:val="17"/>
              </w:rPr>
              <w:t>Public development corpus</w:t>
            </w:r>
          </w:p>
        </w:tc>
        <w:tc>
          <w:tcPr>
            <w:tcW w:type="dxa" w:w="2400"/>
          </w:tcPr>
          <w:p>
            <w:pPr>
              <w:keepNext w:val="0"/>
              <w:spacing w:before="0" w:after="0" w:line="240" w:lineRule="auto"/>
              <w:jc w:val="left"/>
            </w:pPr>
            <w:r>
              <w:rPr>
                <w:rFonts w:ascii="Calibri" w:hAnsi="Calibri" w:eastAsia="Microsoft YaHei"/>
                <w:b w:val="0"/>
                <w:i w:val="0"/>
                <w:color w:val="111111"/>
                <w:sz w:val="17"/>
              </w:rPr>
              <w:t>Visible to developers</w:t>
            </w:r>
          </w:p>
        </w:tc>
        <w:tc>
          <w:tcPr>
            <w:tcW w:type="dxa" w:w="3000"/>
          </w:tcPr>
          <w:p>
            <w:pPr>
              <w:keepNext w:val="0"/>
              <w:spacing w:before="0" w:after="0" w:line="240" w:lineRule="auto"/>
              <w:jc w:val="left"/>
            </w:pPr>
            <w:r>
              <w:rPr>
                <w:rFonts w:ascii="Calibri" w:hAnsi="Calibri" w:eastAsia="Microsoft YaHei"/>
                <w:b w:val="0"/>
                <w:i w:val="0"/>
                <w:color w:val="111111"/>
                <w:sz w:val="17"/>
              </w:rPr>
              <w:t>RL training, validation, prompt and interface testing</w:t>
            </w:r>
          </w:p>
        </w:tc>
        <w:tc>
          <w:tcPr>
            <w:tcW w:type="dxa" w:w="1760"/>
          </w:tcPr>
          <w:p>
            <w:pPr>
              <w:keepNext w:val="0"/>
              <w:spacing w:before="0" w:after="0" w:line="240" w:lineRule="auto"/>
              <w:jc w:val="left"/>
            </w:pPr>
            <w:r>
              <w:rPr>
                <w:rFonts w:ascii="Calibri" w:hAnsi="Calibri" w:eastAsia="Microsoft YaHei"/>
                <w:b w:val="0"/>
                <w:i w:val="0"/>
                <w:color w:val="111111"/>
                <w:sz w:val="17"/>
              </w:rPr>
              <w:t>No</w:t>
            </w:r>
          </w:p>
        </w:tc>
      </w:tr>
      <w:tr>
        <w:tc>
          <w:tcPr>
            <w:tcW w:type="dxa" w:w="2200"/>
          </w:tcPr>
          <w:p>
            <w:pPr>
              <w:keepNext w:val="0"/>
              <w:spacing w:before="0" w:after="0" w:line="240" w:lineRule="auto"/>
              <w:jc w:val="left"/>
            </w:pPr>
            <w:r>
              <w:rPr>
                <w:rFonts w:ascii="Calibri" w:hAnsi="Calibri" w:eastAsia="Microsoft YaHei"/>
                <w:b w:val="0"/>
                <w:i w:val="0"/>
                <w:color w:val="111111"/>
                <w:sz w:val="17"/>
              </w:rPr>
              <w:t>60-day private pre-roll</w:t>
            </w:r>
          </w:p>
        </w:tc>
        <w:tc>
          <w:tcPr>
            <w:tcW w:type="dxa" w:w="2400"/>
          </w:tcPr>
          <w:p>
            <w:pPr>
              <w:keepNext w:val="0"/>
              <w:spacing w:before="0" w:after="0" w:line="240" w:lineRule="auto"/>
              <w:jc w:val="left"/>
            </w:pPr>
            <w:r>
              <w:rPr>
                <w:rFonts w:ascii="Calibri" w:hAnsi="Calibri" w:eastAsia="Microsoft YaHei"/>
                <w:b w:val="0"/>
                <w:i w:val="0"/>
                <w:color w:val="111111"/>
                <w:sz w:val="17"/>
              </w:rPr>
              <w:t>Released sequentially by evaluator</w:t>
            </w:r>
          </w:p>
        </w:tc>
        <w:tc>
          <w:tcPr>
            <w:tcW w:type="dxa" w:w="3000"/>
          </w:tcPr>
          <w:p>
            <w:pPr>
              <w:keepNext w:val="0"/>
              <w:spacing w:before="0" w:after="0" w:line="240" w:lineRule="auto"/>
              <w:jc w:val="left"/>
            </w:pPr>
            <w:r>
              <w:rPr>
                <w:rFonts w:ascii="Calibri" w:hAnsi="Calibri" w:eastAsia="Microsoft YaHei"/>
                <w:b w:val="0"/>
                <w:i w:val="0"/>
                <w:color w:val="111111"/>
                <w:sz w:val="17"/>
              </w:rPr>
              <w:t>Initialize rolling features</w:t>
            </w:r>
          </w:p>
        </w:tc>
        <w:tc>
          <w:tcPr>
            <w:tcW w:type="dxa" w:w="1760"/>
          </w:tcPr>
          <w:p>
            <w:pPr>
              <w:keepNext w:val="0"/>
              <w:spacing w:before="0" w:after="0" w:line="240" w:lineRule="auto"/>
              <w:jc w:val="left"/>
            </w:pPr>
            <w:r>
              <w:rPr>
                <w:rFonts w:ascii="Calibri" w:hAnsi="Calibri" w:eastAsia="Microsoft YaHei"/>
                <w:b w:val="0"/>
                <w:i w:val="0"/>
                <w:color w:val="111111"/>
                <w:sz w:val="17"/>
              </w:rPr>
              <w:t>No</w:t>
            </w:r>
          </w:p>
        </w:tc>
      </w:tr>
      <w:tr>
        <w:tc>
          <w:tcPr>
            <w:tcW w:type="dxa" w:w="2200"/>
          </w:tcPr>
          <w:p>
            <w:pPr>
              <w:keepNext w:val="0"/>
              <w:spacing w:before="0" w:after="0" w:line="240" w:lineRule="auto"/>
              <w:jc w:val="left"/>
            </w:pPr>
            <w:r>
              <w:rPr>
                <w:rFonts w:ascii="Calibri" w:hAnsi="Calibri" w:eastAsia="Microsoft YaHei"/>
                <w:b w:val="0"/>
                <w:i w:val="0"/>
                <w:color w:val="111111"/>
                <w:sz w:val="17"/>
              </w:rPr>
              <w:t>One-year private evaluation</w:t>
            </w:r>
          </w:p>
        </w:tc>
        <w:tc>
          <w:tcPr>
            <w:tcW w:type="dxa" w:w="2400"/>
          </w:tcPr>
          <w:p>
            <w:pPr>
              <w:keepNext w:val="0"/>
              <w:spacing w:before="0" w:after="0" w:line="240" w:lineRule="auto"/>
              <w:jc w:val="left"/>
            </w:pPr>
            <w:r>
              <w:rPr>
                <w:rFonts w:ascii="Calibri" w:hAnsi="Calibri" w:eastAsia="Microsoft YaHei"/>
                <w:b w:val="0"/>
                <w:i w:val="0"/>
                <w:color w:val="111111"/>
                <w:sz w:val="17"/>
              </w:rPr>
              <w:t>Released one step at a time</w:t>
            </w:r>
          </w:p>
        </w:tc>
        <w:tc>
          <w:tcPr>
            <w:tcW w:type="dxa" w:w="3000"/>
          </w:tcPr>
          <w:p>
            <w:pPr>
              <w:keepNext w:val="0"/>
              <w:spacing w:before="0" w:after="0" w:line="240" w:lineRule="auto"/>
              <w:jc w:val="left"/>
            </w:pPr>
            <w:r>
              <w:rPr>
                <w:rFonts w:ascii="Calibri" w:hAnsi="Calibri" w:eastAsia="Microsoft YaHei"/>
                <w:b w:val="0"/>
                <w:i w:val="0"/>
                <w:color w:val="111111"/>
                <w:sz w:val="17"/>
              </w:rPr>
              <w:t>Common out-of-sample evaluation</w:t>
            </w:r>
          </w:p>
        </w:tc>
        <w:tc>
          <w:tcPr>
            <w:tcW w:type="dxa" w:w="1760"/>
          </w:tcPr>
          <w:p>
            <w:pPr>
              <w:keepNext w:val="0"/>
              <w:spacing w:before="0" w:after="0" w:line="240" w:lineRule="auto"/>
              <w:jc w:val="left"/>
            </w:pPr>
            <w:r>
              <w:rPr>
                <w:rFonts w:ascii="Calibri" w:hAnsi="Calibri" w:eastAsia="Microsoft YaHei"/>
                <w:b w:val="0"/>
                <w:i w:val="0"/>
                <w:color w:val="111111"/>
                <w:sz w:val="17"/>
              </w:rPr>
              <w:t>Yes</w:t>
            </w:r>
          </w:p>
        </w:tc>
      </w:tr>
    </w:tbl>
    <w:p>
      <w:pPr>
        <w:spacing w:after="0"/>
      </w:pPr>
    </w:p>
    <w:p>
      <w:pPr/>
      <w:r>
        <w:rPr>
          <w:rFonts w:ascii="Calibri" w:hAnsi="Calibri" w:eastAsia="Microsoft YaHei"/>
          <w:b w:val="0"/>
          <w:i w:val="0"/>
          <w:color w:val="111111"/>
          <w:sz w:val="22"/>
        </w:rPr>
        <w:t>The hidden year is not split into a public training segment and a private testing segment. Doing so would reveal the selected assets and current market regime, while approximately 252 daily observations are too few for reliable high-dimensional RL training. The entire year remains a clean out-of-sample interval.</w:t>
      </w:r>
    </w:p>
    <w:p>
      <w:pPr>
        <w:pStyle w:val="Heading2"/>
      </w:pPr>
      <w:r>
        <w:rPr>
          <w:rFonts w:ascii="Calibri" w:hAnsi="Calibri" w:eastAsia="Microsoft YaHei"/>
          <w:b/>
          <w:i w:val="0"/>
          <w:color w:val="2E74B5"/>
          <w:sz w:val="26"/>
        </w:rPr>
        <w:t>4.2 Lightweight Public Training Corpus</w:t>
      </w:r>
    </w:p>
    <w:p>
      <w:pPr/>
      <w:r>
        <w:rPr>
          <w:rFonts w:ascii="Calibri" w:hAnsi="Calibri" w:eastAsia="Microsoft YaHei"/>
          <w:b w:val="0"/>
          <w:i w:val="0"/>
          <w:color w:val="111111"/>
          <w:sz w:val="22"/>
        </w:rPr>
        <w:t>The included downloader uses approximately 60 non-evaluation equities and three years of daily OHLCV, producing roughly 40,000-50,000 rows. The final 252 public trading days form a validation set. PPO training samples short episodes of 30 assets by 126 trading days, which provides variety without making training unnecessarily expensive.</w:t>
      </w:r>
    </w:p>
    <w:p>
      <w:pPr>
        <w:keepNext w:val="0"/>
        <w:spacing w:before="40" w:after="140" w:line="240" w:lineRule="auto"/>
        <w:ind w:left="259" w:right="259"/>
        <w:shd w:fill="F6F8FA"/>
      </w:pPr>
      <w:r>
        <w:rPr>
          <w:rFonts w:ascii="DejaVu Sans Mono" w:hAnsi="DejaVu Sans Mono" w:eastAsia="Microsoft YaHei"/>
          <w:b w:val="0"/>
          <w:i w:val="0"/>
          <w:color w:val="263238"/>
          <w:sz w:val="17"/>
        </w:rPr>
        <w:t>public train: about 60 assets x about 2 years</w:t>
      </w:r>
      <w:r>
        <w:br/>
      </w:r>
      <w:r>
        <w:rPr>
          <w:rFonts w:ascii="DejaVu Sans Mono" w:hAnsi="DejaVu Sans Mono" w:eastAsia="Microsoft YaHei"/>
          <w:b w:val="0"/>
          <w:i w:val="0"/>
          <w:color w:val="263238"/>
          <w:sz w:val="17"/>
        </w:rPr>
        <w:t>public validation: same public pool, final 252 trading days</w:t>
      </w:r>
      <w:r>
        <w:br/>
      </w:r>
      <w:r>
        <w:rPr>
          <w:rFonts w:ascii="DejaVu Sans Mono" w:hAnsi="DejaVu Sans Mono" w:eastAsia="Microsoft YaHei"/>
          <w:b w:val="0"/>
          <w:i w:val="0"/>
          <w:color w:val="263238"/>
          <w:sz w:val="17"/>
        </w:rPr>
        <w:t>training episode: random 30 assets x 126 consecutive trading days</w:t>
      </w:r>
      <w:r>
        <w:br/>
      </w:r>
      <w:r>
        <w:rPr>
          <w:rFonts w:ascii="DejaVu Sans Mono" w:hAnsi="DejaVu Sans Mono" w:eastAsia="Microsoft YaHei"/>
          <w:b w:val="0"/>
          <w:i w:val="0"/>
          <w:color w:val="263238"/>
          <w:sz w:val="17"/>
        </w:rPr>
        <w:t>private evaluation: hidden 30 assets x 252 trading days</w:t>
      </w:r>
      <w:r>
        <w:br/>
      </w:r>
      <w:r>
        <w:rPr>
          <w:rFonts w:ascii="DejaVu Sans Mono" w:hAnsi="DejaVu Sans Mono" w:eastAsia="Microsoft YaHei"/>
          <w:b w:val="0"/>
          <w:i w:val="0"/>
          <w:color w:val="263238"/>
          <w:sz w:val="17"/>
        </w:rPr>
        <w:t>embargo: public corpus ends before private pre-roll begins</w:t>
      </w:r>
    </w:p>
    <w:p>
      <w:pPr>
        <w:pStyle w:val="Heading1"/>
      </w:pPr>
      <w:r>
        <w:rPr>
          <w:rFonts w:ascii="Calibri" w:hAnsi="Calibri" w:eastAsia="Microsoft YaHei"/>
          <w:b/>
          <w:i w:val="0"/>
          <w:color w:val="2E74B5"/>
          <w:sz w:val="32"/>
        </w:rPr>
        <w:t>5. Pre-Evaluation Processing</w:t>
      </w:r>
    </w:p>
    <w:p>
      <w:pPr>
        <w:pStyle w:val="Heading2"/>
      </w:pPr>
      <w:r>
        <w:rPr>
          <w:rFonts w:ascii="Calibri" w:hAnsi="Calibri" w:eastAsia="Microsoft YaHei"/>
          <w:b/>
          <w:i w:val="0"/>
          <w:color w:val="2E74B5"/>
          <w:sz w:val="26"/>
        </w:rPr>
        <w:t>5.1 Market Data Checks</w:t>
      </w:r>
    </w:p>
    <w:p>
      <w:pPr>
        <w:pStyle w:val="ListNumber"/>
        <w:spacing w:after="80" w:line="264" w:lineRule="auto"/>
        <w:ind w:left="720" w:hanging="360"/>
      </w:pPr>
      <w:r>
        <w:rPr>
          <w:rFonts w:ascii="Calibri" w:hAnsi="Calibri" w:eastAsia="Microsoft YaHei"/>
          <w:b w:val="0"/>
          <w:i w:val="0"/>
          <w:color w:val="111111"/>
          <w:sz w:val="22"/>
        </w:rPr>
        <w:t>Parse, timezone-normalize, sort, and deduplicate all trading dates within each ticker.</w:t>
      </w:r>
    </w:p>
    <w:p>
      <w:pPr>
        <w:pStyle w:val="ListNumber"/>
        <w:spacing w:after="80" w:line="264" w:lineRule="auto"/>
        <w:ind w:left="720" w:hanging="360"/>
      </w:pPr>
      <w:r>
        <w:rPr>
          <w:rFonts w:ascii="Calibri" w:hAnsi="Calibri" w:eastAsia="Microsoft YaHei"/>
          <w:b w:val="0"/>
          <w:i w:val="0"/>
          <w:color w:val="111111"/>
          <w:sz w:val="22"/>
        </w:rPr>
        <w:t>Require positive prices and non-negative volume; validate high &gt;= open/close and low &lt;= open/close.</w:t>
      </w:r>
    </w:p>
    <w:p>
      <w:pPr>
        <w:pStyle w:val="ListNumber"/>
        <w:spacing w:after="80" w:line="264" w:lineRule="auto"/>
        <w:ind w:left="720" w:hanging="360"/>
      </w:pPr>
      <w:r>
        <w:rPr>
          <w:rFonts w:ascii="Calibri" w:hAnsi="Calibri" w:eastAsia="Microsoft YaHei"/>
          <w:b w:val="0"/>
          <w:i w:val="0"/>
          <w:color w:val="111111"/>
          <w:sz w:val="22"/>
        </w:rPr>
        <w:t>Align to a master exchange calendar without filling absent prices with zero.</w:t>
      </w:r>
    </w:p>
    <w:p>
      <w:pPr>
        <w:pStyle w:val="ListNumber"/>
        <w:spacing w:after="80" w:line="264" w:lineRule="auto"/>
        <w:ind w:left="720" w:hanging="360"/>
      </w:pPr>
      <w:r>
        <w:rPr>
          <w:rFonts w:ascii="Calibri" w:hAnsi="Calibri" w:eastAsia="Microsoft YaHei"/>
          <w:b w:val="0"/>
          <w:i w:val="0"/>
          <w:color w:val="111111"/>
          <w:sz w:val="22"/>
        </w:rPr>
        <w:t>Skip execution for an asset when the opening price is unavailable; retain the position and record execution_skip.</w:t>
      </w:r>
    </w:p>
    <w:p>
      <w:pPr>
        <w:pStyle w:val="ListNumber"/>
        <w:spacing w:after="80" w:line="264" w:lineRule="auto"/>
        <w:ind w:left="720" w:hanging="360"/>
      </w:pPr>
      <w:r>
        <w:rPr>
          <w:rFonts w:ascii="Calibri" w:hAnsi="Calibri" w:eastAsia="Microsoft YaHei"/>
          <w:b w:val="0"/>
          <w:i w:val="0"/>
          <w:color w:val="111111"/>
          <w:sz w:val="22"/>
        </w:rPr>
        <w:t>Use the most recent valid close for temporary valuation gaps and record stale_price.</w:t>
      </w:r>
    </w:p>
    <w:p>
      <w:pPr>
        <w:pStyle w:val="Heading2"/>
      </w:pPr>
      <w:r>
        <w:rPr>
          <w:rFonts w:ascii="Calibri" w:hAnsi="Calibri" w:eastAsia="Microsoft YaHei"/>
          <w:b/>
          <w:i w:val="0"/>
          <w:color w:val="2E74B5"/>
          <w:sz w:val="26"/>
        </w:rPr>
        <w:t>5.2 Fundamental Data Checks</w:t>
      </w:r>
    </w:p>
    <w:p>
      <w:pPr>
        <w:pStyle w:val="ListNumber"/>
        <w:spacing w:after="80" w:line="264" w:lineRule="auto"/>
        <w:ind w:left="720" w:hanging="360"/>
      </w:pPr>
      <w:r>
        <w:rPr>
          <w:rFonts w:ascii="Calibri" w:hAnsi="Calibri" w:eastAsia="Microsoft YaHei"/>
          <w:b w:val="0"/>
          <w:i w:val="0"/>
          <w:color w:val="111111"/>
          <w:sz w:val="22"/>
        </w:rPr>
        <w:t>Remove sparse residual rows whose non-null field coverage is below 25%; missing is not equivalent to zero.</w:t>
      </w:r>
    </w:p>
    <w:p>
      <w:pPr>
        <w:pStyle w:val="ListNumber"/>
        <w:spacing w:after="80" w:line="264" w:lineRule="auto"/>
        <w:ind w:left="720" w:hanging="360"/>
      </w:pPr>
      <w:r>
        <w:rPr>
          <w:rFonts w:ascii="Calibri" w:hAnsi="Calibri" w:eastAsia="Microsoft YaHei"/>
          <w:b w:val="0"/>
          <w:i w:val="0"/>
          <w:color w:val="111111"/>
          <w:sz w:val="22"/>
        </w:rPr>
        <w:t>Retain original period, currency, availability timestamp, and revision lineage inside private storage.</w:t>
      </w:r>
    </w:p>
    <w:p>
      <w:pPr>
        <w:pStyle w:val="ListNumber"/>
        <w:spacing w:after="80" w:line="264" w:lineRule="auto"/>
        <w:ind w:left="720" w:hanging="360"/>
      </w:pPr>
      <w:r>
        <w:rPr>
          <w:rFonts w:ascii="Calibri" w:hAnsi="Calibri" w:eastAsia="Microsoft YaHei"/>
          <w:b w:val="0"/>
          <w:i w:val="0"/>
          <w:color w:val="111111"/>
          <w:sz w:val="22"/>
        </w:rPr>
        <w:t>Apply an as-of selection using available_at, never a join on period_end alone.</w:t>
      </w:r>
    </w:p>
    <w:p>
      <w:pPr>
        <w:pStyle w:val="ListNumber"/>
        <w:spacing w:after="80" w:line="264" w:lineRule="auto"/>
        <w:ind w:left="720" w:hanging="360"/>
      </w:pPr>
      <w:r>
        <w:rPr>
          <w:rFonts w:ascii="Calibri" w:hAnsi="Calibri" w:eastAsia="Microsoft YaHei"/>
          <w:b w:val="0"/>
          <w:i w:val="0"/>
          <w:color w:val="111111"/>
          <w:sz w:val="22"/>
        </w:rPr>
        <w:t>Expose only derived ratios and age indicators to the agent.</w:t>
      </w:r>
    </w:p>
    <w:p>
      <w:pPr>
        <w:pStyle w:val="ListNumber"/>
        <w:spacing w:after="80" w:line="264" w:lineRule="auto"/>
        <w:ind w:left="720" w:hanging="360"/>
      </w:pPr>
      <w:r>
        <w:rPr>
          <w:rFonts w:ascii="Calibri" w:hAnsi="Calibri" w:eastAsia="Microsoft YaHei"/>
          <w:b w:val="0"/>
          <w:i w:val="0"/>
          <w:color w:val="111111"/>
          <w:sz w:val="22"/>
        </w:rPr>
        <w:t>Mark a fundamental snapshot stale after 180 days without an update.</w:t>
      </w:r>
    </w:p>
    <w:p>
      <w:pPr>
        <w:keepNext w:val="0"/>
        <w:spacing w:before="40" w:after="140" w:line="240" w:lineRule="auto"/>
        <w:ind w:left="259" w:right="259"/>
        <w:shd w:fill="F6F8FA"/>
      </w:pPr>
      <w:r>
        <w:rPr>
          <w:rFonts w:ascii="DejaVu Sans Mono" w:hAnsi="DejaVu Sans Mono" w:eastAsia="Microsoft YaHei"/>
          <w:b w:val="0"/>
          <w:i w:val="0"/>
          <w:color w:val="263238"/>
          <w:sz w:val="17"/>
        </w:rPr>
        <w:t>visible = fundamentals[fundamentals.available_at &lt;= observation_cutoff]</w:t>
      </w:r>
      <w:r>
        <w:br/>
      </w:r>
      <w:r>
        <w:rPr>
          <w:rFonts w:ascii="DejaVu Sans Mono" w:hAnsi="DejaVu Sans Mono" w:eastAsia="Microsoft YaHei"/>
          <w:b w:val="0"/>
          <w:i w:val="0"/>
          <w:color w:val="263238"/>
          <w:sz w:val="17"/>
        </w:rPr>
        <w:t>latest = visible.sort_values('available_at').groupby('ticker').tail(1)</w:t>
      </w:r>
    </w:p>
    <w:p>
      <w:pPr/>
      <w:r>
        <w:rPr>
          <w:rFonts w:ascii="Calibri" w:hAnsi="Calibri" w:eastAsia="Microsoft YaHei"/>
          <w:b w:val="0"/>
          <w:i w:val="0"/>
          <w:color w:val="111111"/>
          <w:sz w:val="22"/>
        </w:rPr>
        <w:t>When a source lacks a trustworthy filing timestamp, the controlled baseline may use available_at = period_end + 45 calendar days and mark estimated_availability = true. This approximation is applied consistently and never represented as an actual filing time.</w:t>
      </w:r>
    </w:p>
    <w:p>
      <w:pPr>
        <w:pStyle w:val="Heading1"/>
      </w:pPr>
      <w:r>
        <w:rPr>
          <w:rFonts w:ascii="Calibri" w:hAnsi="Calibri" w:eastAsia="Microsoft YaHei"/>
          <w:b/>
          <w:i w:val="0"/>
          <w:color w:val="2E74B5"/>
          <w:sz w:val="32"/>
        </w:rPr>
        <w:t>6. Walk-Forward Step Protocol</w:t>
      </w:r>
    </w:p>
    <w:p>
      <w:pPr>
        <w:pStyle w:val="Heading2"/>
      </w:pPr>
      <w:r>
        <w:rPr>
          <w:rFonts w:ascii="Calibri" w:hAnsi="Calibri" w:eastAsia="Microsoft YaHei"/>
          <w:b/>
          <w:i w:val="0"/>
          <w:color w:val="2E74B5"/>
          <w:sz w:val="26"/>
        </w:rPr>
        <w:t>6.1 Daily Event Order</w:t>
      </w:r>
    </w:p>
    <w:p>
      <w:pPr>
        <w:pStyle w:val="ListNumber"/>
        <w:spacing w:after="80" w:line="264" w:lineRule="auto"/>
        <w:ind w:left="720" w:hanging="360"/>
      </w:pPr>
      <w:r>
        <w:rPr>
          <w:rFonts w:ascii="Calibri" w:hAnsi="Calibri" w:eastAsia="Microsoft YaHei"/>
          <w:b w:val="0"/>
          <w:i w:val="0"/>
          <w:color w:val="111111"/>
          <w:sz w:val="22"/>
        </w:rPr>
        <w:t>At open t, execute the target weights submitted after close t-1.</w:t>
      </w:r>
    </w:p>
    <w:p>
      <w:pPr>
        <w:pStyle w:val="ListNumber"/>
        <w:spacing w:after="80" w:line="264" w:lineRule="auto"/>
        <w:ind w:left="720" w:hanging="360"/>
      </w:pPr>
      <w:r>
        <w:rPr>
          <w:rFonts w:ascii="Calibri" w:hAnsi="Calibri" w:eastAsia="Microsoft YaHei"/>
          <w:b w:val="0"/>
          <w:i w:val="0"/>
          <w:color w:val="111111"/>
          <w:sz w:val="22"/>
        </w:rPr>
        <w:t>Validate and repair the action, sell before buying, and charge 0.1% on executed notional.</w:t>
      </w:r>
    </w:p>
    <w:p>
      <w:pPr>
        <w:pStyle w:val="ListNumber"/>
        <w:spacing w:after="80" w:line="264" w:lineRule="auto"/>
        <w:ind w:left="720" w:hanging="360"/>
      </w:pPr>
      <w:r>
        <w:rPr>
          <w:rFonts w:ascii="Calibri" w:hAnsi="Calibri" w:eastAsia="Microsoft YaHei"/>
          <w:b w:val="0"/>
          <w:i w:val="0"/>
          <w:color w:val="111111"/>
          <w:sz w:val="22"/>
        </w:rPr>
        <w:t>At close t, mark holdings to adjusted close and update cash, NAV, returns, and drawdown.</w:t>
      </w:r>
    </w:p>
    <w:p>
      <w:pPr>
        <w:pStyle w:val="ListNumber"/>
        <w:spacing w:after="80" w:line="264" w:lineRule="auto"/>
        <w:ind w:left="720" w:hanging="360"/>
      </w:pPr>
      <w:r>
        <w:rPr>
          <w:rFonts w:ascii="Calibri" w:hAnsi="Calibri" w:eastAsia="Microsoft YaHei"/>
          <w:b w:val="0"/>
          <w:i w:val="0"/>
          <w:color w:val="111111"/>
          <w:sz w:val="22"/>
        </w:rPr>
        <w:t>Build an agent-safe observation using close t as the information cutoff.</w:t>
      </w:r>
    </w:p>
    <w:p>
      <w:pPr>
        <w:pStyle w:val="ListNumber"/>
        <w:spacing w:after="80" w:line="264" w:lineRule="auto"/>
        <w:ind w:left="720" w:hanging="360"/>
      </w:pPr>
      <w:r>
        <w:rPr>
          <w:rFonts w:ascii="Calibri" w:hAnsi="Calibri" w:eastAsia="Microsoft YaHei"/>
          <w:b w:val="0"/>
          <w:i w:val="0"/>
          <w:color w:val="111111"/>
          <w:sz w:val="22"/>
        </w:rPr>
        <w:t>Call the agent and retain the sanitized target weights for open t+1.</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7FB"/>
          </w:tcPr>
          <w:p>
            <w:pPr>
              <w:keepNext w:val="0"/>
              <w:spacing w:before="40" w:after="40" w:line="264" w:lineRule="auto"/>
            </w:pPr>
            <w:r>
              <w:rPr>
                <w:rFonts w:ascii="Calibri" w:hAnsi="Calibri" w:eastAsia="Microsoft YaHei"/>
                <w:b/>
                <w:i w:val="0"/>
                <w:color w:val="17365D"/>
                <w:sz w:val="22"/>
              </w:rPr>
              <w:t>No-look-ahead rule：</w:t>
            </w:r>
            <w:r>
              <w:rPr>
                <w:rFonts w:ascii="Calibri" w:hAnsi="Calibri" w:eastAsia="Microsoft YaHei"/>
                <w:b w:val="0"/>
                <w:i w:val="0"/>
                <w:color w:val="111111"/>
                <w:sz w:val="22"/>
              </w:rPr>
              <w:t>An action generated from close t can only execute at open t+1. Executing the same action at close t would use a price that was not tradeable after the decision was made.</w:t>
            </w:r>
          </w:p>
        </w:tc>
      </w:tr>
    </w:tbl>
    <w:p>
      <w:pPr>
        <w:spacing w:after="0"/>
      </w:pPr>
    </w:p>
    <w:p>
      <w:pPr>
        <w:pStyle w:val="Heading2"/>
      </w:pPr>
      <w:r>
        <w:rPr>
          <w:rFonts w:ascii="Calibri" w:hAnsi="Calibri" w:eastAsia="Microsoft YaHei"/>
          <w:b/>
          <w:i w:val="0"/>
          <w:color w:val="2E74B5"/>
          <w:sz w:val="26"/>
        </w:rPr>
        <w:t>6.2 Agent-Safe Observation</w:t>
      </w:r>
    </w:p>
    <w:p>
      <w:pPr>
        <w:keepNext w:val="0"/>
        <w:spacing w:before="40" w:after="140" w:line="240" w:lineRule="auto"/>
        <w:ind w:left="259" w:right="259"/>
        <w:shd w:fill="F6F8FA"/>
      </w:pPr>
      <w:r>
        <w:rPr>
          <w:rFonts w:ascii="DejaVu Sans Mono" w:hAnsi="DejaVu Sans Mono" w:eastAsia="Microsoft YaHei"/>
          <w:b w:val="0"/>
          <w:i w:val="0"/>
          <w:color w:val="263238"/>
          <w:sz w:val="17"/>
        </w:rPr>
        <w:t>{</w:t>
      </w:r>
      <w:r>
        <w:br/>
      </w:r>
      <w:r>
        <w:rPr>
          <w:rFonts w:ascii="DejaVu Sans Mono" w:hAnsi="DejaVu Sans Mono" w:eastAsia="Microsoft YaHei"/>
          <w:b w:val="0"/>
          <w:i w:val="0"/>
          <w:color w:val="263238"/>
          <w:sz w:val="17"/>
        </w:rPr>
        <w:t xml:space="preserve">  "step_id": 81,</w:t>
      </w:r>
      <w:r>
        <w:br/>
      </w:r>
      <w:r>
        <w:rPr>
          <w:rFonts w:ascii="DejaVu Sans Mono" w:hAnsi="DejaVu Sans Mono" w:eastAsia="Microsoft YaHei"/>
          <w:b w:val="0"/>
          <w:i w:val="0"/>
          <w:color w:val="263238"/>
          <w:sz w:val="17"/>
        </w:rPr>
        <w:t xml:space="preserve">  "market_features": {</w:t>
      </w:r>
      <w:r>
        <w:br/>
      </w:r>
      <w:r>
        <w:rPr>
          <w:rFonts w:ascii="DejaVu Sans Mono" w:hAnsi="DejaVu Sans Mono" w:eastAsia="Microsoft YaHei"/>
          <w:b w:val="0"/>
          <w:i w:val="0"/>
          <w:color w:val="263238"/>
          <w:sz w:val="17"/>
        </w:rPr>
        <w:t xml:space="preserve">    "asset_8c31e4a7": {</w:t>
      </w:r>
      <w:r>
        <w:br/>
      </w:r>
      <w:r>
        <w:rPr>
          <w:rFonts w:ascii="DejaVu Sans Mono" w:hAnsi="DejaVu Sans Mono" w:eastAsia="Microsoft YaHei"/>
          <w:b w:val="0"/>
          <w:i w:val="0"/>
          <w:color w:val="263238"/>
          <w:sz w:val="17"/>
        </w:rPr>
        <w:t xml:space="preserve">      "relative_price": [0.98, 0.99, 1.01],</w:t>
      </w:r>
      <w:r>
        <w:br/>
      </w:r>
      <w:r>
        <w:rPr>
          <w:rFonts w:ascii="DejaVu Sans Mono" w:hAnsi="DejaVu Sans Mono" w:eastAsia="Microsoft YaHei"/>
          <w:b w:val="0"/>
          <w:i w:val="0"/>
          <w:color w:val="263238"/>
          <w:sz w:val="17"/>
        </w:rPr>
        <w:t xml:space="preserve">      "return_1d": [null, 0.0102, 0.0202],</w:t>
      </w:r>
      <w:r>
        <w:br/>
      </w:r>
      <w:r>
        <w:rPr>
          <w:rFonts w:ascii="DejaVu Sans Mono" w:hAnsi="DejaVu Sans Mono" w:eastAsia="Microsoft YaHei"/>
          <w:b w:val="0"/>
          <w:i w:val="0"/>
          <w:color w:val="263238"/>
          <w:sz w:val="17"/>
        </w:rPr>
        <w:t xml:space="preserve">      "volume_zscore_20": [null, 0.42, -0.31]</w:t>
      </w:r>
      <w:r>
        <w:br/>
      </w:r>
      <w:r>
        <w:rPr>
          <w:rFonts w:ascii="DejaVu Sans Mono" w:hAnsi="DejaVu Sans Mono" w:eastAsia="Microsoft YaHei"/>
          <w:b w:val="0"/>
          <w:i w:val="0"/>
          <w:color w:val="263238"/>
          <w:sz w:val="17"/>
        </w:rPr>
        <w:t xml:space="preserve">    }</w:t>
      </w:r>
      <w:r>
        <w:br/>
      </w:r>
      <w:r>
        <w:rPr>
          <w:rFonts w:ascii="DejaVu Sans Mono" w:hAnsi="DejaVu Sans Mono" w:eastAsia="Microsoft YaHei"/>
          <w:b w:val="0"/>
          <w:i w:val="0"/>
          <w:color w:val="263238"/>
          <w:sz w:val="17"/>
        </w:rPr>
        <w:t xml:space="preserve">  },</w:t>
      </w:r>
      <w:r>
        <w:br/>
      </w:r>
      <w:r>
        <w:rPr>
          <w:rFonts w:ascii="DejaVu Sans Mono" w:hAnsi="DejaVu Sans Mono" w:eastAsia="Microsoft YaHei"/>
          <w:b w:val="0"/>
          <w:i w:val="0"/>
          <w:color w:val="263238"/>
          <w:sz w:val="17"/>
        </w:rPr>
        <w:t xml:space="preserve">  "fundamental_features": {</w:t>
      </w:r>
      <w:r>
        <w:br/>
      </w:r>
      <w:r>
        <w:rPr>
          <w:rFonts w:ascii="DejaVu Sans Mono" w:hAnsi="DejaVu Sans Mono" w:eastAsia="Microsoft YaHei"/>
          <w:b w:val="0"/>
          <w:i w:val="0"/>
          <w:color w:val="263238"/>
          <w:sz w:val="17"/>
        </w:rPr>
        <w:t xml:space="preserve">    "asset_8c31e4a7": {</w:t>
      </w:r>
      <w:r>
        <w:br/>
      </w:r>
      <w:r>
        <w:rPr>
          <w:rFonts w:ascii="DejaVu Sans Mono" w:hAnsi="DejaVu Sans Mono" w:eastAsia="Microsoft YaHei"/>
          <w:b w:val="0"/>
          <w:i w:val="0"/>
          <w:color w:val="263238"/>
          <w:sz w:val="17"/>
        </w:rPr>
        <w:t xml:space="preserve">      "net_margin": 0.21,</w:t>
      </w:r>
      <w:r>
        <w:br/>
      </w:r>
      <w:r>
        <w:rPr>
          <w:rFonts w:ascii="DejaVu Sans Mono" w:hAnsi="DejaVu Sans Mono" w:eastAsia="Microsoft YaHei"/>
          <w:b w:val="0"/>
          <w:i w:val="0"/>
          <w:color w:val="263238"/>
          <w:sz w:val="17"/>
        </w:rPr>
        <w:t xml:space="preserve">      "fcf_margin": 0.18,</w:t>
      </w:r>
      <w:r>
        <w:br/>
      </w:r>
      <w:r>
        <w:rPr>
          <w:rFonts w:ascii="DejaVu Sans Mono" w:hAnsi="DejaVu Sans Mono" w:eastAsia="Microsoft YaHei"/>
          <w:b w:val="0"/>
          <w:i w:val="0"/>
          <w:color w:val="263238"/>
          <w:sz w:val="17"/>
        </w:rPr>
        <w:t xml:space="preserve">      "debt_to_assets": 0.28,</w:t>
      </w:r>
      <w:r>
        <w:br/>
      </w:r>
      <w:r>
        <w:rPr>
          <w:rFonts w:ascii="DejaVu Sans Mono" w:hAnsi="DejaVu Sans Mono" w:eastAsia="Microsoft YaHei"/>
          <w:b w:val="0"/>
          <w:i w:val="0"/>
          <w:color w:val="263238"/>
          <w:sz w:val="17"/>
        </w:rPr>
        <w:t xml:space="preserve">      "revenue_yoy": 0.07,</w:t>
      </w:r>
      <w:r>
        <w:br/>
      </w:r>
      <w:r>
        <w:rPr>
          <w:rFonts w:ascii="DejaVu Sans Mono" w:hAnsi="DejaVu Sans Mono" w:eastAsia="Microsoft YaHei"/>
          <w:b w:val="0"/>
          <w:i w:val="0"/>
          <w:color w:val="263238"/>
          <w:sz w:val="17"/>
        </w:rPr>
        <w:t xml:space="preserve">      "report_age_days": 34,</w:t>
      </w:r>
      <w:r>
        <w:br/>
      </w:r>
      <w:r>
        <w:rPr>
          <w:rFonts w:ascii="DejaVu Sans Mono" w:hAnsi="DejaVu Sans Mono" w:eastAsia="Microsoft YaHei"/>
          <w:b w:val="0"/>
          <w:i w:val="0"/>
          <w:color w:val="263238"/>
          <w:sz w:val="17"/>
        </w:rPr>
        <w:t xml:space="preserve">      "is_new_report": false</w:t>
      </w:r>
      <w:r>
        <w:br/>
      </w:r>
      <w:r>
        <w:rPr>
          <w:rFonts w:ascii="DejaVu Sans Mono" w:hAnsi="DejaVu Sans Mono" w:eastAsia="Microsoft YaHei"/>
          <w:b w:val="0"/>
          <w:i w:val="0"/>
          <w:color w:val="263238"/>
          <w:sz w:val="17"/>
        </w:rPr>
        <w:t xml:space="preserve">    }</w:t>
      </w:r>
      <w:r>
        <w:br/>
      </w:r>
      <w:r>
        <w:rPr>
          <w:rFonts w:ascii="DejaVu Sans Mono" w:hAnsi="DejaVu Sans Mono" w:eastAsia="Microsoft YaHei"/>
          <w:b w:val="0"/>
          <w:i w:val="0"/>
          <w:color w:val="263238"/>
          <w:sz w:val="17"/>
        </w:rPr>
        <w:t xml:space="preserve">  },</w:t>
      </w:r>
      <w:r>
        <w:br/>
      </w:r>
      <w:r>
        <w:rPr>
          <w:rFonts w:ascii="DejaVu Sans Mono" w:hAnsi="DejaVu Sans Mono" w:eastAsia="Microsoft YaHei"/>
          <w:b w:val="0"/>
          <w:i w:val="0"/>
          <w:color w:val="263238"/>
          <w:sz w:val="17"/>
        </w:rPr>
        <w:t xml:space="preserve">  "portfolio": {</w:t>
      </w:r>
      <w:r>
        <w:br/>
      </w:r>
      <w:r>
        <w:rPr>
          <w:rFonts w:ascii="DejaVu Sans Mono" w:hAnsi="DejaVu Sans Mono" w:eastAsia="Microsoft YaHei"/>
          <w:b w:val="0"/>
          <w:i w:val="0"/>
          <w:color w:val="263238"/>
          <w:sz w:val="17"/>
        </w:rPr>
        <w:t xml:space="preserve">    "weights": {"asset_8c31e4a7": 0.16},</w:t>
      </w:r>
      <w:r>
        <w:br/>
      </w:r>
      <w:r>
        <w:rPr>
          <w:rFonts w:ascii="DejaVu Sans Mono" w:hAnsi="DejaVu Sans Mono" w:eastAsia="Microsoft YaHei"/>
          <w:b w:val="0"/>
          <w:i w:val="0"/>
          <w:color w:val="263238"/>
          <w:sz w:val="17"/>
        </w:rPr>
        <w:t xml:space="preserve">    "cash_ratio": 0.35,</w:t>
      </w:r>
      <w:r>
        <w:br/>
      </w:r>
      <w:r>
        <w:rPr>
          <w:rFonts w:ascii="DejaVu Sans Mono" w:hAnsi="DejaVu Sans Mono" w:eastAsia="Microsoft YaHei"/>
          <w:b w:val="0"/>
          <w:i w:val="0"/>
          <w:color w:val="263238"/>
          <w:sz w:val="17"/>
        </w:rPr>
        <w:t xml:space="preserve">    "nav_ratio": 1.015,</w:t>
      </w:r>
      <w:r>
        <w:br/>
      </w:r>
      <w:r>
        <w:rPr>
          <w:rFonts w:ascii="DejaVu Sans Mono" w:hAnsi="DejaVu Sans Mono" w:eastAsia="Microsoft YaHei"/>
          <w:b w:val="0"/>
          <w:i w:val="0"/>
          <w:color w:val="263238"/>
          <w:sz w:val="17"/>
        </w:rPr>
        <w:t xml:space="preserve">    "drawdown": -0.012</w:t>
      </w:r>
      <w:r>
        <w:br/>
      </w:r>
      <w:r>
        <w:rPr>
          <w:rFonts w:ascii="DejaVu Sans Mono" w:hAnsi="DejaVu Sans Mono" w:eastAsia="Microsoft YaHei"/>
          <w:b w:val="0"/>
          <w:i w:val="0"/>
          <w:color w:val="263238"/>
          <w:sz w:val="17"/>
        </w:rPr>
        <w:t xml:space="preserve">  },</w:t>
      </w:r>
      <w:r>
        <w:br/>
      </w:r>
      <w:r>
        <w:rPr>
          <w:rFonts w:ascii="DejaVu Sans Mono" w:hAnsi="DejaVu Sans Mono" w:eastAsia="Microsoft YaHei"/>
          <w:b w:val="0"/>
          <w:i w:val="0"/>
          <w:color w:val="263238"/>
          <w:sz w:val="17"/>
        </w:rPr>
        <w:t xml:space="preserve">  "constraints": {</w:t>
      </w:r>
      <w:r>
        <w:br/>
      </w:r>
      <w:r>
        <w:rPr>
          <w:rFonts w:ascii="DejaVu Sans Mono" w:hAnsi="DejaVu Sans Mono" w:eastAsia="Microsoft YaHei"/>
          <w:b w:val="0"/>
          <w:i w:val="0"/>
          <w:color w:val="263238"/>
          <w:sz w:val="17"/>
        </w:rPr>
        <w:t xml:space="preserve">    "long_only": true,</w:t>
      </w:r>
      <w:r>
        <w:br/>
      </w:r>
      <w:r>
        <w:rPr>
          <w:rFonts w:ascii="DejaVu Sans Mono" w:hAnsi="DejaVu Sans Mono" w:eastAsia="Microsoft YaHei"/>
          <w:b w:val="0"/>
          <w:i w:val="0"/>
          <w:color w:val="263238"/>
          <w:sz w:val="17"/>
        </w:rPr>
        <w:t xml:space="preserve">    "max_asset_weight": 0.30,</w:t>
      </w:r>
      <w:r>
        <w:br/>
      </w:r>
      <w:r>
        <w:rPr>
          <w:rFonts w:ascii="DejaVu Sans Mono" w:hAnsi="DejaVu Sans Mono" w:eastAsia="Microsoft YaHei"/>
          <w:b w:val="0"/>
          <w:i w:val="0"/>
          <w:color w:val="263238"/>
          <w:sz w:val="17"/>
        </w:rPr>
        <w:t xml:space="preserve">    "max_gross_exposure": 1.00,</w:t>
      </w:r>
      <w:r>
        <w:br/>
      </w:r>
      <w:r>
        <w:rPr>
          <w:rFonts w:ascii="DejaVu Sans Mono" w:hAnsi="DejaVu Sans Mono" w:eastAsia="Microsoft YaHei"/>
          <w:b w:val="0"/>
          <w:i w:val="0"/>
          <w:color w:val="263238"/>
          <w:sz w:val="17"/>
        </w:rPr>
        <w:t xml:space="preserve">    "fee_rate": 0.001</w:t>
      </w:r>
      <w:r>
        <w:br/>
      </w:r>
      <w:r>
        <w:rPr>
          <w:rFonts w:ascii="DejaVu Sans Mono" w:hAnsi="DejaVu Sans Mono" w:eastAsia="Microsoft YaHei"/>
          <w:b w:val="0"/>
          <w:i w:val="0"/>
          <w:color w:val="263238"/>
          <w:sz w:val="17"/>
        </w:rPr>
        <w:t xml:space="preserve">  }</w:t>
      </w:r>
      <w:r>
        <w:br/>
      </w:r>
      <w:r>
        <w:rPr>
          <w:rFonts w:ascii="DejaVu Sans Mono" w:hAnsi="DejaVu Sans Mono" w:eastAsia="Microsoft YaHei"/>
          <w:b w:val="0"/>
          <w:i w:val="0"/>
          <w:color w:val="263238"/>
          <w:sz w:val="17"/>
        </w:rPr>
        <w:t>}</w:t>
      </w:r>
    </w:p>
    <w:p>
      <w:pPr>
        <w:pStyle w:val="Heading2"/>
      </w:pPr>
      <w:r>
        <w:rPr>
          <w:rFonts w:ascii="Calibri" w:hAnsi="Calibri" w:eastAsia="Microsoft YaHei"/>
          <w:b/>
          <w:i w:val="0"/>
          <w:color w:val="2E74B5"/>
          <w:sz w:val="26"/>
        </w:rPr>
        <w:t>6.3 Fundamental Release Timing</w:t>
      </w:r>
    </w:p>
    <w:p>
      <w:pPr/>
      <w:r>
        <w:rPr>
          <w:rFonts w:ascii="Calibri" w:hAnsi="Calibri" w:eastAsia="Microsoft YaHei"/>
          <w:b w:val="0"/>
          <w:i w:val="0"/>
          <w:color w:val="111111"/>
          <w:sz w:val="22"/>
        </w:rPr>
        <w:t>Suppose a report covers the quarter ending December 31 but becomes public on February 1. Observations through January 31 contain the preceding report. The first observation whose cutoff is at or after the February 1 availability timestamp replaces the snapshot and sets is_new_report = true. Later steps repeat the same ratios with is_new_report = false until another report becomes available.</w:t>
      </w:r>
    </w:p>
    <w:p>
      <w:pPr/>
      <w:r>
        <w:rPr>
          <w:rFonts w:ascii="Calibri" w:hAnsi="Calibri" w:eastAsia="Microsoft YaHei"/>
          <w:b w:val="0"/>
          <w:i w:val="0"/>
          <w:color w:val="111111"/>
          <w:sz w:val="22"/>
        </w:rPr>
        <w:t>If a report is released after the close cutoff, it is excluded from that step and appears at the first later cutoff. Repeating the latest safe snapshot makes agents stateless and recoverable without exposing raw release dates.</w:t>
      </w:r>
    </w:p>
    <w:p>
      <w:pPr>
        <w:pStyle w:val="Heading2"/>
      </w:pPr>
      <w:r>
        <w:rPr>
          <w:rFonts w:ascii="Calibri" w:hAnsi="Calibri" w:eastAsia="Microsoft YaHei"/>
          <w:b/>
          <w:i w:val="0"/>
          <w:color w:val="2E74B5"/>
          <w:sz w:val="26"/>
        </w:rPr>
        <w:t>6.4 Agent Action</w:t>
      </w:r>
    </w:p>
    <w:p>
      <w:pPr>
        <w:keepNext w:val="0"/>
        <w:spacing w:before="40" w:after="140" w:line="240" w:lineRule="auto"/>
        <w:ind w:left="259" w:right="259"/>
        <w:shd w:fill="F6F8FA"/>
      </w:pPr>
      <w:r>
        <w:rPr>
          <w:rFonts w:ascii="DejaVu Sans Mono" w:hAnsi="DejaVu Sans Mono" w:eastAsia="Microsoft YaHei"/>
          <w:b w:val="0"/>
          <w:i w:val="0"/>
          <w:color w:val="263238"/>
          <w:sz w:val="17"/>
        </w:rPr>
        <w:t>{</w:t>
      </w:r>
      <w:r>
        <w:br/>
      </w:r>
      <w:r>
        <w:rPr>
          <w:rFonts w:ascii="DejaVu Sans Mono" w:hAnsi="DejaVu Sans Mono" w:eastAsia="Microsoft YaHei"/>
          <w:b w:val="0"/>
          <w:i w:val="0"/>
          <w:color w:val="263238"/>
          <w:sz w:val="17"/>
        </w:rPr>
        <w:t xml:space="preserve">  "target_weights": {</w:t>
      </w:r>
      <w:r>
        <w:br/>
      </w:r>
      <w:r>
        <w:rPr>
          <w:rFonts w:ascii="DejaVu Sans Mono" w:hAnsi="DejaVu Sans Mono" w:eastAsia="Microsoft YaHei"/>
          <w:b w:val="0"/>
          <w:i w:val="0"/>
          <w:color w:val="263238"/>
          <w:sz w:val="17"/>
        </w:rPr>
        <w:t xml:space="preserve">    "asset_8c31e4a7": 0.18,</w:t>
      </w:r>
      <w:r>
        <w:br/>
      </w:r>
      <w:r>
        <w:rPr>
          <w:rFonts w:ascii="DejaVu Sans Mono" w:hAnsi="DejaVu Sans Mono" w:eastAsia="Microsoft YaHei"/>
          <w:b w:val="0"/>
          <w:i w:val="0"/>
          <w:color w:val="263238"/>
          <w:sz w:val="17"/>
        </w:rPr>
        <w:t xml:space="preserve">    "asset_d4a52f10": 0.20,</w:t>
      </w:r>
      <w:r>
        <w:br/>
      </w:r>
      <w:r>
        <w:rPr>
          <w:rFonts w:ascii="DejaVu Sans Mono" w:hAnsi="DejaVu Sans Mono" w:eastAsia="Microsoft YaHei"/>
          <w:b w:val="0"/>
          <w:i w:val="0"/>
          <w:color w:val="263238"/>
          <w:sz w:val="17"/>
        </w:rPr>
        <w:t xml:space="preserve">    "asset_f17713c2": 0.12</w:t>
      </w:r>
      <w:r>
        <w:br/>
      </w:r>
      <w:r>
        <w:rPr>
          <w:rFonts w:ascii="DejaVu Sans Mono" w:hAnsi="DejaVu Sans Mono" w:eastAsia="Microsoft YaHei"/>
          <w:b w:val="0"/>
          <w:i w:val="0"/>
          <w:color w:val="263238"/>
          <w:sz w:val="17"/>
        </w:rPr>
        <w:t xml:space="preserve">  },</w:t>
      </w:r>
      <w:r>
        <w:br/>
      </w:r>
      <w:r>
        <w:rPr>
          <w:rFonts w:ascii="DejaVu Sans Mono" w:hAnsi="DejaVu Sans Mono" w:eastAsia="Microsoft YaHei"/>
          <w:b w:val="0"/>
          <w:i w:val="0"/>
          <w:color w:val="263238"/>
          <w:sz w:val="17"/>
        </w:rPr>
        <w:t xml:space="preserve">  "metadata": {</w:t>
      </w:r>
      <w:r>
        <w:br/>
      </w:r>
      <w:r>
        <w:rPr>
          <w:rFonts w:ascii="DejaVu Sans Mono" w:hAnsi="DejaVu Sans Mono" w:eastAsia="Microsoft YaHei"/>
          <w:b w:val="0"/>
          <w:i w:val="0"/>
          <w:color w:val="263238"/>
          <w:sz w:val="17"/>
        </w:rPr>
        <w:t xml:space="preserve">    "agent": "hybrid_rule_v1",</w:t>
      </w:r>
      <w:r>
        <w:br/>
      </w:r>
      <w:r>
        <w:rPr>
          <w:rFonts w:ascii="DejaVu Sans Mono" w:hAnsi="DejaVu Sans Mono" w:eastAsia="Microsoft YaHei"/>
          <w:b w:val="0"/>
          <w:i w:val="0"/>
          <w:color w:val="263238"/>
          <w:sz w:val="17"/>
        </w:rPr>
        <w:t xml:space="preserve">    "rebalance": true</w:t>
      </w:r>
      <w:r>
        <w:br/>
      </w:r>
      <w:r>
        <w:rPr>
          <w:rFonts w:ascii="DejaVu Sans Mono" w:hAnsi="DejaVu Sans Mono" w:eastAsia="Microsoft YaHei"/>
          <w:b w:val="0"/>
          <w:i w:val="0"/>
          <w:color w:val="263238"/>
          <w:sz w:val="17"/>
        </w:rPr>
        <w:t xml:space="preserve">  }</w:t>
      </w:r>
      <w:r>
        <w:br/>
      </w:r>
      <w:r>
        <w:rPr>
          <w:rFonts w:ascii="DejaVu Sans Mono" w:hAnsi="DejaVu Sans Mono" w:eastAsia="Microsoft YaHei"/>
          <w:b w:val="0"/>
          <w:i w:val="0"/>
          <w:color w:val="263238"/>
          <w:sz w:val="17"/>
        </w:rPr>
        <w:t>}</w:t>
      </w:r>
    </w:p>
    <w:p>
      <w:pPr/>
      <w:r>
        <w:rPr>
          <w:rFonts w:ascii="Calibri" w:hAnsi="Calibri" w:eastAsia="Microsoft YaHei"/>
          <w:b w:val="0"/>
          <w:i w:val="0"/>
          <w:color w:val="111111"/>
          <w:sz w:val="22"/>
        </w:rPr>
        <w:t>Cash is implicit: cash_weight = 1 - sum(target_weights). The evaluator ignores free-form explanations for execution and accepts only schema-valid target weights.</w:t>
      </w:r>
    </w:p>
    <w:p>
      <w:pPr>
        <w:pStyle w:val="Heading1"/>
      </w:pPr>
      <w:r>
        <w:rPr>
          <w:rFonts w:ascii="Calibri" w:hAnsi="Calibri" w:eastAsia="Microsoft YaHei"/>
          <w:b/>
          <w:i w:val="0"/>
          <w:color w:val="2E74B5"/>
          <w:sz w:val="32"/>
        </w:rPr>
        <w:t>7. Risk, Execution, and Accounting</w:t>
      </w:r>
    </w:p>
    <w:p>
      <w:pPr>
        <w:pStyle w:val="Heading2"/>
      </w:pPr>
      <w:r>
        <w:rPr>
          <w:rFonts w:ascii="Calibri" w:hAnsi="Calibri" w:eastAsia="Microsoft YaHei"/>
          <w:b/>
          <w:i w:val="0"/>
          <w:color w:val="2E74B5"/>
          <w:sz w:val="26"/>
        </w:rPr>
        <w:t>7.1 Action Sanitization</w:t>
      </w:r>
    </w:p>
    <w:tbl>
      <w:tblPr>
        <w:tblStyle w:val="TableGrid"/>
        <w:tblW w:type="dxa" w:w="9360"/>
        <w:jc w:val="left"/>
        <w:tblLayout w:type="fixed"/>
        <w:tblLook w:firstColumn="1" w:firstRow="1" w:lastColumn="0" w:lastRow="0" w:noHBand="0" w:noVBand="1" w:val="04A0"/>
        <w:tblInd w:w="120" w:type="dxa"/>
      </w:tblPr>
      <w:tblGrid>
        <w:gridCol w:w="2600"/>
        <w:gridCol w:w="3000"/>
        <w:gridCol w:w="3760"/>
      </w:tblGrid>
      <w:tr>
        <w:trPr>
          <w:tblHeader w:val="true"/>
        </w:trPr>
        <w:tc>
          <w:tcPr>
            <w:tcW w:type="dxa" w:w="26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8"/>
              </w:rPr>
              <w:t>Condition</w:t>
            </w:r>
          </w:p>
        </w:tc>
        <w:tc>
          <w:tcPr>
            <w:tcW w:type="dxa" w:w="30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8"/>
              </w:rPr>
              <w:t>Repair</w:t>
            </w:r>
          </w:p>
        </w:tc>
        <w:tc>
          <w:tcPr>
            <w:tcW w:type="dxa" w:w="376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8"/>
              </w:rPr>
              <w:t>Recorded violation</w:t>
            </w:r>
          </w:p>
        </w:tc>
      </w:tr>
      <w:tr>
        <w:tc>
          <w:tcPr>
            <w:tcW w:type="dxa" w:w="2600"/>
          </w:tcPr>
          <w:p>
            <w:pPr>
              <w:keepNext w:val="0"/>
              <w:spacing w:before="0" w:after="0" w:line="240" w:lineRule="auto"/>
              <w:jc w:val="left"/>
            </w:pPr>
            <w:r>
              <w:rPr>
                <w:rFonts w:ascii="Calibri" w:hAnsi="Calibri" w:eastAsia="Microsoft YaHei"/>
                <w:b w:val="0"/>
                <w:i w:val="0"/>
                <w:color w:val="111111"/>
                <w:sz w:val="18"/>
              </w:rPr>
              <w:t>Unknown asset ID</w:t>
            </w:r>
          </w:p>
        </w:tc>
        <w:tc>
          <w:tcPr>
            <w:tcW w:type="dxa" w:w="3000"/>
          </w:tcPr>
          <w:p>
            <w:pPr>
              <w:keepNext w:val="0"/>
              <w:spacing w:before="0" w:after="0" w:line="240" w:lineRule="auto"/>
              <w:jc w:val="left"/>
            </w:pPr>
            <w:r>
              <w:rPr>
                <w:rFonts w:ascii="Calibri" w:hAnsi="Calibri" w:eastAsia="Microsoft YaHei"/>
                <w:b w:val="0"/>
                <w:i w:val="0"/>
                <w:color w:val="111111"/>
                <w:sz w:val="18"/>
              </w:rPr>
              <w:t>Remove entry</w:t>
            </w:r>
          </w:p>
        </w:tc>
        <w:tc>
          <w:tcPr>
            <w:tcW w:type="dxa" w:w="3760"/>
          </w:tcPr>
          <w:p>
            <w:pPr>
              <w:keepNext w:val="0"/>
              <w:spacing w:before="0" w:after="0" w:line="240" w:lineRule="auto"/>
              <w:jc w:val="left"/>
            </w:pPr>
            <w:r>
              <w:rPr>
                <w:rFonts w:ascii="Calibri" w:hAnsi="Calibri" w:eastAsia="Microsoft YaHei"/>
                <w:b w:val="0"/>
                <w:i w:val="0"/>
                <w:color w:val="111111"/>
                <w:sz w:val="18"/>
              </w:rPr>
              <w:t>unknown_asset</w:t>
            </w:r>
          </w:p>
        </w:tc>
      </w:tr>
      <w:tr>
        <w:tc>
          <w:tcPr>
            <w:tcW w:type="dxa" w:w="2600"/>
          </w:tcPr>
          <w:p>
            <w:pPr>
              <w:keepNext w:val="0"/>
              <w:spacing w:before="0" w:after="0" w:line="240" w:lineRule="auto"/>
              <w:jc w:val="left"/>
            </w:pPr>
            <w:r>
              <w:rPr>
                <w:rFonts w:ascii="Calibri" w:hAnsi="Calibri" w:eastAsia="Microsoft YaHei"/>
                <w:b w:val="0"/>
                <w:i w:val="0"/>
                <w:color w:val="111111"/>
                <w:sz w:val="18"/>
              </w:rPr>
              <w:t>NaN, infinity, or non-numeric value</w:t>
            </w:r>
          </w:p>
        </w:tc>
        <w:tc>
          <w:tcPr>
            <w:tcW w:type="dxa" w:w="3000"/>
          </w:tcPr>
          <w:p>
            <w:pPr>
              <w:keepNext w:val="0"/>
              <w:spacing w:before="0" w:after="0" w:line="240" w:lineRule="auto"/>
              <w:jc w:val="left"/>
            </w:pPr>
            <w:r>
              <w:rPr>
                <w:rFonts w:ascii="Calibri" w:hAnsi="Calibri" w:eastAsia="Microsoft YaHei"/>
                <w:b w:val="0"/>
                <w:i w:val="0"/>
                <w:color w:val="111111"/>
                <w:sz w:val="18"/>
              </w:rPr>
              <w:t>Set weight to zero</w:t>
            </w:r>
          </w:p>
        </w:tc>
        <w:tc>
          <w:tcPr>
            <w:tcW w:type="dxa" w:w="3760"/>
          </w:tcPr>
          <w:p>
            <w:pPr>
              <w:keepNext w:val="0"/>
              <w:spacing w:before="0" w:after="0" w:line="240" w:lineRule="auto"/>
              <w:jc w:val="left"/>
            </w:pPr>
            <w:r>
              <w:rPr>
                <w:rFonts w:ascii="Calibri" w:hAnsi="Calibri" w:eastAsia="Microsoft YaHei"/>
                <w:b w:val="0"/>
                <w:i w:val="0"/>
                <w:color w:val="111111"/>
                <w:sz w:val="18"/>
              </w:rPr>
              <w:t>invalid_number</w:t>
            </w:r>
          </w:p>
        </w:tc>
      </w:tr>
      <w:tr>
        <w:tc>
          <w:tcPr>
            <w:tcW w:type="dxa" w:w="2600"/>
          </w:tcPr>
          <w:p>
            <w:pPr>
              <w:keepNext w:val="0"/>
              <w:spacing w:before="0" w:after="0" w:line="240" w:lineRule="auto"/>
              <w:jc w:val="left"/>
            </w:pPr>
            <w:r>
              <w:rPr>
                <w:rFonts w:ascii="Calibri" w:hAnsi="Calibri" w:eastAsia="Microsoft YaHei"/>
                <w:b w:val="0"/>
                <w:i w:val="0"/>
                <w:color w:val="111111"/>
                <w:sz w:val="18"/>
              </w:rPr>
              <w:t>Negative weight</w:t>
            </w:r>
          </w:p>
        </w:tc>
        <w:tc>
          <w:tcPr>
            <w:tcW w:type="dxa" w:w="3000"/>
          </w:tcPr>
          <w:p>
            <w:pPr>
              <w:keepNext w:val="0"/>
              <w:spacing w:before="0" w:after="0" w:line="240" w:lineRule="auto"/>
              <w:jc w:val="left"/>
            </w:pPr>
            <w:r>
              <w:rPr>
                <w:rFonts w:ascii="Calibri" w:hAnsi="Calibri" w:eastAsia="Microsoft YaHei"/>
                <w:b w:val="0"/>
                <w:i w:val="0"/>
                <w:color w:val="111111"/>
                <w:sz w:val="18"/>
              </w:rPr>
              <w:t>Clip to zero</w:t>
            </w:r>
          </w:p>
        </w:tc>
        <w:tc>
          <w:tcPr>
            <w:tcW w:type="dxa" w:w="3760"/>
          </w:tcPr>
          <w:p>
            <w:pPr>
              <w:keepNext w:val="0"/>
              <w:spacing w:before="0" w:after="0" w:line="240" w:lineRule="auto"/>
              <w:jc w:val="left"/>
            </w:pPr>
            <w:r>
              <w:rPr>
                <w:rFonts w:ascii="Calibri" w:hAnsi="Calibri" w:eastAsia="Microsoft YaHei"/>
                <w:b w:val="0"/>
                <w:i w:val="0"/>
                <w:color w:val="111111"/>
                <w:sz w:val="18"/>
              </w:rPr>
              <w:t>short_position</w:t>
            </w:r>
          </w:p>
        </w:tc>
      </w:tr>
      <w:tr>
        <w:tc>
          <w:tcPr>
            <w:tcW w:type="dxa" w:w="2600"/>
          </w:tcPr>
          <w:p>
            <w:pPr>
              <w:keepNext w:val="0"/>
              <w:spacing w:before="0" w:after="0" w:line="240" w:lineRule="auto"/>
              <w:jc w:val="left"/>
            </w:pPr>
            <w:r>
              <w:rPr>
                <w:rFonts w:ascii="Calibri" w:hAnsi="Calibri" w:eastAsia="Microsoft YaHei"/>
                <w:b w:val="0"/>
                <w:i w:val="0"/>
                <w:color w:val="111111"/>
                <w:sz w:val="18"/>
              </w:rPr>
              <w:t>Weight above 0.30</w:t>
            </w:r>
          </w:p>
        </w:tc>
        <w:tc>
          <w:tcPr>
            <w:tcW w:type="dxa" w:w="3000"/>
          </w:tcPr>
          <w:p>
            <w:pPr>
              <w:keepNext w:val="0"/>
              <w:spacing w:before="0" w:after="0" w:line="240" w:lineRule="auto"/>
              <w:jc w:val="left"/>
            </w:pPr>
            <w:r>
              <w:rPr>
                <w:rFonts w:ascii="Calibri" w:hAnsi="Calibri" w:eastAsia="Microsoft YaHei"/>
                <w:b w:val="0"/>
                <w:i w:val="0"/>
                <w:color w:val="111111"/>
                <w:sz w:val="18"/>
              </w:rPr>
              <w:t>Clip to 0.30</w:t>
            </w:r>
          </w:p>
        </w:tc>
        <w:tc>
          <w:tcPr>
            <w:tcW w:type="dxa" w:w="3760"/>
          </w:tcPr>
          <w:p>
            <w:pPr>
              <w:keepNext w:val="0"/>
              <w:spacing w:before="0" w:after="0" w:line="240" w:lineRule="auto"/>
              <w:jc w:val="left"/>
            </w:pPr>
            <w:r>
              <w:rPr>
                <w:rFonts w:ascii="Calibri" w:hAnsi="Calibri" w:eastAsia="Microsoft YaHei"/>
                <w:b w:val="0"/>
                <w:i w:val="0"/>
                <w:color w:val="111111"/>
                <w:sz w:val="18"/>
              </w:rPr>
              <w:t>asset_cap</w:t>
            </w:r>
          </w:p>
        </w:tc>
      </w:tr>
      <w:tr>
        <w:tc>
          <w:tcPr>
            <w:tcW w:type="dxa" w:w="2600"/>
          </w:tcPr>
          <w:p>
            <w:pPr>
              <w:keepNext w:val="0"/>
              <w:spacing w:before="0" w:after="0" w:line="240" w:lineRule="auto"/>
              <w:jc w:val="left"/>
            </w:pPr>
            <w:r>
              <w:rPr>
                <w:rFonts w:ascii="Calibri" w:hAnsi="Calibri" w:eastAsia="Microsoft YaHei"/>
                <w:b w:val="0"/>
                <w:i w:val="0"/>
                <w:color w:val="111111"/>
                <w:sz w:val="18"/>
              </w:rPr>
              <w:t>Weight sum above 1.00</w:t>
            </w:r>
          </w:p>
        </w:tc>
        <w:tc>
          <w:tcPr>
            <w:tcW w:type="dxa" w:w="3000"/>
          </w:tcPr>
          <w:p>
            <w:pPr>
              <w:keepNext w:val="0"/>
              <w:spacing w:before="0" w:after="0" w:line="240" w:lineRule="auto"/>
              <w:jc w:val="left"/>
            </w:pPr>
            <w:r>
              <w:rPr>
                <w:rFonts w:ascii="Calibri" w:hAnsi="Calibri" w:eastAsia="Microsoft YaHei"/>
                <w:b w:val="0"/>
                <w:i w:val="0"/>
                <w:color w:val="111111"/>
                <w:sz w:val="18"/>
              </w:rPr>
              <w:t>Scale all weights proportionally</w:t>
            </w:r>
          </w:p>
        </w:tc>
        <w:tc>
          <w:tcPr>
            <w:tcW w:type="dxa" w:w="3760"/>
          </w:tcPr>
          <w:p>
            <w:pPr>
              <w:keepNext w:val="0"/>
              <w:spacing w:before="0" w:after="0" w:line="240" w:lineRule="auto"/>
              <w:jc w:val="left"/>
            </w:pPr>
            <w:r>
              <w:rPr>
                <w:rFonts w:ascii="Calibri" w:hAnsi="Calibri" w:eastAsia="Microsoft YaHei"/>
                <w:b w:val="0"/>
                <w:i w:val="0"/>
                <w:color w:val="111111"/>
                <w:sz w:val="18"/>
              </w:rPr>
              <w:t>gross_exposure</w:t>
            </w:r>
          </w:p>
        </w:tc>
      </w:tr>
      <w:tr>
        <w:tc>
          <w:tcPr>
            <w:tcW w:type="dxa" w:w="2600"/>
          </w:tcPr>
          <w:p>
            <w:pPr>
              <w:keepNext w:val="0"/>
              <w:spacing w:before="0" w:after="0" w:line="240" w:lineRule="auto"/>
              <w:jc w:val="left"/>
            </w:pPr>
            <w:r>
              <w:rPr>
                <w:rFonts w:ascii="Calibri" w:hAnsi="Calibri" w:eastAsia="Microsoft YaHei"/>
                <w:b w:val="0"/>
                <w:i w:val="0"/>
                <w:color w:val="111111"/>
                <w:sz w:val="18"/>
              </w:rPr>
              <w:t>Agent error or missing action</w:t>
            </w:r>
          </w:p>
        </w:tc>
        <w:tc>
          <w:tcPr>
            <w:tcW w:type="dxa" w:w="3000"/>
          </w:tcPr>
          <w:p>
            <w:pPr>
              <w:keepNext w:val="0"/>
              <w:spacing w:before="0" w:after="0" w:line="240" w:lineRule="auto"/>
              <w:jc w:val="left"/>
            </w:pPr>
            <w:r>
              <w:rPr>
                <w:rFonts w:ascii="Calibri" w:hAnsi="Calibri" w:eastAsia="Microsoft YaHei"/>
                <w:b w:val="0"/>
                <w:i w:val="0"/>
                <w:color w:val="111111"/>
                <w:sz w:val="18"/>
              </w:rPr>
              <w:t>Retain previous target</w:t>
            </w:r>
          </w:p>
        </w:tc>
        <w:tc>
          <w:tcPr>
            <w:tcW w:type="dxa" w:w="3760"/>
          </w:tcPr>
          <w:p>
            <w:pPr>
              <w:keepNext w:val="0"/>
              <w:spacing w:before="0" w:after="0" w:line="240" w:lineRule="auto"/>
              <w:jc w:val="left"/>
            </w:pPr>
            <w:r>
              <w:rPr>
                <w:rFonts w:ascii="Calibri" w:hAnsi="Calibri" w:eastAsia="Microsoft YaHei"/>
                <w:b w:val="0"/>
                <w:i w:val="0"/>
                <w:color w:val="111111"/>
                <w:sz w:val="18"/>
              </w:rPr>
              <w:t>invalid_action</w:t>
            </w:r>
          </w:p>
        </w:tc>
      </w:tr>
    </w:tbl>
    <w:p>
      <w:pPr>
        <w:spacing w:after="0"/>
      </w:pPr>
    </w:p>
    <w:p>
      <w:pPr/>
      <w:r>
        <w:rPr>
          <w:rFonts w:ascii="Calibri" w:hAnsi="Calibri" w:eastAsia="Microsoft YaHei"/>
          <w:b w:val="0"/>
          <w:i w:val="0"/>
          <w:color w:val="111111"/>
          <w:sz w:val="22"/>
        </w:rPr>
        <w:t>Both raw_action and sanitized_action are retained by the evaluator. Repair allows the episode to continue, while the original error still contributes to violation_rate. Silent clipping without a violation record is prohibited.</w:t>
      </w:r>
    </w:p>
    <w:p>
      <w:pPr>
        <w:pStyle w:val="Heading2"/>
      </w:pPr>
      <w:r>
        <w:rPr>
          <w:rFonts w:ascii="Calibri" w:hAnsi="Calibri" w:eastAsia="Microsoft YaHei"/>
          <w:b/>
          <w:i w:val="0"/>
          <w:color w:val="2E74B5"/>
          <w:sz w:val="26"/>
        </w:rPr>
        <w:t>7.2 Open Execution and Close Valuation</w:t>
      </w:r>
    </w:p>
    <w:p>
      <w:pPr>
        <w:keepNext w:val="0"/>
        <w:spacing w:before="40" w:after="140" w:line="240" w:lineRule="auto"/>
        <w:ind w:left="259" w:right="259"/>
        <w:shd w:fill="F6F8FA"/>
      </w:pPr>
      <w:r>
        <w:rPr>
          <w:rFonts w:ascii="DejaVu Sans Mono" w:hAnsi="DejaVu Sans Mono" w:eastAsia="Microsoft YaHei"/>
          <w:b w:val="0"/>
          <w:i w:val="0"/>
          <w:color w:val="263238"/>
          <w:sz w:val="17"/>
        </w:rPr>
        <w:t>NAV_open(t) = cash(t-) + sum_i shares_i(t-) * open_i(t)</w:t>
      </w:r>
      <w:r>
        <w:br/>
      </w:r>
      <w:r>
        <w:rPr>
          <w:rFonts w:ascii="DejaVu Sans Mono" w:hAnsi="DejaVu Sans Mono" w:eastAsia="Microsoft YaHei"/>
          <w:b w:val="0"/>
          <w:i w:val="0"/>
          <w:color w:val="263238"/>
          <w:sz w:val="17"/>
        </w:rPr>
        <w:t>target_value_i = target_weight_i * NAV_open(t)</w:t>
      </w:r>
      <w:r>
        <w:br/>
      </w:r>
      <w:r>
        <w:rPr>
          <w:rFonts w:ascii="DejaVu Sans Mono" w:hAnsi="DejaVu Sans Mono" w:eastAsia="Microsoft YaHei"/>
          <w:b w:val="0"/>
          <w:i w:val="0"/>
          <w:color w:val="263238"/>
          <w:sz w:val="17"/>
        </w:rPr>
        <w:t>target_shares_i = target_value_i / open_i(t)</w:t>
      </w:r>
      <w:r>
        <w:br/>
      </w:r>
      <w:r>
        <w:rPr>
          <w:rFonts w:ascii="DejaVu Sans Mono" w:hAnsi="DejaVu Sans Mono" w:eastAsia="Microsoft YaHei"/>
          <w:b w:val="0"/>
          <w:i w:val="0"/>
          <w:color w:val="263238"/>
          <w:sz w:val="17"/>
        </w:rPr>
        <w:t>trade_value_i = abs(target_shares_i - old_shares_i) * open_i(t)</w:t>
      </w:r>
      <w:r>
        <w:br/>
      </w:r>
      <w:r>
        <w:rPr>
          <w:rFonts w:ascii="DejaVu Sans Mono" w:hAnsi="DejaVu Sans Mono" w:eastAsia="Microsoft YaHei"/>
          <w:b w:val="0"/>
          <w:i w:val="0"/>
          <w:color w:val="263238"/>
          <w:sz w:val="17"/>
        </w:rPr>
        <w:t>fee_i = trade_value_i * 0.001</w:t>
      </w:r>
      <w:r>
        <w:br/>
      </w:r>
      <w:r>
        <w:rPr>
          <w:rFonts w:ascii="DejaVu Sans Mono" w:hAnsi="DejaVu Sans Mono" w:eastAsia="Microsoft YaHei"/>
          <w:b w:val="0"/>
          <w:i w:val="0"/>
          <w:color w:val="263238"/>
          <w:sz w:val="17"/>
        </w:rPr>
        <w:t>NAV_close(t) = cash(t) + sum_i shares_i(t) * close_i(t)</w:t>
      </w:r>
    </w:p>
    <w:p>
      <w:pPr/>
      <w:r>
        <w:rPr>
          <w:rFonts w:ascii="Calibri" w:hAnsi="Calibri" w:eastAsia="Microsoft YaHei"/>
          <w:b w:val="0"/>
          <w:i w:val="0"/>
          <w:color w:val="111111"/>
          <w:sz w:val="22"/>
        </w:rPr>
        <w:t>Sells execute before buys. If fees make the intended purchases unaffordable, all buy orders are scaled by a common factor so cash does not fall below numerical tolerance. The evaluator stores fills rather than assuming that requested targets were reached exactly.</w:t>
      </w:r>
    </w:p>
    <w:p>
      <w:pPr>
        <w:pStyle w:val="Heading1"/>
      </w:pPr>
      <w:r>
        <w:rPr>
          <w:rFonts w:ascii="Calibri" w:hAnsi="Calibri" w:eastAsia="Microsoft YaHei"/>
          <w:b/>
          <w:i w:val="0"/>
          <w:color w:val="2E74B5"/>
          <w:sz w:val="32"/>
        </w:rPr>
        <w:t>8. Baseline Agents</w:t>
      </w:r>
    </w:p>
    <w:tbl>
      <w:tblPr>
        <w:tblStyle w:val="TableGrid"/>
        <w:tblW w:type="dxa" w:w="9360"/>
        <w:jc w:val="left"/>
        <w:tblLayout w:type="fixed"/>
        <w:tblLook w:firstColumn="1" w:firstRow="1" w:lastColumn="0" w:lastRow="0" w:noHBand="0" w:noVBand="1" w:val="04A0"/>
        <w:tblInd w:w="120" w:type="dxa"/>
      </w:tblPr>
      <w:tblGrid>
        <w:gridCol w:w="2200"/>
        <w:gridCol w:w="3200"/>
        <w:gridCol w:w="1900"/>
        <w:gridCol w:w="2060"/>
      </w:tblGrid>
      <w:tr>
        <w:trPr>
          <w:tblHeader w:val="true"/>
        </w:trPr>
        <w:tc>
          <w:tcPr>
            <w:tcW w:type="dxa" w:w="22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7"/>
              </w:rPr>
              <w:t>Agent</w:t>
            </w:r>
          </w:p>
        </w:tc>
        <w:tc>
          <w:tcPr>
            <w:tcW w:type="dxa" w:w="32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7"/>
              </w:rPr>
              <w:t>Decision mechanism</w:t>
            </w:r>
          </w:p>
        </w:tc>
        <w:tc>
          <w:tcPr>
            <w:tcW w:type="dxa" w:w="19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7"/>
              </w:rPr>
              <w:t>Training</w:t>
            </w:r>
          </w:p>
        </w:tc>
        <w:tc>
          <w:tcPr>
            <w:tcW w:type="dxa" w:w="206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7"/>
              </w:rPr>
              <w:t>Role</w:t>
            </w:r>
          </w:p>
        </w:tc>
      </w:tr>
      <w:tr>
        <w:tc>
          <w:tcPr>
            <w:tcW w:type="dxa" w:w="2200"/>
          </w:tcPr>
          <w:p>
            <w:pPr>
              <w:keepNext w:val="0"/>
              <w:spacing w:before="0" w:after="0" w:line="240" w:lineRule="auto"/>
              <w:jc w:val="left"/>
            </w:pPr>
            <w:r>
              <w:rPr>
                <w:rFonts w:ascii="Calibri" w:hAnsi="Calibri" w:eastAsia="Microsoft YaHei"/>
                <w:b w:val="0"/>
                <w:i w:val="0"/>
                <w:color w:val="111111"/>
                <w:sz w:val="17"/>
              </w:rPr>
              <w:t>HybridRuleAgent</w:t>
            </w:r>
          </w:p>
        </w:tc>
        <w:tc>
          <w:tcPr>
            <w:tcW w:type="dxa" w:w="3200"/>
          </w:tcPr>
          <w:p>
            <w:pPr>
              <w:keepNext w:val="0"/>
              <w:spacing w:before="0" w:after="0" w:line="240" w:lineRule="auto"/>
              <w:jc w:val="left"/>
            </w:pPr>
            <w:r>
              <w:rPr>
                <w:rFonts w:ascii="Calibri" w:hAnsi="Calibri" w:eastAsia="Microsoft YaHei"/>
                <w:b w:val="0"/>
                <w:i w:val="0"/>
                <w:color w:val="111111"/>
                <w:sz w:val="17"/>
              </w:rPr>
              <w:t>Explicit technical and fundamental score</w:t>
            </w:r>
          </w:p>
        </w:tc>
        <w:tc>
          <w:tcPr>
            <w:tcW w:type="dxa" w:w="1900"/>
          </w:tcPr>
          <w:p>
            <w:pPr>
              <w:keepNext w:val="0"/>
              <w:spacing w:before="0" w:after="0" w:line="240" w:lineRule="auto"/>
              <w:jc w:val="left"/>
            </w:pPr>
            <w:r>
              <w:rPr>
                <w:rFonts w:ascii="Calibri" w:hAnsi="Calibri" w:eastAsia="Microsoft YaHei"/>
                <w:b w:val="0"/>
                <w:i w:val="0"/>
                <w:color w:val="111111"/>
                <w:sz w:val="17"/>
              </w:rPr>
              <w:t>None</w:t>
            </w:r>
          </w:p>
        </w:tc>
        <w:tc>
          <w:tcPr>
            <w:tcW w:type="dxa" w:w="2060"/>
          </w:tcPr>
          <w:p>
            <w:pPr>
              <w:keepNext w:val="0"/>
              <w:spacing w:before="0" w:after="0" w:line="240" w:lineRule="auto"/>
              <w:jc w:val="left"/>
            </w:pPr>
            <w:r>
              <w:rPr>
                <w:rFonts w:ascii="Calibri" w:hAnsi="Calibri" w:eastAsia="Microsoft YaHei"/>
                <w:b w:val="0"/>
                <w:i w:val="0"/>
                <w:color w:val="111111"/>
                <w:sz w:val="17"/>
              </w:rPr>
              <w:t>Deterministic and interpretable baseline</w:t>
            </w:r>
          </w:p>
        </w:tc>
      </w:tr>
      <w:tr>
        <w:tc>
          <w:tcPr>
            <w:tcW w:type="dxa" w:w="2200"/>
          </w:tcPr>
          <w:p>
            <w:pPr>
              <w:keepNext w:val="0"/>
              <w:spacing w:before="0" w:after="0" w:line="240" w:lineRule="auto"/>
              <w:jc w:val="left"/>
            </w:pPr>
            <w:r>
              <w:rPr>
                <w:rFonts w:ascii="Calibri" w:hAnsi="Calibri" w:eastAsia="Microsoft YaHei"/>
                <w:b w:val="0"/>
                <w:i w:val="0"/>
                <w:color w:val="111111"/>
                <w:sz w:val="17"/>
              </w:rPr>
              <w:t>PPOPortfolioAgent</w:t>
            </w:r>
          </w:p>
        </w:tc>
        <w:tc>
          <w:tcPr>
            <w:tcW w:type="dxa" w:w="3200"/>
          </w:tcPr>
          <w:p>
            <w:pPr>
              <w:keepNext w:val="0"/>
              <w:spacing w:before="0" w:after="0" w:line="240" w:lineRule="auto"/>
              <w:jc w:val="left"/>
            </w:pPr>
            <w:r>
              <w:rPr>
                <w:rFonts w:ascii="Calibri" w:hAnsi="Calibri" w:eastAsia="Microsoft YaHei"/>
                <w:b w:val="0"/>
                <w:i w:val="0"/>
                <w:color w:val="111111"/>
                <w:sz w:val="17"/>
              </w:rPr>
              <w:t>Shared asset encoder and PPO policy</w:t>
            </w:r>
          </w:p>
        </w:tc>
        <w:tc>
          <w:tcPr>
            <w:tcW w:type="dxa" w:w="1900"/>
          </w:tcPr>
          <w:p>
            <w:pPr>
              <w:keepNext w:val="0"/>
              <w:spacing w:before="0" w:after="0" w:line="240" w:lineRule="auto"/>
              <w:jc w:val="left"/>
            </w:pPr>
            <w:r>
              <w:rPr>
                <w:rFonts w:ascii="Calibri" w:hAnsi="Calibri" w:eastAsia="Microsoft YaHei"/>
                <w:b w:val="0"/>
                <w:i w:val="0"/>
                <w:color w:val="111111"/>
                <w:sz w:val="17"/>
              </w:rPr>
              <w:t>Public history only</w:t>
            </w:r>
          </w:p>
        </w:tc>
        <w:tc>
          <w:tcPr>
            <w:tcW w:type="dxa" w:w="2060"/>
          </w:tcPr>
          <w:p>
            <w:pPr>
              <w:keepNext w:val="0"/>
              <w:spacing w:before="0" w:after="0" w:line="240" w:lineRule="auto"/>
              <w:jc w:val="left"/>
            </w:pPr>
            <w:r>
              <w:rPr>
                <w:rFonts w:ascii="Calibri" w:hAnsi="Calibri" w:eastAsia="Microsoft YaHei"/>
                <w:b w:val="0"/>
                <w:i w:val="0"/>
                <w:color w:val="111111"/>
                <w:sz w:val="17"/>
              </w:rPr>
              <w:t>Learned cross-asset allocation</w:t>
            </w:r>
          </w:p>
        </w:tc>
      </w:tr>
      <w:tr>
        <w:tc>
          <w:tcPr>
            <w:tcW w:type="dxa" w:w="2200"/>
          </w:tcPr>
          <w:p>
            <w:pPr>
              <w:keepNext w:val="0"/>
              <w:spacing w:before="0" w:after="0" w:line="240" w:lineRule="auto"/>
              <w:jc w:val="left"/>
            </w:pPr>
            <w:r>
              <w:rPr>
                <w:rFonts w:ascii="Calibri" w:hAnsi="Calibri" w:eastAsia="Microsoft YaHei"/>
                <w:b w:val="0"/>
                <w:i w:val="0"/>
                <w:color w:val="111111"/>
                <w:sz w:val="17"/>
              </w:rPr>
              <w:t>LLMAllocationAgent</w:t>
            </w:r>
          </w:p>
        </w:tc>
        <w:tc>
          <w:tcPr>
            <w:tcW w:type="dxa" w:w="3200"/>
          </w:tcPr>
          <w:p>
            <w:pPr>
              <w:keepNext w:val="0"/>
              <w:spacing w:before="0" w:after="0" w:line="240" w:lineRule="auto"/>
              <w:jc w:val="left"/>
            </w:pPr>
            <w:r>
              <w:rPr>
                <w:rFonts w:ascii="Calibri" w:hAnsi="Calibri" w:eastAsia="Microsoft YaHei"/>
                <w:b w:val="0"/>
                <w:i w:val="0"/>
                <w:color w:val="111111"/>
                <w:sz w:val="17"/>
              </w:rPr>
              <w:t>Structured summary and local LLM</w:t>
            </w:r>
          </w:p>
        </w:tc>
        <w:tc>
          <w:tcPr>
            <w:tcW w:type="dxa" w:w="1900"/>
          </w:tcPr>
          <w:p>
            <w:pPr>
              <w:keepNext w:val="0"/>
              <w:spacing w:before="0" w:after="0" w:line="240" w:lineRule="auto"/>
              <w:jc w:val="left"/>
            </w:pPr>
            <w:r>
              <w:rPr>
                <w:rFonts w:ascii="Calibri" w:hAnsi="Calibri" w:eastAsia="Microsoft YaHei"/>
                <w:b w:val="0"/>
                <w:i w:val="0"/>
                <w:color w:val="111111"/>
                <w:sz w:val="17"/>
              </w:rPr>
              <w:t>No private-data tuning</w:t>
            </w:r>
          </w:p>
        </w:tc>
        <w:tc>
          <w:tcPr>
            <w:tcW w:type="dxa" w:w="2060"/>
          </w:tcPr>
          <w:p>
            <w:pPr>
              <w:keepNext w:val="0"/>
              <w:spacing w:before="0" w:after="0" w:line="240" w:lineRule="auto"/>
              <w:jc w:val="left"/>
            </w:pPr>
            <w:r>
              <w:rPr>
                <w:rFonts w:ascii="Calibri" w:hAnsi="Calibri" w:eastAsia="Microsoft YaHei"/>
                <w:b w:val="0"/>
                <w:i w:val="0"/>
                <w:color w:val="111111"/>
                <w:sz w:val="17"/>
              </w:rPr>
              <w:t>Constrained reasoning baseline</w:t>
            </w:r>
          </w:p>
        </w:tc>
      </w:tr>
    </w:tbl>
    <w:p>
      <w:pPr>
        <w:spacing w:after="0"/>
      </w:pPr>
    </w:p>
    <w:p>
      <w:pPr>
        <w:pStyle w:val="Heading2"/>
      </w:pPr>
      <w:r>
        <w:rPr>
          <w:rFonts w:ascii="Calibri" w:hAnsi="Calibri" w:eastAsia="Microsoft YaHei"/>
          <w:b/>
          <w:i w:val="0"/>
          <w:color w:val="2E74B5"/>
          <w:sz w:val="26"/>
        </w:rPr>
        <w:t>8.1 HybridRuleAgent</w:t>
      </w:r>
    </w:p>
    <w:p>
      <w:pPr>
        <w:keepNext w:val="0"/>
        <w:spacing w:before="40" w:after="140" w:line="240" w:lineRule="auto"/>
        <w:ind w:left="259" w:right="259"/>
        <w:shd w:fill="F6F8FA"/>
      </w:pPr>
      <w:r>
        <w:rPr>
          <w:rFonts w:ascii="DejaVu Sans Mono" w:hAnsi="DejaVu Sans Mono" w:eastAsia="Microsoft YaHei"/>
          <w:b w:val="0"/>
          <w:i w:val="0"/>
          <w:color w:val="263238"/>
          <w:sz w:val="17"/>
        </w:rPr>
        <w:t>technical_i = [0.6 * momentum20_i + 0.4 * momentum60_i] / max(vol20_i, eps)</w:t>
      </w:r>
      <w:r>
        <w:br/>
      </w:r>
      <w:r>
        <w:rPr>
          <w:rFonts w:ascii="DejaVu Sans Mono" w:hAnsi="DejaVu Sans Mono" w:eastAsia="Microsoft YaHei"/>
          <w:b w:val="0"/>
          <w:i w:val="0"/>
          <w:color w:val="263238"/>
          <w:sz w:val="17"/>
        </w:rPr>
        <w:t>fundamental_i = 0.25*z(revenue_yoy_i) + 0.25*z(fcf_margin_i)</w:t>
      </w:r>
      <w:r>
        <w:br/>
      </w:r>
      <w:r>
        <w:rPr>
          <w:rFonts w:ascii="DejaVu Sans Mono" w:hAnsi="DejaVu Sans Mono" w:eastAsia="Microsoft YaHei"/>
          <w:b w:val="0"/>
          <w:i w:val="0"/>
          <w:color w:val="263238"/>
          <w:sz w:val="17"/>
        </w:rPr>
        <w:t xml:space="preserve">              + 0.20*z(net_margin_i) + 0.15*z(roe_i)</w:t>
      </w:r>
      <w:r>
        <w:br/>
      </w:r>
      <w:r>
        <w:rPr>
          <w:rFonts w:ascii="DejaVu Sans Mono" w:hAnsi="DejaVu Sans Mono" w:eastAsia="Microsoft YaHei"/>
          <w:b w:val="0"/>
          <w:i w:val="0"/>
          <w:color w:val="263238"/>
          <w:sz w:val="17"/>
        </w:rPr>
        <w:t xml:space="preserve">              - 0.15*z(debt_to_assets_i)</w:t>
      </w:r>
      <w:r>
        <w:br/>
      </w:r>
      <w:r>
        <w:rPr>
          <w:rFonts w:ascii="DejaVu Sans Mono" w:hAnsi="DejaVu Sans Mono" w:eastAsia="Microsoft YaHei"/>
          <w:b w:val="0"/>
          <w:i w:val="0"/>
          <w:color w:val="263238"/>
          <w:sz w:val="17"/>
        </w:rPr>
        <w:t>final_score_i = 0.70*z(technical_i) + 0.30*z(fundamental_i)</w:t>
      </w:r>
    </w:p>
    <w:p>
      <w:pPr/>
      <w:r>
        <w:rPr>
          <w:rFonts w:ascii="Calibri" w:hAnsi="Calibri" w:eastAsia="Microsoft YaHei"/>
          <w:b w:val="0"/>
          <w:i w:val="0"/>
          <w:color w:val="111111"/>
          <w:sz w:val="22"/>
        </w:rPr>
        <w:t>Every five trading days, the agent keeps assets with a positive final score and a price above the 50-day moving average, selects at most eight, and assigns weights proportional to score divided by volatility. Weights are projected to the long-only capped simplex. If no asset qualifies, the portfolio remains in cash.</w:t>
      </w:r>
    </w:p>
    <w:p>
      <w:pPr>
        <w:pStyle w:val="Heading2"/>
      </w:pPr>
      <w:r>
        <w:rPr>
          <w:rFonts w:ascii="Calibri" w:hAnsi="Calibri" w:eastAsia="Microsoft YaHei"/>
          <w:b/>
          <w:i w:val="0"/>
          <w:color w:val="2E74B5"/>
          <w:sz w:val="26"/>
        </w:rPr>
        <w:t>8.2 PPOPortfolioAgent</w:t>
      </w:r>
    </w:p>
    <w:p>
      <w:pPr/>
      <w:r>
        <w:rPr>
          <w:rFonts w:ascii="Calibri" w:hAnsi="Calibri" w:eastAsia="Microsoft YaHei"/>
          <w:b w:val="0"/>
          <w:i w:val="0"/>
          <w:color w:val="111111"/>
          <w:sz w:val="22"/>
        </w:rPr>
        <w:t>Each anonymous asset is processed by the same MLP encoder using market, liquidity, fundamental, freshness, and current-weight features. Self-attention models cross-asset relationships. A policy head produces one logit per asset plus a cash logit; softmax and cap projection convert logits to valid target weights. Shared parameters make the policy independent of ticker names and asset ordering.</w:t>
      </w:r>
    </w:p>
    <w:p>
      <w:pPr>
        <w:keepNext w:val="0"/>
        <w:spacing w:before="40" w:after="140" w:line="240" w:lineRule="auto"/>
        <w:ind w:left="259" w:right="259"/>
        <w:shd w:fill="F6F8FA"/>
      </w:pPr>
      <w:r>
        <w:rPr>
          <w:rFonts w:ascii="DejaVu Sans Mono" w:hAnsi="DejaVu Sans Mono" w:eastAsia="Microsoft YaHei"/>
          <w:b w:val="0"/>
          <w:i w:val="0"/>
          <w:color w:val="263238"/>
          <w:sz w:val="17"/>
        </w:rPr>
        <w:t>features[N,F] -&gt; shared MLP -&gt; embeddings[N,D]</w:t>
      </w:r>
      <w:r>
        <w:br/>
      </w:r>
      <w:r>
        <w:rPr>
          <w:rFonts w:ascii="DejaVu Sans Mono" w:hAnsi="DejaVu Sans Mono" w:eastAsia="Microsoft YaHei"/>
          <w:b w:val="0"/>
          <w:i w:val="0"/>
          <w:color w:val="263238"/>
          <w:sz w:val="17"/>
        </w:rPr>
        <w:t>embeddings -&gt; self-attention -&gt; asset logits[N]</w:t>
      </w:r>
      <w:r>
        <w:br/>
      </w:r>
      <w:r>
        <w:rPr>
          <w:rFonts w:ascii="DejaVu Sans Mono" w:hAnsi="DejaVu Sans Mono" w:eastAsia="Microsoft YaHei"/>
          <w:b w:val="0"/>
          <w:i w:val="0"/>
          <w:color w:val="263238"/>
          <w:sz w:val="17"/>
        </w:rPr>
        <w:t>concat(asset logits, cash logit) -&gt; softmax -&gt; cap projection</w:t>
      </w:r>
    </w:p>
    <w:p>
      <w:pPr/>
      <w:r>
        <w:rPr>
          <w:rFonts w:ascii="Calibri" w:hAnsi="Calibri" w:eastAsia="Microsoft YaHei"/>
          <w:b w:val="0"/>
          <w:i w:val="0"/>
          <w:color w:val="111111"/>
          <w:sz w:val="22"/>
        </w:rPr>
        <w:t>Training uses PPO on randomly sampled public episodes. Transaction fees already reduce NAV. The reward is daily log return with small drawdown and violation penalties. Model weights, feature definitions, normalization rules, and random seeds are frozen before private evaluation. No gradient update, replay, or online fine-tuning is permitted during evaluation.</w:t>
      </w:r>
    </w:p>
    <w:p>
      <w:pPr>
        <w:keepNext w:val="0"/>
        <w:spacing w:before="40" w:after="140" w:line="240" w:lineRule="auto"/>
        <w:ind w:left="259" w:right="259"/>
        <w:shd w:fill="F6F8FA"/>
      </w:pPr>
      <w:r>
        <w:rPr>
          <w:rFonts w:ascii="DejaVu Sans Mono" w:hAnsi="DejaVu Sans Mono" w:eastAsia="Microsoft YaHei"/>
          <w:b w:val="0"/>
          <w:i w:val="0"/>
          <w:color w:val="263238"/>
          <w:sz w:val="17"/>
        </w:rPr>
        <w:t>reward_t = log(NAV_t / NAV_(t-1))</w:t>
      </w:r>
      <w:r>
        <w:br/>
      </w:r>
      <w:r>
        <w:rPr>
          <w:rFonts w:ascii="DejaVu Sans Mono" w:hAnsi="DejaVu Sans Mono" w:eastAsia="Microsoft YaHei"/>
          <w:b w:val="0"/>
          <w:i w:val="0"/>
          <w:color w:val="263238"/>
          <w:sz w:val="17"/>
        </w:rPr>
        <w:t xml:space="preserve">           - lambda_dd * max(0, drawdown_magnitude_t - 0.10)</w:t>
      </w:r>
      <w:r>
        <w:br/>
      </w:r>
      <w:r>
        <w:rPr>
          <w:rFonts w:ascii="DejaVu Sans Mono" w:hAnsi="DejaVu Sans Mono" w:eastAsia="Microsoft YaHei"/>
          <w:b w:val="0"/>
          <w:i w:val="0"/>
          <w:color w:val="263238"/>
          <w:sz w:val="17"/>
        </w:rPr>
        <w:t xml:space="preserve">           - lambda_v * violation_indicator_t</w:t>
      </w:r>
    </w:p>
    <w:p>
      <w:pPr>
        <w:pStyle w:val="Heading2"/>
      </w:pPr>
      <w:r>
        <w:rPr>
          <w:rFonts w:ascii="Calibri" w:hAnsi="Calibri" w:eastAsia="Microsoft YaHei"/>
          <w:b/>
          <w:i w:val="0"/>
          <w:color w:val="2E74B5"/>
          <w:sz w:val="26"/>
        </w:rPr>
        <w:t>8.3 LLMAllocationAgent</w:t>
      </w:r>
    </w:p>
    <w:p>
      <w:pPr/>
      <w:r>
        <w:rPr>
          <w:rFonts w:ascii="Calibri" w:hAnsi="Calibri" w:eastAsia="Microsoft YaHei"/>
          <w:b w:val="0"/>
          <w:i w:val="0"/>
          <w:color w:val="111111"/>
          <w:sz w:val="22"/>
        </w:rPr>
        <w:t>A deterministic summarizer converts the agent-safe observation into one compact row per asset: momentum, trend, volatility, liquidity, profitability, growth, leverage, report age, current weight, and candidate rank. The LLM receives no raw 60-by-30 table, ticker, date, price, or financial amount. It is called every five trading days with temperature zero and must return schema-valid JSON.</w:t>
      </w:r>
    </w:p>
    <w:p>
      <w:pPr>
        <w:keepNext w:val="0"/>
        <w:spacing w:before="40" w:after="140" w:line="240" w:lineRule="auto"/>
        <w:ind w:left="259" w:right="259"/>
        <w:shd w:fill="F6F8FA"/>
      </w:pPr>
      <w:r>
        <w:rPr>
          <w:rFonts w:ascii="DejaVu Sans Mono" w:hAnsi="DejaVu Sans Mono" w:eastAsia="Microsoft YaHei"/>
          <w:b w:val="0"/>
          <w:i w:val="0"/>
          <w:color w:val="263238"/>
          <w:sz w:val="17"/>
        </w:rPr>
        <w:t>SYSTEM: Allocate a long-only portfolio using only the supplied snapshot.</w:t>
      </w:r>
      <w:r>
        <w:br/>
      </w:r>
      <w:r>
        <w:rPr>
          <w:rFonts w:ascii="DejaVu Sans Mono" w:hAnsi="DejaVu Sans Mono" w:eastAsia="Microsoft YaHei"/>
          <w:b w:val="0"/>
          <w:i w:val="0"/>
          <w:color w:val="263238"/>
          <w:sz w:val="17"/>
        </w:rPr>
        <w:t>CONSTRAINTS: max 0.30 per asset; total weights &lt;= 1.00; no shorting.</w:t>
      </w:r>
      <w:r>
        <w:br/>
      </w:r>
      <w:r>
        <w:rPr>
          <w:rFonts w:ascii="DejaVu Sans Mono" w:hAnsi="DejaVu Sans Mono" w:eastAsia="Microsoft YaHei"/>
          <w:b w:val="0"/>
          <w:i w:val="0"/>
          <w:color w:val="263238"/>
          <w:sz w:val="17"/>
        </w:rPr>
        <w:t>OBJECTIVE: balance return, drawdown, and transaction cost.</w:t>
      </w:r>
      <w:r>
        <w:br/>
      </w:r>
      <w:r>
        <w:rPr>
          <w:rFonts w:ascii="DejaVu Sans Mono" w:hAnsi="DejaVu Sans Mono" w:eastAsia="Microsoft YaHei"/>
          <w:b w:val="0"/>
          <w:i w:val="0"/>
          <w:color w:val="263238"/>
          <w:sz w:val="17"/>
        </w:rPr>
        <w:t>OUTPUT: JSON target_weights keyed only by anonymous asset_id.</w:t>
      </w:r>
    </w:p>
    <w:p>
      <w:pPr/>
      <w:r>
        <w:rPr>
          <w:rFonts w:ascii="Calibri" w:hAnsi="Calibri" w:eastAsia="Microsoft YaHei"/>
          <w:b w:val="0"/>
          <w:i w:val="0"/>
          <w:color w:val="111111"/>
          <w:sz w:val="22"/>
        </w:rPr>
        <w:t>Strict confidentiality requires local inference inside the isolated evaluator. A hosted external API is not compatible with this design because prompt contents and model responses leave the controlled environment. Natural-language rationale may be stored only after an additional redaction pass and never affects execution.</w:t>
      </w:r>
    </w:p>
    <w:p>
      <w:pPr>
        <w:pStyle w:val="Heading1"/>
      </w:pPr>
      <w:r>
        <w:rPr>
          <w:rFonts w:ascii="Calibri" w:hAnsi="Calibri" w:eastAsia="Microsoft YaHei"/>
          <w:b/>
          <w:i w:val="0"/>
          <w:color w:val="2E74B5"/>
          <w:sz w:val="32"/>
        </w:rPr>
        <w:t>9. Evaluation Metrics</w:t>
      </w:r>
    </w:p>
    <w:tbl>
      <w:tblPr>
        <w:tblStyle w:val="TableGrid"/>
        <w:tblW w:type="dxa" w:w="9360"/>
        <w:jc w:val="left"/>
        <w:tblLayout w:type="fixed"/>
        <w:tblLook w:firstColumn="1" w:firstRow="1" w:lastColumn="0" w:lastRow="0" w:noHBand="0" w:noVBand="1" w:val="04A0"/>
        <w:tblInd w:w="120" w:type="dxa"/>
      </w:tblPr>
      <w:tblGrid>
        <w:gridCol w:w="1900"/>
        <w:gridCol w:w="5500"/>
        <w:gridCol w:w="1960"/>
      </w:tblGrid>
      <w:tr>
        <w:trPr>
          <w:tblHeader w:val="true"/>
        </w:trPr>
        <w:tc>
          <w:tcPr>
            <w:tcW w:type="dxa" w:w="19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6"/>
              </w:rPr>
              <w:t>Metric</w:t>
            </w:r>
          </w:p>
        </w:tc>
        <w:tc>
          <w:tcPr>
            <w:tcW w:type="dxa" w:w="55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6"/>
              </w:rPr>
              <w:t>Definition</w:t>
            </w:r>
          </w:p>
        </w:tc>
        <w:tc>
          <w:tcPr>
            <w:tcW w:type="dxa" w:w="196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6"/>
              </w:rPr>
              <w:t>Direction</w:t>
            </w:r>
          </w:p>
        </w:tc>
      </w:tr>
      <w:tr>
        <w:tc>
          <w:tcPr>
            <w:tcW w:type="dxa" w:w="1900"/>
          </w:tcPr>
          <w:p>
            <w:pPr>
              <w:keepNext w:val="0"/>
              <w:spacing w:before="0" w:after="0" w:line="240" w:lineRule="auto"/>
              <w:jc w:val="left"/>
            </w:pPr>
            <w:r>
              <w:rPr>
                <w:rFonts w:ascii="Calibri" w:hAnsi="Calibri" w:eastAsia="Microsoft YaHei"/>
                <w:b w:val="0"/>
                <w:i w:val="0"/>
                <w:color w:val="111111"/>
                <w:sz w:val="16"/>
              </w:rPr>
              <w:t>Total return</w:t>
            </w:r>
          </w:p>
        </w:tc>
        <w:tc>
          <w:tcPr>
            <w:tcW w:type="dxa" w:w="5500"/>
          </w:tcPr>
          <w:p>
            <w:pPr>
              <w:keepNext w:val="0"/>
              <w:spacing w:before="0" w:after="0" w:line="240" w:lineRule="auto"/>
              <w:jc w:val="left"/>
            </w:pPr>
            <w:r>
              <w:rPr>
                <w:rFonts w:ascii="Calibri" w:hAnsi="Calibri" w:eastAsia="Microsoft YaHei"/>
                <w:b w:val="0"/>
                <w:i w:val="0"/>
                <w:color w:val="111111"/>
                <w:sz w:val="16"/>
              </w:rPr>
              <w:t>NAV_T / NAV_0 - 1</w:t>
            </w:r>
          </w:p>
        </w:tc>
        <w:tc>
          <w:tcPr>
            <w:tcW w:type="dxa" w:w="1960"/>
          </w:tcPr>
          <w:p>
            <w:pPr>
              <w:keepNext w:val="0"/>
              <w:spacing w:before="0" w:after="0" w:line="240" w:lineRule="auto"/>
              <w:jc w:val="left"/>
            </w:pPr>
            <w:r>
              <w:rPr>
                <w:rFonts w:ascii="Calibri" w:hAnsi="Calibri" w:eastAsia="Microsoft YaHei"/>
                <w:b w:val="0"/>
                <w:i w:val="0"/>
                <w:color w:val="111111"/>
                <w:sz w:val="16"/>
              </w:rPr>
              <w:t>Higher</w:t>
            </w:r>
          </w:p>
        </w:tc>
      </w:tr>
      <w:tr>
        <w:tc>
          <w:tcPr>
            <w:tcW w:type="dxa" w:w="1900"/>
          </w:tcPr>
          <w:p>
            <w:pPr>
              <w:keepNext w:val="0"/>
              <w:spacing w:before="0" w:after="0" w:line="240" w:lineRule="auto"/>
              <w:jc w:val="left"/>
            </w:pPr>
            <w:r>
              <w:rPr>
                <w:rFonts w:ascii="Calibri" w:hAnsi="Calibri" w:eastAsia="Microsoft YaHei"/>
                <w:b w:val="0"/>
                <w:i w:val="0"/>
                <w:color w:val="111111"/>
                <w:sz w:val="16"/>
              </w:rPr>
              <w:t>Annualized return</w:t>
            </w:r>
          </w:p>
        </w:tc>
        <w:tc>
          <w:tcPr>
            <w:tcW w:type="dxa" w:w="5500"/>
          </w:tcPr>
          <w:p>
            <w:pPr>
              <w:keepNext w:val="0"/>
              <w:spacing w:before="0" w:after="0" w:line="240" w:lineRule="auto"/>
              <w:jc w:val="left"/>
            </w:pPr>
            <w:r>
              <w:rPr>
                <w:rFonts w:ascii="Calibri" w:hAnsi="Calibri" w:eastAsia="Microsoft YaHei"/>
                <w:b w:val="0"/>
                <w:i w:val="0"/>
                <w:color w:val="111111"/>
                <w:sz w:val="16"/>
              </w:rPr>
              <w:t>(NAV_T / NAV_0)^(252/N) - 1</w:t>
            </w:r>
          </w:p>
        </w:tc>
        <w:tc>
          <w:tcPr>
            <w:tcW w:type="dxa" w:w="1960"/>
          </w:tcPr>
          <w:p>
            <w:pPr>
              <w:keepNext w:val="0"/>
              <w:spacing w:before="0" w:after="0" w:line="240" w:lineRule="auto"/>
              <w:jc w:val="left"/>
            </w:pPr>
            <w:r>
              <w:rPr>
                <w:rFonts w:ascii="Calibri" w:hAnsi="Calibri" w:eastAsia="Microsoft YaHei"/>
                <w:b w:val="0"/>
                <w:i w:val="0"/>
                <w:color w:val="111111"/>
                <w:sz w:val="16"/>
              </w:rPr>
              <w:t>Higher</w:t>
            </w:r>
          </w:p>
        </w:tc>
      </w:tr>
      <w:tr>
        <w:tc>
          <w:tcPr>
            <w:tcW w:type="dxa" w:w="1900"/>
          </w:tcPr>
          <w:p>
            <w:pPr>
              <w:keepNext w:val="0"/>
              <w:spacing w:before="0" w:after="0" w:line="240" w:lineRule="auto"/>
              <w:jc w:val="left"/>
            </w:pPr>
            <w:r>
              <w:rPr>
                <w:rFonts w:ascii="Calibri" w:hAnsi="Calibri" w:eastAsia="Microsoft YaHei"/>
                <w:b w:val="0"/>
                <w:i w:val="0"/>
                <w:color w:val="111111"/>
                <w:sz w:val="16"/>
              </w:rPr>
              <w:t>Annualized volatility</w:t>
            </w:r>
          </w:p>
        </w:tc>
        <w:tc>
          <w:tcPr>
            <w:tcW w:type="dxa" w:w="5500"/>
          </w:tcPr>
          <w:p>
            <w:pPr>
              <w:keepNext w:val="0"/>
              <w:spacing w:before="0" w:after="0" w:line="240" w:lineRule="auto"/>
              <w:jc w:val="left"/>
            </w:pPr>
            <w:r>
              <w:rPr>
                <w:rFonts w:ascii="Calibri" w:hAnsi="Calibri" w:eastAsia="Microsoft YaHei"/>
                <w:b w:val="0"/>
                <w:i w:val="0"/>
                <w:color w:val="111111"/>
                <w:sz w:val="16"/>
              </w:rPr>
              <w:t>sqrt(252) * std(r_t)</w:t>
            </w:r>
          </w:p>
        </w:tc>
        <w:tc>
          <w:tcPr>
            <w:tcW w:type="dxa" w:w="1960"/>
          </w:tcPr>
          <w:p>
            <w:pPr>
              <w:keepNext w:val="0"/>
              <w:spacing w:before="0" w:after="0" w:line="240" w:lineRule="auto"/>
              <w:jc w:val="left"/>
            </w:pPr>
            <w:r>
              <w:rPr>
                <w:rFonts w:ascii="Calibri" w:hAnsi="Calibri" w:eastAsia="Microsoft YaHei"/>
                <w:b w:val="0"/>
                <w:i w:val="0"/>
                <w:color w:val="111111"/>
                <w:sz w:val="16"/>
              </w:rPr>
              <w:t>Lower for equal return</w:t>
            </w:r>
          </w:p>
        </w:tc>
      </w:tr>
      <w:tr>
        <w:tc>
          <w:tcPr>
            <w:tcW w:type="dxa" w:w="1900"/>
          </w:tcPr>
          <w:p>
            <w:pPr>
              <w:keepNext w:val="0"/>
              <w:spacing w:before="0" w:after="0" w:line="240" w:lineRule="auto"/>
              <w:jc w:val="left"/>
            </w:pPr>
            <w:r>
              <w:rPr>
                <w:rFonts w:ascii="Calibri" w:hAnsi="Calibri" w:eastAsia="Microsoft YaHei"/>
                <w:b w:val="0"/>
                <w:i w:val="0"/>
                <w:color w:val="111111"/>
                <w:sz w:val="16"/>
              </w:rPr>
              <w:t>Sharpe ratio</w:t>
            </w:r>
          </w:p>
        </w:tc>
        <w:tc>
          <w:tcPr>
            <w:tcW w:type="dxa" w:w="5500"/>
          </w:tcPr>
          <w:p>
            <w:pPr>
              <w:keepNext w:val="0"/>
              <w:spacing w:before="0" w:after="0" w:line="240" w:lineRule="auto"/>
              <w:jc w:val="left"/>
            </w:pPr>
            <w:r>
              <w:rPr>
                <w:rFonts w:ascii="Calibri" w:hAnsi="Calibri" w:eastAsia="Microsoft YaHei"/>
                <w:b w:val="0"/>
                <w:i w:val="0"/>
                <w:color w:val="111111"/>
                <w:sz w:val="16"/>
              </w:rPr>
              <w:t>sqrt(252) * mean(r_t) / std(r_t), risk-free rate = 0</w:t>
            </w:r>
          </w:p>
        </w:tc>
        <w:tc>
          <w:tcPr>
            <w:tcW w:type="dxa" w:w="1960"/>
          </w:tcPr>
          <w:p>
            <w:pPr>
              <w:keepNext w:val="0"/>
              <w:spacing w:before="0" w:after="0" w:line="240" w:lineRule="auto"/>
              <w:jc w:val="left"/>
            </w:pPr>
            <w:r>
              <w:rPr>
                <w:rFonts w:ascii="Calibri" w:hAnsi="Calibri" w:eastAsia="Microsoft YaHei"/>
                <w:b w:val="0"/>
                <w:i w:val="0"/>
                <w:color w:val="111111"/>
                <w:sz w:val="16"/>
              </w:rPr>
              <w:t>Higher</w:t>
            </w:r>
          </w:p>
        </w:tc>
      </w:tr>
      <w:tr>
        <w:tc>
          <w:tcPr>
            <w:tcW w:type="dxa" w:w="1900"/>
          </w:tcPr>
          <w:p>
            <w:pPr>
              <w:keepNext w:val="0"/>
              <w:spacing w:before="0" w:after="0" w:line="240" w:lineRule="auto"/>
              <w:jc w:val="left"/>
            </w:pPr>
            <w:r>
              <w:rPr>
                <w:rFonts w:ascii="Calibri" w:hAnsi="Calibri" w:eastAsia="Microsoft YaHei"/>
                <w:b w:val="0"/>
                <w:i w:val="0"/>
                <w:color w:val="111111"/>
                <w:sz w:val="16"/>
              </w:rPr>
              <w:t>Sortino ratio</w:t>
            </w:r>
          </w:p>
        </w:tc>
        <w:tc>
          <w:tcPr>
            <w:tcW w:type="dxa" w:w="5500"/>
          </w:tcPr>
          <w:p>
            <w:pPr>
              <w:keepNext w:val="0"/>
              <w:spacing w:before="0" w:after="0" w:line="240" w:lineRule="auto"/>
              <w:jc w:val="left"/>
            </w:pPr>
            <w:r>
              <w:rPr>
                <w:rFonts w:ascii="Calibri" w:hAnsi="Calibri" w:eastAsia="Microsoft YaHei"/>
                <w:b w:val="0"/>
                <w:i w:val="0"/>
                <w:color w:val="111111"/>
                <w:sz w:val="16"/>
              </w:rPr>
              <w:t>sqrt(252) * mean(r_t) / downside_std(r_t)</w:t>
            </w:r>
          </w:p>
        </w:tc>
        <w:tc>
          <w:tcPr>
            <w:tcW w:type="dxa" w:w="1960"/>
          </w:tcPr>
          <w:p>
            <w:pPr>
              <w:keepNext w:val="0"/>
              <w:spacing w:before="0" w:after="0" w:line="240" w:lineRule="auto"/>
              <w:jc w:val="left"/>
            </w:pPr>
            <w:r>
              <w:rPr>
                <w:rFonts w:ascii="Calibri" w:hAnsi="Calibri" w:eastAsia="Microsoft YaHei"/>
                <w:b w:val="0"/>
                <w:i w:val="0"/>
                <w:color w:val="111111"/>
                <w:sz w:val="16"/>
              </w:rPr>
              <w:t>Higher</w:t>
            </w:r>
          </w:p>
        </w:tc>
      </w:tr>
      <w:tr>
        <w:tc>
          <w:tcPr>
            <w:tcW w:type="dxa" w:w="1900"/>
          </w:tcPr>
          <w:p>
            <w:pPr>
              <w:keepNext w:val="0"/>
              <w:spacing w:before="0" w:after="0" w:line="240" w:lineRule="auto"/>
              <w:jc w:val="left"/>
            </w:pPr>
            <w:r>
              <w:rPr>
                <w:rFonts w:ascii="Calibri" w:hAnsi="Calibri" w:eastAsia="Microsoft YaHei"/>
                <w:b w:val="0"/>
                <w:i w:val="0"/>
                <w:color w:val="111111"/>
                <w:sz w:val="16"/>
              </w:rPr>
              <w:t>Maximum drawdown</w:t>
            </w:r>
          </w:p>
        </w:tc>
        <w:tc>
          <w:tcPr>
            <w:tcW w:type="dxa" w:w="5500"/>
          </w:tcPr>
          <w:p>
            <w:pPr>
              <w:keepNext w:val="0"/>
              <w:spacing w:before="0" w:after="0" w:line="240" w:lineRule="auto"/>
              <w:jc w:val="left"/>
            </w:pPr>
            <w:r>
              <w:rPr>
                <w:rFonts w:ascii="Calibri" w:hAnsi="Calibri" w:eastAsia="Microsoft YaHei"/>
                <w:b w:val="0"/>
                <w:i w:val="0"/>
                <w:color w:val="111111"/>
                <w:sz w:val="16"/>
              </w:rPr>
              <w:t>min_t[NAV_t / running_max_t - 1]</w:t>
            </w:r>
          </w:p>
        </w:tc>
        <w:tc>
          <w:tcPr>
            <w:tcW w:type="dxa" w:w="1960"/>
          </w:tcPr>
          <w:p>
            <w:pPr>
              <w:keepNext w:val="0"/>
              <w:spacing w:before="0" w:after="0" w:line="240" w:lineRule="auto"/>
              <w:jc w:val="left"/>
            </w:pPr>
            <w:r>
              <w:rPr>
                <w:rFonts w:ascii="Calibri" w:hAnsi="Calibri" w:eastAsia="Microsoft YaHei"/>
                <w:b w:val="0"/>
                <w:i w:val="0"/>
                <w:color w:val="111111"/>
                <w:sz w:val="16"/>
              </w:rPr>
              <w:t>Magnitude lower</w:t>
            </w:r>
          </w:p>
        </w:tc>
      </w:tr>
      <w:tr>
        <w:tc>
          <w:tcPr>
            <w:tcW w:type="dxa" w:w="1900"/>
          </w:tcPr>
          <w:p>
            <w:pPr>
              <w:keepNext w:val="0"/>
              <w:spacing w:before="0" w:after="0" w:line="240" w:lineRule="auto"/>
              <w:jc w:val="left"/>
            </w:pPr>
            <w:r>
              <w:rPr>
                <w:rFonts w:ascii="Calibri" w:hAnsi="Calibri" w:eastAsia="Microsoft YaHei"/>
                <w:b w:val="0"/>
                <w:i w:val="0"/>
                <w:color w:val="111111"/>
                <w:sz w:val="16"/>
              </w:rPr>
              <w:t>Calmar ratio</w:t>
            </w:r>
          </w:p>
        </w:tc>
        <w:tc>
          <w:tcPr>
            <w:tcW w:type="dxa" w:w="5500"/>
          </w:tcPr>
          <w:p>
            <w:pPr>
              <w:keepNext w:val="0"/>
              <w:spacing w:before="0" w:after="0" w:line="240" w:lineRule="auto"/>
              <w:jc w:val="left"/>
            </w:pPr>
            <w:r>
              <w:rPr>
                <w:rFonts w:ascii="Calibri" w:hAnsi="Calibri" w:eastAsia="Microsoft YaHei"/>
                <w:b w:val="0"/>
                <w:i w:val="0"/>
                <w:color w:val="111111"/>
                <w:sz w:val="16"/>
              </w:rPr>
              <w:t>annualized_return / abs(max_drawdown)</w:t>
            </w:r>
          </w:p>
        </w:tc>
        <w:tc>
          <w:tcPr>
            <w:tcW w:type="dxa" w:w="1960"/>
          </w:tcPr>
          <w:p>
            <w:pPr>
              <w:keepNext w:val="0"/>
              <w:spacing w:before="0" w:after="0" w:line="240" w:lineRule="auto"/>
              <w:jc w:val="left"/>
            </w:pPr>
            <w:r>
              <w:rPr>
                <w:rFonts w:ascii="Calibri" w:hAnsi="Calibri" w:eastAsia="Microsoft YaHei"/>
                <w:b w:val="0"/>
                <w:i w:val="0"/>
                <w:color w:val="111111"/>
                <w:sz w:val="16"/>
              </w:rPr>
              <w:t>Higher</w:t>
            </w:r>
          </w:p>
        </w:tc>
      </w:tr>
      <w:tr>
        <w:tc>
          <w:tcPr>
            <w:tcW w:type="dxa" w:w="1900"/>
          </w:tcPr>
          <w:p>
            <w:pPr>
              <w:keepNext w:val="0"/>
              <w:spacing w:before="0" w:after="0" w:line="240" w:lineRule="auto"/>
              <w:jc w:val="left"/>
            </w:pPr>
            <w:r>
              <w:rPr>
                <w:rFonts w:ascii="Calibri" w:hAnsi="Calibri" w:eastAsia="Microsoft YaHei"/>
                <w:b w:val="0"/>
                <w:i w:val="0"/>
                <w:color w:val="111111"/>
                <w:sz w:val="16"/>
              </w:rPr>
              <w:t>Turnover</w:t>
            </w:r>
          </w:p>
        </w:tc>
        <w:tc>
          <w:tcPr>
            <w:tcW w:type="dxa" w:w="5500"/>
          </w:tcPr>
          <w:p>
            <w:pPr>
              <w:keepNext w:val="0"/>
              <w:spacing w:before="0" w:after="0" w:line="240" w:lineRule="auto"/>
              <w:jc w:val="left"/>
            </w:pPr>
            <w:r>
              <w:rPr>
                <w:rFonts w:ascii="Calibri" w:hAnsi="Calibri" w:eastAsia="Microsoft YaHei"/>
                <w:b w:val="0"/>
                <w:i w:val="0"/>
                <w:color w:val="111111"/>
                <w:sz w:val="16"/>
              </w:rPr>
              <w:t>sum(executed notional) / average NAV</w:t>
            </w:r>
          </w:p>
        </w:tc>
        <w:tc>
          <w:tcPr>
            <w:tcW w:type="dxa" w:w="1960"/>
          </w:tcPr>
          <w:p>
            <w:pPr>
              <w:keepNext w:val="0"/>
              <w:spacing w:before="0" w:after="0" w:line="240" w:lineRule="auto"/>
              <w:jc w:val="left"/>
            </w:pPr>
            <w:r>
              <w:rPr>
                <w:rFonts w:ascii="Calibri" w:hAnsi="Calibri" w:eastAsia="Microsoft YaHei"/>
                <w:b w:val="0"/>
                <w:i w:val="0"/>
                <w:color w:val="111111"/>
                <w:sz w:val="16"/>
              </w:rPr>
              <w:t>Lower for equal return</w:t>
            </w:r>
          </w:p>
        </w:tc>
      </w:tr>
      <w:tr>
        <w:tc>
          <w:tcPr>
            <w:tcW w:type="dxa" w:w="1900"/>
          </w:tcPr>
          <w:p>
            <w:pPr>
              <w:keepNext w:val="0"/>
              <w:spacing w:before="0" w:after="0" w:line="240" w:lineRule="auto"/>
              <w:jc w:val="left"/>
            </w:pPr>
            <w:r>
              <w:rPr>
                <w:rFonts w:ascii="Calibri" w:hAnsi="Calibri" w:eastAsia="Microsoft YaHei"/>
                <w:b w:val="0"/>
                <w:i w:val="0"/>
                <w:color w:val="111111"/>
                <w:sz w:val="16"/>
              </w:rPr>
              <w:t>Cost rate</w:t>
            </w:r>
          </w:p>
        </w:tc>
        <w:tc>
          <w:tcPr>
            <w:tcW w:type="dxa" w:w="5500"/>
          </w:tcPr>
          <w:p>
            <w:pPr>
              <w:keepNext w:val="0"/>
              <w:spacing w:before="0" w:after="0" w:line="240" w:lineRule="auto"/>
              <w:jc w:val="left"/>
            </w:pPr>
            <w:r>
              <w:rPr>
                <w:rFonts w:ascii="Calibri" w:hAnsi="Calibri" w:eastAsia="Microsoft YaHei"/>
                <w:b w:val="0"/>
                <w:i w:val="0"/>
                <w:color w:val="111111"/>
                <w:sz w:val="16"/>
              </w:rPr>
              <w:t>sum(transaction fees) / initial capital</w:t>
            </w:r>
          </w:p>
        </w:tc>
        <w:tc>
          <w:tcPr>
            <w:tcW w:type="dxa" w:w="1960"/>
          </w:tcPr>
          <w:p>
            <w:pPr>
              <w:keepNext w:val="0"/>
              <w:spacing w:before="0" w:after="0" w:line="240" w:lineRule="auto"/>
              <w:jc w:val="left"/>
            </w:pPr>
            <w:r>
              <w:rPr>
                <w:rFonts w:ascii="Calibri" w:hAnsi="Calibri" w:eastAsia="Microsoft YaHei"/>
                <w:b w:val="0"/>
                <w:i w:val="0"/>
                <w:color w:val="111111"/>
                <w:sz w:val="16"/>
              </w:rPr>
              <w:t>Lower</w:t>
            </w:r>
          </w:p>
        </w:tc>
      </w:tr>
      <w:tr>
        <w:tc>
          <w:tcPr>
            <w:tcW w:type="dxa" w:w="1900"/>
          </w:tcPr>
          <w:p>
            <w:pPr>
              <w:keepNext w:val="0"/>
              <w:spacing w:before="0" w:after="0" w:line="240" w:lineRule="auto"/>
              <w:jc w:val="left"/>
            </w:pPr>
            <w:r>
              <w:rPr>
                <w:rFonts w:ascii="Calibri" w:hAnsi="Calibri" w:eastAsia="Microsoft YaHei"/>
                <w:b w:val="0"/>
                <w:i w:val="0"/>
                <w:color w:val="111111"/>
                <w:sz w:val="16"/>
              </w:rPr>
              <w:t>Violation rate</w:t>
            </w:r>
          </w:p>
        </w:tc>
        <w:tc>
          <w:tcPr>
            <w:tcW w:type="dxa" w:w="5500"/>
          </w:tcPr>
          <w:p>
            <w:pPr>
              <w:keepNext w:val="0"/>
              <w:spacing w:before="0" w:after="0" w:line="240" w:lineRule="auto"/>
              <w:jc w:val="left"/>
            </w:pPr>
            <w:r>
              <w:rPr>
                <w:rFonts w:ascii="Calibri" w:hAnsi="Calibri" w:eastAsia="Microsoft YaHei"/>
                <w:b w:val="0"/>
                <w:i w:val="0"/>
                <w:color w:val="111111"/>
                <w:sz w:val="16"/>
              </w:rPr>
              <w:t>decision steps with violations / all decision steps</w:t>
            </w:r>
          </w:p>
        </w:tc>
        <w:tc>
          <w:tcPr>
            <w:tcW w:type="dxa" w:w="1960"/>
          </w:tcPr>
          <w:p>
            <w:pPr>
              <w:keepNext w:val="0"/>
              <w:spacing w:before="0" w:after="0" w:line="240" w:lineRule="auto"/>
              <w:jc w:val="left"/>
            </w:pPr>
            <w:r>
              <w:rPr>
                <w:rFonts w:ascii="Calibri" w:hAnsi="Calibri" w:eastAsia="Microsoft YaHei"/>
                <w:b w:val="0"/>
                <w:i w:val="0"/>
                <w:color w:val="111111"/>
                <w:sz w:val="16"/>
              </w:rPr>
              <w:t>Lower</w:t>
            </w:r>
          </w:p>
        </w:tc>
      </w:tr>
    </w:tbl>
    <w:p>
      <w:pPr>
        <w:spacing w:after="0"/>
      </w:pPr>
    </w:p>
    <w:p>
      <w:pPr/>
      <w:r>
        <w:rPr>
          <w:rFonts w:ascii="Calibri" w:hAnsi="Calibri" w:eastAsia="Microsoft YaHei"/>
          <w:b w:val="0"/>
          <w:i w:val="0"/>
          <w:color w:val="111111"/>
          <w:sz w:val="22"/>
        </w:rPr>
        <w:t>The pre-roll interval is excluded from every metric. If return volatility is zero, Sharpe and Sortino are defined as zero. If maximum drawdown is zero, Calmar is reported as not applicable rather than infinity. Results are presented as a metric vector; the primary comparison order is Sharpe, total return, maximum drawdown, cost rate, and violation rate.</w:t>
      </w:r>
    </w:p>
    <w:p>
      <w:pPr>
        <w:pStyle w:val="Heading1"/>
      </w:pPr>
      <w:r>
        <w:rPr>
          <w:rFonts w:ascii="Calibri" w:hAnsi="Calibri" w:eastAsia="Microsoft YaHei"/>
          <w:b/>
          <w:i w:val="0"/>
          <w:color w:val="2E74B5"/>
          <w:sz w:val="32"/>
        </w:rPr>
        <w:t>10. Audit Outputs</w:t>
      </w:r>
    </w:p>
    <w:tbl>
      <w:tblPr>
        <w:tblStyle w:val="TableGrid"/>
        <w:tblW w:type="dxa" w:w="9360"/>
        <w:jc w:val="left"/>
        <w:tblLayout w:type="fixed"/>
        <w:tblLook w:firstColumn="1" w:firstRow="1" w:lastColumn="0" w:lastRow="0" w:noHBand="0" w:noVBand="1" w:val="04A0"/>
        <w:tblInd w:w="120" w:type="dxa"/>
      </w:tblPr>
      <w:tblGrid>
        <w:gridCol w:w="2100"/>
        <w:gridCol w:w="4300"/>
        <w:gridCol w:w="2960"/>
      </w:tblGrid>
      <w:tr>
        <w:trPr>
          <w:tblHeader w:val="true"/>
        </w:trPr>
        <w:tc>
          <w:tcPr>
            <w:tcW w:type="dxa" w:w="21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7"/>
              </w:rPr>
              <w:t>Output</w:t>
            </w:r>
          </w:p>
        </w:tc>
        <w:tc>
          <w:tcPr>
            <w:tcW w:type="dxa" w:w="43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7"/>
              </w:rPr>
              <w:t>Contents</w:t>
            </w:r>
          </w:p>
        </w:tc>
        <w:tc>
          <w:tcPr>
            <w:tcW w:type="dxa" w:w="296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7"/>
              </w:rPr>
              <w:t>Distribution</w:t>
            </w:r>
          </w:p>
        </w:tc>
      </w:tr>
      <w:tr>
        <w:tc>
          <w:tcPr>
            <w:tcW w:type="dxa" w:w="2100"/>
          </w:tcPr>
          <w:p>
            <w:pPr>
              <w:keepNext w:val="0"/>
              <w:spacing w:before="0" w:after="0" w:line="240" w:lineRule="auto"/>
              <w:jc w:val="left"/>
            </w:pPr>
            <w:r>
              <w:rPr>
                <w:rFonts w:ascii="Calibri" w:hAnsi="Calibri" w:eastAsia="Microsoft YaHei"/>
                <w:b w:val="0"/>
                <w:i w:val="0"/>
                <w:color w:val="111111"/>
                <w:sz w:val="17"/>
              </w:rPr>
              <w:t>metrics.json</w:t>
            </w:r>
          </w:p>
        </w:tc>
        <w:tc>
          <w:tcPr>
            <w:tcW w:type="dxa" w:w="4300"/>
          </w:tcPr>
          <w:p>
            <w:pPr>
              <w:keepNext w:val="0"/>
              <w:spacing w:before="0" w:after="0" w:line="240" w:lineRule="auto"/>
              <w:jc w:val="left"/>
            </w:pPr>
            <w:r>
              <w:rPr>
                <w:rFonts w:ascii="Calibri" w:hAnsi="Calibri" w:eastAsia="Microsoft YaHei"/>
                <w:b w:val="0"/>
                <w:i w:val="0"/>
                <w:color w:val="111111"/>
                <w:sz w:val="17"/>
              </w:rPr>
              <w:t>Metrics, configuration hashes, model hash, and seed</w:t>
            </w:r>
          </w:p>
        </w:tc>
        <w:tc>
          <w:tcPr>
            <w:tcW w:type="dxa" w:w="2960"/>
          </w:tcPr>
          <w:p>
            <w:pPr>
              <w:keepNext w:val="0"/>
              <w:spacing w:before="0" w:after="0" w:line="240" w:lineRule="auto"/>
              <w:jc w:val="left"/>
            </w:pPr>
            <w:r>
              <w:rPr>
                <w:rFonts w:ascii="Calibri" w:hAnsi="Calibri" w:eastAsia="Microsoft YaHei"/>
                <w:b w:val="0"/>
                <w:i w:val="0"/>
                <w:color w:val="111111"/>
                <w:sz w:val="17"/>
              </w:rPr>
              <w:t>Sanitized result package</w:t>
            </w:r>
          </w:p>
        </w:tc>
      </w:tr>
      <w:tr>
        <w:tc>
          <w:tcPr>
            <w:tcW w:type="dxa" w:w="2100"/>
          </w:tcPr>
          <w:p>
            <w:pPr>
              <w:keepNext w:val="0"/>
              <w:spacing w:before="0" w:after="0" w:line="240" w:lineRule="auto"/>
              <w:jc w:val="left"/>
            </w:pPr>
            <w:r>
              <w:rPr>
                <w:rFonts w:ascii="Calibri" w:hAnsi="Calibri" w:eastAsia="Microsoft YaHei"/>
                <w:b w:val="0"/>
                <w:i w:val="0"/>
                <w:color w:val="111111"/>
                <w:sz w:val="17"/>
              </w:rPr>
              <w:t>daily_nav.csv</w:t>
            </w:r>
          </w:p>
        </w:tc>
        <w:tc>
          <w:tcPr>
            <w:tcW w:type="dxa" w:w="4300"/>
          </w:tcPr>
          <w:p>
            <w:pPr>
              <w:keepNext w:val="0"/>
              <w:spacing w:before="0" w:after="0" w:line="240" w:lineRule="auto"/>
              <w:jc w:val="left"/>
            </w:pPr>
            <w:r>
              <w:rPr>
                <w:rFonts w:ascii="Calibri" w:hAnsi="Calibri" w:eastAsia="Microsoft YaHei"/>
                <w:b w:val="0"/>
                <w:i w:val="0"/>
                <w:color w:val="111111"/>
                <w:sz w:val="17"/>
              </w:rPr>
              <w:t>Step, NAV ratio, return, and drawdown</w:t>
            </w:r>
          </w:p>
        </w:tc>
        <w:tc>
          <w:tcPr>
            <w:tcW w:type="dxa" w:w="2960"/>
          </w:tcPr>
          <w:p>
            <w:pPr>
              <w:keepNext w:val="0"/>
              <w:spacing w:before="0" w:after="0" w:line="240" w:lineRule="auto"/>
              <w:jc w:val="left"/>
            </w:pPr>
            <w:r>
              <w:rPr>
                <w:rFonts w:ascii="Calibri" w:hAnsi="Calibri" w:eastAsia="Microsoft YaHei"/>
                <w:b w:val="0"/>
                <w:i w:val="0"/>
                <w:color w:val="111111"/>
                <w:sz w:val="17"/>
              </w:rPr>
              <w:t>Sanitized result package</w:t>
            </w:r>
          </w:p>
        </w:tc>
      </w:tr>
      <w:tr>
        <w:tc>
          <w:tcPr>
            <w:tcW w:type="dxa" w:w="2100"/>
          </w:tcPr>
          <w:p>
            <w:pPr>
              <w:keepNext w:val="0"/>
              <w:spacing w:before="0" w:after="0" w:line="240" w:lineRule="auto"/>
              <w:jc w:val="left"/>
            </w:pPr>
            <w:r>
              <w:rPr>
                <w:rFonts w:ascii="Calibri" w:hAnsi="Calibri" w:eastAsia="Microsoft YaHei"/>
                <w:b w:val="0"/>
                <w:i w:val="0"/>
                <w:color w:val="111111"/>
                <w:sz w:val="17"/>
              </w:rPr>
              <w:t>positions.csv</w:t>
            </w:r>
          </w:p>
        </w:tc>
        <w:tc>
          <w:tcPr>
            <w:tcW w:type="dxa" w:w="4300"/>
          </w:tcPr>
          <w:p>
            <w:pPr>
              <w:keepNext w:val="0"/>
              <w:spacing w:before="0" w:after="0" w:line="240" w:lineRule="auto"/>
              <w:jc w:val="left"/>
            </w:pPr>
            <w:r>
              <w:rPr>
                <w:rFonts w:ascii="Calibri" w:hAnsi="Calibri" w:eastAsia="Microsoft YaHei"/>
                <w:b w:val="0"/>
                <w:i w:val="0"/>
                <w:color w:val="111111"/>
                <w:sz w:val="17"/>
              </w:rPr>
              <w:t>Anonymous asset IDs and weights</w:t>
            </w:r>
          </w:p>
        </w:tc>
        <w:tc>
          <w:tcPr>
            <w:tcW w:type="dxa" w:w="2960"/>
          </w:tcPr>
          <w:p>
            <w:pPr>
              <w:keepNext w:val="0"/>
              <w:spacing w:before="0" w:after="0" w:line="240" w:lineRule="auto"/>
              <w:jc w:val="left"/>
            </w:pPr>
            <w:r>
              <w:rPr>
                <w:rFonts w:ascii="Calibri" w:hAnsi="Calibri" w:eastAsia="Microsoft YaHei"/>
                <w:b w:val="0"/>
                <w:i w:val="0"/>
                <w:color w:val="111111"/>
                <w:sz w:val="17"/>
              </w:rPr>
              <w:t>Sanitized result package</w:t>
            </w:r>
          </w:p>
        </w:tc>
      </w:tr>
      <w:tr>
        <w:tc>
          <w:tcPr>
            <w:tcW w:type="dxa" w:w="2100"/>
          </w:tcPr>
          <w:p>
            <w:pPr>
              <w:keepNext w:val="0"/>
              <w:spacing w:before="0" w:after="0" w:line="240" w:lineRule="auto"/>
              <w:jc w:val="left"/>
            </w:pPr>
            <w:r>
              <w:rPr>
                <w:rFonts w:ascii="Calibri" w:hAnsi="Calibri" w:eastAsia="Microsoft YaHei"/>
                <w:b w:val="0"/>
                <w:i w:val="0"/>
                <w:color w:val="111111"/>
                <w:sz w:val="17"/>
              </w:rPr>
              <w:t>actions.jsonl</w:t>
            </w:r>
          </w:p>
        </w:tc>
        <w:tc>
          <w:tcPr>
            <w:tcW w:type="dxa" w:w="4300"/>
          </w:tcPr>
          <w:p>
            <w:pPr>
              <w:keepNext w:val="0"/>
              <w:spacing w:before="0" w:after="0" w:line="240" w:lineRule="auto"/>
              <w:jc w:val="left"/>
            </w:pPr>
            <w:r>
              <w:rPr>
                <w:rFonts w:ascii="Calibri" w:hAnsi="Calibri" w:eastAsia="Microsoft YaHei"/>
                <w:b w:val="0"/>
                <w:i w:val="0"/>
                <w:color w:val="111111"/>
                <w:sz w:val="17"/>
              </w:rPr>
              <w:t>Raw and repaired target weights</w:t>
            </w:r>
          </w:p>
        </w:tc>
        <w:tc>
          <w:tcPr>
            <w:tcW w:type="dxa" w:w="2960"/>
          </w:tcPr>
          <w:p>
            <w:pPr>
              <w:keepNext w:val="0"/>
              <w:spacing w:before="0" w:after="0" w:line="240" w:lineRule="auto"/>
              <w:jc w:val="left"/>
            </w:pPr>
            <w:r>
              <w:rPr>
                <w:rFonts w:ascii="Calibri" w:hAnsi="Calibri" w:eastAsia="Microsoft YaHei"/>
                <w:b w:val="0"/>
                <w:i w:val="0"/>
                <w:color w:val="111111"/>
                <w:sz w:val="17"/>
              </w:rPr>
              <w:t>Evaluator audit storage</w:t>
            </w:r>
          </w:p>
        </w:tc>
      </w:tr>
      <w:tr>
        <w:tc>
          <w:tcPr>
            <w:tcW w:type="dxa" w:w="2100"/>
          </w:tcPr>
          <w:p>
            <w:pPr>
              <w:keepNext w:val="0"/>
              <w:spacing w:before="0" w:after="0" w:line="240" w:lineRule="auto"/>
              <w:jc w:val="left"/>
            </w:pPr>
            <w:r>
              <w:rPr>
                <w:rFonts w:ascii="Calibri" w:hAnsi="Calibri" w:eastAsia="Microsoft YaHei"/>
                <w:b w:val="0"/>
                <w:i w:val="0"/>
                <w:color w:val="111111"/>
                <w:sz w:val="17"/>
              </w:rPr>
              <w:t>trades.csv</w:t>
            </w:r>
          </w:p>
        </w:tc>
        <w:tc>
          <w:tcPr>
            <w:tcW w:type="dxa" w:w="4300"/>
          </w:tcPr>
          <w:p>
            <w:pPr>
              <w:keepNext w:val="0"/>
              <w:spacing w:before="0" w:after="0" w:line="240" w:lineRule="auto"/>
              <w:jc w:val="left"/>
            </w:pPr>
            <w:r>
              <w:rPr>
                <w:rFonts w:ascii="Calibri" w:hAnsi="Calibri" w:eastAsia="Microsoft YaHei"/>
                <w:b w:val="0"/>
                <w:i w:val="0"/>
                <w:color w:val="111111"/>
                <w:sz w:val="17"/>
              </w:rPr>
              <w:t>Anonymous IDs, relative notional, fees</w:t>
            </w:r>
          </w:p>
        </w:tc>
        <w:tc>
          <w:tcPr>
            <w:tcW w:type="dxa" w:w="2960"/>
          </w:tcPr>
          <w:p>
            <w:pPr>
              <w:keepNext w:val="0"/>
              <w:spacing w:before="0" w:after="0" w:line="240" w:lineRule="auto"/>
              <w:jc w:val="left"/>
            </w:pPr>
            <w:r>
              <w:rPr>
                <w:rFonts w:ascii="Calibri" w:hAnsi="Calibri" w:eastAsia="Microsoft YaHei"/>
                <w:b w:val="0"/>
                <w:i w:val="0"/>
                <w:color w:val="111111"/>
                <w:sz w:val="17"/>
              </w:rPr>
              <w:t>Evaluator audit storage</w:t>
            </w:r>
          </w:p>
        </w:tc>
      </w:tr>
      <w:tr>
        <w:tc>
          <w:tcPr>
            <w:tcW w:type="dxa" w:w="2100"/>
          </w:tcPr>
          <w:p>
            <w:pPr>
              <w:keepNext w:val="0"/>
              <w:spacing w:before="0" w:after="0" w:line="240" w:lineRule="auto"/>
              <w:jc w:val="left"/>
            </w:pPr>
            <w:r>
              <w:rPr>
                <w:rFonts w:ascii="Calibri" w:hAnsi="Calibri" w:eastAsia="Microsoft YaHei"/>
                <w:b w:val="0"/>
                <w:i w:val="0"/>
                <w:color w:val="111111"/>
                <w:sz w:val="17"/>
              </w:rPr>
              <w:t>violations.jsonl</w:t>
            </w:r>
          </w:p>
        </w:tc>
        <w:tc>
          <w:tcPr>
            <w:tcW w:type="dxa" w:w="4300"/>
          </w:tcPr>
          <w:p>
            <w:pPr>
              <w:keepNext w:val="0"/>
              <w:spacing w:before="0" w:after="0" w:line="240" w:lineRule="auto"/>
              <w:jc w:val="left"/>
            </w:pPr>
            <w:r>
              <w:rPr>
                <w:rFonts w:ascii="Calibri" w:hAnsi="Calibri" w:eastAsia="Microsoft YaHei"/>
                <w:b w:val="0"/>
                <w:i w:val="0"/>
                <w:color w:val="111111"/>
                <w:sz w:val="17"/>
              </w:rPr>
              <w:t>Violation type, repair, and step_id</w:t>
            </w:r>
          </w:p>
        </w:tc>
        <w:tc>
          <w:tcPr>
            <w:tcW w:type="dxa" w:w="2960"/>
          </w:tcPr>
          <w:p>
            <w:pPr>
              <w:keepNext w:val="0"/>
              <w:spacing w:before="0" w:after="0" w:line="240" w:lineRule="auto"/>
              <w:jc w:val="left"/>
            </w:pPr>
            <w:r>
              <w:rPr>
                <w:rFonts w:ascii="Calibri" w:hAnsi="Calibri" w:eastAsia="Microsoft YaHei"/>
                <w:b w:val="0"/>
                <w:i w:val="0"/>
                <w:color w:val="111111"/>
                <w:sz w:val="17"/>
              </w:rPr>
              <w:t>Sanitized result package</w:t>
            </w:r>
          </w:p>
        </w:tc>
      </w:tr>
      <w:tr>
        <w:tc>
          <w:tcPr>
            <w:tcW w:type="dxa" w:w="2100"/>
          </w:tcPr>
          <w:p>
            <w:pPr>
              <w:keepNext w:val="0"/>
              <w:spacing w:before="0" w:after="0" w:line="240" w:lineRule="auto"/>
              <w:jc w:val="left"/>
            </w:pPr>
            <w:r>
              <w:rPr>
                <w:rFonts w:ascii="Calibri" w:hAnsi="Calibri" w:eastAsia="Microsoft YaHei"/>
                <w:b w:val="0"/>
                <w:i w:val="0"/>
                <w:color w:val="111111"/>
                <w:sz w:val="17"/>
              </w:rPr>
              <w:t>raw_observations</w:t>
            </w:r>
          </w:p>
        </w:tc>
        <w:tc>
          <w:tcPr>
            <w:tcW w:type="dxa" w:w="4300"/>
          </w:tcPr>
          <w:p>
            <w:pPr>
              <w:keepNext w:val="0"/>
              <w:spacing w:before="0" w:after="0" w:line="240" w:lineRule="auto"/>
              <w:jc w:val="left"/>
            </w:pPr>
            <w:r>
              <w:rPr>
                <w:rFonts w:ascii="Calibri" w:hAnsi="Calibri" w:eastAsia="Microsoft YaHei"/>
                <w:b w:val="0"/>
                <w:i w:val="0"/>
                <w:color w:val="111111"/>
                <w:sz w:val="17"/>
              </w:rPr>
              <w:t>Ticker, dates, OHLCV, filings</w:t>
            </w:r>
          </w:p>
        </w:tc>
        <w:tc>
          <w:tcPr>
            <w:tcW w:type="dxa" w:w="2960"/>
          </w:tcPr>
          <w:p>
            <w:pPr>
              <w:keepNext w:val="0"/>
              <w:spacing w:before="0" w:after="0" w:line="240" w:lineRule="auto"/>
              <w:jc w:val="left"/>
            </w:pPr>
            <w:r>
              <w:rPr>
                <w:rFonts w:ascii="Calibri" w:hAnsi="Calibri" w:eastAsia="Microsoft YaHei"/>
                <w:b w:val="0"/>
                <w:i w:val="0"/>
                <w:color w:val="111111"/>
                <w:sz w:val="17"/>
              </w:rPr>
              <w:t>Private evaluator storage only</w:t>
            </w:r>
          </w:p>
        </w:tc>
      </w:tr>
    </w:tbl>
    <w:p>
      <w:pPr>
        <w:spacing w:after="0"/>
      </w:pPr>
    </w:p>
    <w:p>
      <w:pPr>
        <w:pStyle w:val="Heading1"/>
      </w:pPr>
      <w:r>
        <w:rPr>
          <w:rFonts w:ascii="Calibri" w:hAnsi="Calibri" w:eastAsia="Microsoft YaHei"/>
          <w:b/>
          <w:i w:val="0"/>
          <w:color w:val="2E74B5"/>
          <w:sz w:val="32"/>
        </w:rPr>
        <w:t>11. Reusable Project Folder</w:t>
      </w:r>
    </w:p>
    <w:p>
      <w:pPr>
        <w:keepNext w:val="0"/>
        <w:spacing w:before="40" w:after="140" w:line="240" w:lineRule="auto"/>
        <w:ind w:left="259" w:right="259"/>
        <w:shd w:fill="F6F8FA"/>
      </w:pPr>
      <w:r>
        <w:rPr>
          <w:rFonts w:ascii="DejaVu Sans Mono" w:hAnsi="DejaVu Sans Mono" w:eastAsia="Microsoft YaHei"/>
          <w:b w:val="0"/>
          <w:i w:val="0"/>
          <w:color w:val="263238"/>
          <w:sz w:val="17"/>
        </w:rPr>
        <w:t>portfolio_agent_project/</w:t>
      </w:r>
      <w:r>
        <w:br/>
      </w:r>
      <w:r>
        <w:rPr>
          <w:rFonts w:ascii="DejaVu Sans Mono" w:hAnsi="DejaVu Sans Mono" w:eastAsia="Microsoft YaHei"/>
          <w:b w:val="0"/>
          <w:i w:val="0"/>
          <w:color w:val="263238"/>
          <w:sz w:val="17"/>
        </w:rPr>
        <w:t>|-- README.md</w:t>
      </w:r>
      <w:r>
        <w:br/>
      </w:r>
      <w:r>
        <w:rPr>
          <w:rFonts w:ascii="DejaVu Sans Mono" w:hAnsi="DejaVu Sans Mono" w:eastAsia="Microsoft YaHei"/>
          <w:b w:val="0"/>
          <w:i w:val="0"/>
          <w:color w:val="263238"/>
          <w:sz w:val="17"/>
        </w:rPr>
        <w:t>|-- pyproject.toml</w:t>
      </w:r>
      <w:r>
        <w:br/>
      </w:r>
      <w:r>
        <w:rPr>
          <w:rFonts w:ascii="DejaVu Sans Mono" w:hAnsi="DejaVu Sans Mono" w:eastAsia="Microsoft YaHei"/>
          <w:b w:val="0"/>
          <w:i w:val="0"/>
          <w:color w:val="263238"/>
          <w:sz w:val="17"/>
        </w:rPr>
        <w:t>|-- configs/</w:t>
      </w:r>
      <w:r>
        <w:br/>
      </w:r>
      <w:r>
        <w:rPr>
          <w:rFonts w:ascii="DejaVu Sans Mono" w:hAnsi="DejaVu Sans Mono" w:eastAsia="Microsoft YaHei"/>
          <w:b w:val="0"/>
          <w:i w:val="0"/>
          <w:color w:val="263238"/>
          <w:sz w:val="17"/>
        </w:rPr>
        <w:t>|   `-- evaluation.yaml</w:t>
      </w:r>
      <w:r>
        <w:br/>
      </w:r>
      <w:r>
        <w:rPr>
          <w:rFonts w:ascii="DejaVu Sans Mono" w:hAnsi="DejaVu Sans Mono" w:eastAsia="Microsoft YaHei"/>
          <w:b w:val="0"/>
          <w:i w:val="0"/>
          <w:color w:val="263238"/>
          <w:sz w:val="17"/>
        </w:rPr>
        <w:t>|-- docs/</w:t>
      </w:r>
      <w:r>
        <w:br/>
      </w:r>
      <w:r>
        <w:rPr>
          <w:rFonts w:ascii="DejaVu Sans Mono" w:hAnsi="DejaVu Sans Mono" w:eastAsia="Microsoft YaHei"/>
          <w:b w:val="0"/>
          <w:i w:val="0"/>
          <w:color w:val="263238"/>
          <w:sz w:val="17"/>
        </w:rPr>
        <w:t>|   `-- Portfolio_Agent_Project_Technical_Report_EN.docx</w:t>
      </w:r>
      <w:r>
        <w:br/>
      </w:r>
      <w:r>
        <w:rPr>
          <w:rFonts w:ascii="DejaVu Sans Mono" w:hAnsi="DejaVu Sans Mono" w:eastAsia="Microsoft YaHei"/>
          <w:b w:val="0"/>
          <w:i w:val="0"/>
          <w:color w:val="263238"/>
          <w:sz w:val="17"/>
        </w:rPr>
        <w:t>|-- scripts/</w:t>
      </w:r>
      <w:r>
        <w:br/>
      </w:r>
      <w:r>
        <w:rPr>
          <w:rFonts w:ascii="DejaVu Sans Mono" w:hAnsi="DejaVu Sans Mono" w:eastAsia="Microsoft YaHei"/>
          <w:b w:val="0"/>
          <w:i w:val="0"/>
          <w:color w:val="263238"/>
          <w:sz w:val="17"/>
        </w:rPr>
        <w:t>|   |-- download_rl_training_data.py</w:t>
      </w:r>
      <w:r>
        <w:br/>
      </w:r>
      <w:r>
        <w:rPr>
          <w:rFonts w:ascii="DejaVu Sans Mono" w:hAnsi="DejaVu Sans Mono" w:eastAsia="Microsoft YaHei"/>
          <w:b w:val="0"/>
          <w:i w:val="0"/>
          <w:color w:val="263238"/>
          <w:sz w:val="17"/>
        </w:rPr>
        <w:t>|   `-- download_evaluation_data.py</w:t>
      </w:r>
      <w:r>
        <w:br/>
      </w:r>
      <w:r>
        <w:rPr>
          <w:rFonts w:ascii="DejaVu Sans Mono" w:hAnsi="DejaVu Sans Mono" w:eastAsia="Microsoft YaHei"/>
          <w:b w:val="0"/>
          <w:i w:val="0"/>
          <w:color w:val="263238"/>
          <w:sz w:val="17"/>
        </w:rPr>
        <w:t>|-- src/portfolio_agent/</w:t>
      </w:r>
      <w:r>
        <w:br/>
      </w:r>
      <w:r>
        <w:rPr>
          <w:rFonts w:ascii="DejaVu Sans Mono" w:hAnsi="DejaVu Sans Mono" w:eastAsia="Microsoft YaHei"/>
          <w:b w:val="0"/>
          <w:i w:val="0"/>
          <w:color w:val="263238"/>
          <w:sz w:val="17"/>
        </w:rPr>
        <w:t>|   |-- security.py</w:t>
      </w:r>
      <w:r>
        <w:br/>
      </w:r>
      <w:r>
        <w:rPr>
          <w:rFonts w:ascii="DejaVu Sans Mono" w:hAnsi="DejaVu Sans Mono" w:eastAsia="Microsoft YaHei"/>
          <w:b w:val="0"/>
          <w:i w:val="0"/>
          <w:color w:val="263238"/>
          <w:sz w:val="17"/>
        </w:rPr>
        <w:t>|   |-- point_in_time.py</w:t>
      </w:r>
      <w:r>
        <w:br/>
      </w:r>
      <w:r>
        <w:rPr>
          <w:rFonts w:ascii="DejaVu Sans Mono" w:hAnsi="DejaVu Sans Mono" w:eastAsia="Microsoft YaHei"/>
          <w:b w:val="0"/>
          <w:i w:val="0"/>
          <w:color w:val="263238"/>
          <w:sz w:val="17"/>
        </w:rPr>
        <w:t>|   |-- observation.py</w:t>
      </w:r>
      <w:r>
        <w:br/>
      </w:r>
      <w:r>
        <w:rPr>
          <w:rFonts w:ascii="DejaVu Sans Mono" w:hAnsi="DejaVu Sans Mono" w:eastAsia="Microsoft YaHei"/>
          <w:b w:val="0"/>
          <w:i w:val="0"/>
          <w:color w:val="263238"/>
          <w:sz w:val="17"/>
        </w:rPr>
        <w:t>|   |-- risk.py</w:t>
      </w:r>
      <w:r>
        <w:br/>
      </w:r>
      <w:r>
        <w:rPr>
          <w:rFonts w:ascii="DejaVu Sans Mono" w:hAnsi="DejaVu Sans Mono" w:eastAsia="Microsoft YaHei"/>
          <w:b w:val="0"/>
          <w:i w:val="0"/>
          <w:color w:val="263238"/>
          <w:sz w:val="17"/>
        </w:rPr>
        <w:t>|   `-- metrics.py</w:t>
      </w:r>
      <w:r>
        <w:br/>
      </w:r>
      <w:r>
        <w:rPr>
          <w:rFonts w:ascii="DejaVu Sans Mono" w:hAnsi="DejaVu Sans Mono" w:eastAsia="Microsoft YaHei"/>
          <w:b w:val="0"/>
          <w:i w:val="0"/>
          <w:color w:val="263238"/>
          <w:sz w:val="17"/>
        </w:rPr>
        <w:t>`-- tests/</w:t>
      </w:r>
      <w:r>
        <w:br/>
      </w:r>
      <w:r>
        <w:rPr>
          <w:rFonts w:ascii="DejaVu Sans Mono" w:hAnsi="DejaVu Sans Mono" w:eastAsia="Microsoft YaHei"/>
          <w:b w:val="0"/>
          <w:i w:val="0"/>
          <w:color w:val="263238"/>
          <w:sz w:val="17"/>
        </w:rPr>
        <w:t xml:space="preserve">    |-- test_security_boundary.py</w:t>
      </w:r>
      <w:r>
        <w:br/>
      </w:r>
      <w:r>
        <w:rPr>
          <w:rFonts w:ascii="DejaVu Sans Mono" w:hAnsi="DejaVu Sans Mono" w:eastAsia="Microsoft YaHei"/>
          <w:b w:val="0"/>
          <w:i w:val="0"/>
          <w:color w:val="263238"/>
          <w:sz w:val="17"/>
        </w:rPr>
        <w:t xml:space="preserve">    |-- test_point_in_time.py</w:t>
      </w:r>
      <w:r>
        <w:br/>
      </w:r>
      <w:r>
        <w:rPr>
          <w:rFonts w:ascii="DejaVu Sans Mono" w:hAnsi="DejaVu Sans Mono" w:eastAsia="Microsoft YaHei"/>
          <w:b w:val="0"/>
          <w:i w:val="0"/>
          <w:color w:val="263238"/>
          <w:sz w:val="17"/>
        </w:rPr>
        <w:t xml:space="preserve">    |-- test_risk.py</w:t>
      </w:r>
      <w:r>
        <w:br/>
      </w:r>
      <w:r>
        <w:rPr>
          <w:rFonts w:ascii="DejaVu Sans Mono" w:hAnsi="DejaVu Sans Mono" w:eastAsia="Microsoft YaHei"/>
          <w:b w:val="0"/>
          <w:i w:val="0"/>
          <w:color w:val="263238"/>
          <w:sz w:val="17"/>
        </w:rPr>
        <w:t xml:space="preserve">    `-- test_metrics.py</w:t>
      </w:r>
    </w:p>
    <w:p>
      <w:pPr/>
      <w:r>
        <w:rPr>
          <w:rFonts w:ascii="Calibri" w:hAnsi="Calibri" w:eastAsia="Microsoft YaHei"/>
          <w:b w:val="0"/>
          <w:i w:val="0"/>
          <w:color w:val="111111"/>
          <w:sz w:val="22"/>
        </w:rPr>
        <w:t>The tests directory is isolated from application code and uses Python's standard unittest runner, so the folder can be copied into another repository without adding a test framework dependency. The source package provides small, explicit modules rather than a monolithic evaluator, making it straightforward to replace the agent, data loader, or execution model independently.</w:t>
      </w:r>
    </w:p>
    <w:p>
      <w:pPr>
        <w:keepNext w:val="0"/>
        <w:spacing w:before="40" w:after="140" w:line="240" w:lineRule="auto"/>
        <w:ind w:left="259" w:right="259"/>
        <w:shd w:fill="F6F8FA"/>
      </w:pPr>
      <w:r>
        <w:rPr>
          <w:rFonts w:ascii="DejaVu Sans Mono" w:hAnsi="DejaVu Sans Mono" w:eastAsia="Microsoft YaHei"/>
          <w:b w:val="0"/>
          <w:i w:val="0"/>
          <w:color w:val="263238"/>
          <w:sz w:val="17"/>
        </w:rPr>
        <w:t>PYTHONPATH=src python -m unittest discover -s tests -v</w:t>
      </w:r>
    </w:p>
    <w:p>
      <w:pPr>
        <w:pStyle w:val="Heading1"/>
      </w:pPr>
      <w:r>
        <w:rPr>
          <w:rFonts w:ascii="Calibri" w:hAnsi="Calibri" w:eastAsia="Microsoft YaHei"/>
          <w:b/>
          <w:i w:val="0"/>
          <w:color w:val="2E74B5"/>
          <w:sz w:val="32"/>
        </w:rPr>
        <w:t>12. Verification Tests</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trPr>
        <w:tc>
          <w:tcPr>
            <w:tcW w:type="dxa" w:w="290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7"/>
              </w:rPr>
              <w:t>Test</w:t>
            </w:r>
          </w:p>
        </w:tc>
        <w:tc>
          <w:tcPr>
            <w:tcW w:type="dxa" w:w="6460"/>
            <w:tcMar>
              <w:top w:w="80" w:type="dxa"/>
              <w:start w:w="120" w:type="dxa"/>
              <w:bottom w:w="80" w:type="dxa"/>
              <w:end w:w="120" w:type="dxa"/>
            </w:tcMar>
            <w:vAlign w:val="center"/>
            <w:shd w:fill="E8EEF5"/>
          </w:tcPr>
          <w:p>
            <w:pPr>
              <w:keepNext w:val="0"/>
              <w:spacing w:before="0" w:after="0" w:line="240" w:lineRule="auto"/>
              <w:jc w:val="center"/>
            </w:pPr>
            <w:r>
              <w:rPr>
                <w:rFonts w:ascii="Calibri" w:hAnsi="Calibri" w:eastAsia="Microsoft YaHei"/>
                <w:b/>
                <w:i w:val="0"/>
                <w:color w:val="17365D"/>
                <w:sz w:val="17"/>
              </w:rPr>
              <w:t>Required result</w:t>
            </w:r>
          </w:p>
        </w:tc>
      </w:tr>
      <w:tr>
        <w:tc>
          <w:tcPr>
            <w:tcW w:type="dxa" w:w="2900"/>
          </w:tcPr>
          <w:p>
            <w:pPr>
              <w:keepNext w:val="0"/>
              <w:spacing w:before="0" w:after="0" w:line="240" w:lineRule="auto"/>
              <w:jc w:val="left"/>
            </w:pPr>
            <w:r>
              <w:rPr>
                <w:rFonts w:ascii="Calibri" w:hAnsi="Calibri" w:eastAsia="Microsoft YaHei"/>
                <w:b w:val="0"/>
                <w:i w:val="0"/>
                <w:color w:val="111111"/>
                <w:sz w:val="17"/>
              </w:rPr>
              <w:t>Security-key scan</w:t>
            </w:r>
          </w:p>
        </w:tc>
        <w:tc>
          <w:tcPr>
            <w:tcW w:type="dxa" w:w="6460"/>
          </w:tcPr>
          <w:p>
            <w:pPr>
              <w:keepNext w:val="0"/>
              <w:spacing w:before="0" w:after="0" w:line="240" w:lineRule="auto"/>
              <w:jc w:val="left"/>
            </w:pPr>
            <w:r>
              <w:rPr>
                <w:rFonts w:ascii="Calibri" w:hAnsi="Calibri" w:eastAsia="Microsoft YaHei"/>
                <w:b w:val="0"/>
                <w:i w:val="0"/>
                <w:color w:val="111111"/>
                <w:sz w:val="17"/>
              </w:rPr>
              <w:t>Observation rejects ticker, date, raw OHLCV, raw fundamentals, and private paths</w:t>
            </w:r>
          </w:p>
        </w:tc>
      </w:tr>
      <w:tr>
        <w:tc>
          <w:tcPr>
            <w:tcW w:type="dxa" w:w="2900"/>
          </w:tcPr>
          <w:p>
            <w:pPr>
              <w:keepNext w:val="0"/>
              <w:spacing w:before="0" w:after="0" w:line="240" w:lineRule="auto"/>
              <w:jc w:val="left"/>
            </w:pPr>
            <w:r>
              <w:rPr>
                <w:rFonts w:ascii="Calibri" w:hAnsi="Calibri" w:eastAsia="Microsoft YaHei"/>
                <w:b w:val="0"/>
                <w:i w:val="0"/>
                <w:color w:val="111111"/>
                <w:sz w:val="17"/>
              </w:rPr>
              <w:t>Opaque asset ID</w:t>
            </w:r>
          </w:p>
        </w:tc>
        <w:tc>
          <w:tcPr>
            <w:tcW w:type="dxa" w:w="6460"/>
          </w:tcPr>
          <w:p>
            <w:pPr>
              <w:keepNext w:val="0"/>
              <w:spacing w:before="0" w:after="0" w:line="240" w:lineRule="auto"/>
              <w:jc w:val="left"/>
            </w:pPr>
            <w:r>
              <w:rPr>
                <w:rFonts w:ascii="Calibri" w:hAnsi="Calibri" w:eastAsia="Microsoft YaHei"/>
                <w:b w:val="0"/>
                <w:i w:val="0"/>
                <w:color w:val="111111"/>
                <w:sz w:val="17"/>
              </w:rPr>
              <w:t>Stable under one secret; ticker cannot be read from the ID</w:t>
            </w:r>
          </w:p>
        </w:tc>
      </w:tr>
      <w:tr>
        <w:tc>
          <w:tcPr>
            <w:tcW w:type="dxa" w:w="2900"/>
          </w:tcPr>
          <w:p>
            <w:pPr>
              <w:keepNext w:val="0"/>
              <w:spacing w:before="0" w:after="0" w:line="240" w:lineRule="auto"/>
              <w:jc w:val="left"/>
            </w:pPr>
            <w:r>
              <w:rPr>
                <w:rFonts w:ascii="Calibri" w:hAnsi="Calibri" w:eastAsia="Microsoft YaHei"/>
                <w:b w:val="0"/>
                <w:i w:val="0"/>
                <w:color w:val="111111"/>
                <w:sz w:val="17"/>
              </w:rPr>
              <w:t>Point-in-time report</w:t>
            </w:r>
          </w:p>
        </w:tc>
        <w:tc>
          <w:tcPr>
            <w:tcW w:type="dxa" w:w="6460"/>
          </w:tcPr>
          <w:p>
            <w:pPr>
              <w:keepNext w:val="0"/>
              <w:spacing w:before="0" w:after="0" w:line="240" w:lineRule="auto"/>
              <w:jc w:val="left"/>
            </w:pPr>
            <w:r>
              <w:rPr>
                <w:rFonts w:ascii="Calibri" w:hAnsi="Calibri" w:eastAsia="Microsoft YaHei"/>
                <w:b w:val="0"/>
                <w:i w:val="0"/>
                <w:color w:val="111111"/>
                <w:sz w:val="17"/>
              </w:rPr>
              <w:t>A report is invisible before available_at</w:t>
            </w:r>
          </w:p>
        </w:tc>
      </w:tr>
      <w:tr>
        <w:tc>
          <w:tcPr>
            <w:tcW w:type="dxa" w:w="2900"/>
          </w:tcPr>
          <w:p>
            <w:pPr>
              <w:keepNext w:val="0"/>
              <w:spacing w:before="0" w:after="0" w:line="240" w:lineRule="auto"/>
              <w:jc w:val="left"/>
            </w:pPr>
            <w:r>
              <w:rPr>
                <w:rFonts w:ascii="Calibri" w:hAnsi="Calibri" w:eastAsia="Microsoft YaHei"/>
                <w:b w:val="0"/>
                <w:i w:val="0"/>
                <w:color w:val="111111"/>
                <w:sz w:val="17"/>
              </w:rPr>
              <w:t>Restatement timing</w:t>
            </w:r>
          </w:p>
        </w:tc>
        <w:tc>
          <w:tcPr>
            <w:tcW w:type="dxa" w:w="6460"/>
          </w:tcPr>
          <w:p>
            <w:pPr>
              <w:keepNext w:val="0"/>
              <w:spacing w:before="0" w:after="0" w:line="240" w:lineRule="auto"/>
              <w:jc w:val="left"/>
            </w:pPr>
            <w:r>
              <w:rPr>
                <w:rFonts w:ascii="Calibri" w:hAnsi="Calibri" w:eastAsia="Microsoft YaHei"/>
                <w:b w:val="0"/>
                <w:i w:val="0"/>
                <w:color w:val="111111"/>
                <w:sz w:val="17"/>
              </w:rPr>
              <w:t>A later revision does not overwrite the earlier view prematurely</w:t>
            </w:r>
          </w:p>
        </w:tc>
      </w:tr>
      <w:tr>
        <w:tc>
          <w:tcPr>
            <w:tcW w:type="dxa" w:w="2900"/>
          </w:tcPr>
          <w:p>
            <w:pPr>
              <w:keepNext w:val="0"/>
              <w:spacing w:before="0" w:after="0" w:line="240" w:lineRule="auto"/>
              <w:jc w:val="left"/>
            </w:pPr>
            <w:r>
              <w:rPr>
                <w:rFonts w:ascii="Calibri" w:hAnsi="Calibri" w:eastAsia="Microsoft YaHei"/>
                <w:b w:val="0"/>
                <w:i w:val="0"/>
                <w:color w:val="111111"/>
                <w:sz w:val="17"/>
              </w:rPr>
              <w:t>Action repair</w:t>
            </w:r>
          </w:p>
        </w:tc>
        <w:tc>
          <w:tcPr>
            <w:tcW w:type="dxa" w:w="6460"/>
          </w:tcPr>
          <w:p>
            <w:pPr>
              <w:keepNext w:val="0"/>
              <w:spacing w:before="0" w:after="0" w:line="240" w:lineRule="auto"/>
              <w:jc w:val="left"/>
            </w:pPr>
            <w:r>
              <w:rPr>
                <w:rFonts w:ascii="Calibri" w:hAnsi="Calibri" w:eastAsia="Microsoft YaHei"/>
                <w:b w:val="0"/>
                <w:i w:val="0"/>
                <w:color w:val="111111"/>
                <w:sz w:val="17"/>
              </w:rPr>
              <w:t>Invalid, short, capped, unknown, and overexposed actions are repaired and recorded</w:t>
            </w:r>
          </w:p>
        </w:tc>
      </w:tr>
      <w:tr>
        <w:tc>
          <w:tcPr>
            <w:tcW w:type="dxa" w:w="2900"/>
          </w:tcPr>
          <w:p>
            <w:pPr>
              <w:keepNext w:val="0"/>
              <w:spacing w:before="0" w:after="0" w:line="240" w:lineRule="auto"/>
              <w:jc w:val="left"/>
            </w:pPr>
            <w:r>
              <w:rPr>
                <w:rFonts w:ascii="Calibri" w:hAnsi="Calibri" w:eastAsia="Microsoft YaHei"/>
                <w:b w:val="0"/>
                <w:i w:val="0"/>
                <w:color w:val="111111"/>
                <w:sz w:val="17"/>
              </w:rPr>
              <w:t>All-cash accounting</w:t>
            </w:r>
          </w:p>
        </w:tc>
        <w:tc>
          <w:tcPr>
            <w:tcW w:type="dxa" w:w="6460"/>
          </w:tcPr>
          <w:p>
            <w:pPr>
              <w:keepNext w:val="0"/>
              <w:spacing w:before="0" w:after="0" w:line="240" w:lineRule="auto"/>
              <w:jc w:val="left"/>
            </w:pPr>
            <w:r>
              <w:rPr>
                <w:rFonts w:ascii="Calibri" w:hAnsi="Calibri" w:eastAsia="Microsoft YaHei"/>
                <w:b w:val="0"/>
                <w:i w:val="0"/>
                <w:color w:val="111111"/>
                <w:sz w:val="17"/>
              </w:rPr>
              <w:t>Return, fee, Sharpe, and drawdown remain zero</w:t>
            </w:r>
          </w:p>
        </w:tc>
      </w:tr>
      <w:tr>
        <w:tc>
          <w:tcPr>
            <w:tcW w:type="dxa" w:w="2900"/>
          </w:tcPr>
          <w:p>
            <w:pPr>
              <w:keepNext w:val="0"/>
              <w:spacing w:before="0" w:after="0" w:line="240" w:lineRule="auto"/>
              <w:jc w:val="left"/>
            </w:pPr>
            <w:r>
              <w:rPr>
                <w:rFonts w:ascii="Calibri" w:hAnsi="Calibri" w:eastAsia="Microsoft YaHei"/>
                <w:b w:val="0"/>
                <w:i w:val="0"/>
                <w:color w:val="111111"/>
                <w:sz w:val="17"/>
              </w:rPr>
              <w:t>Cost and turnover</w:t>
            </w:r>
          </w:p>
        </w:tc>
        <w:tc>
          <w:tcPr>
            <w:tcW w:type="dxa" w:w="6460"/>
          </w:tcPr>
          <w:p>
            <w:pPr>
              <w:keepNext w:val="0"/>
              <w:spacing w:before="0" w:after="0" w:line="240" w:lineRule="auto"/>
              <w:jc w:val="left"/>
            </w:pPr>
            <w:r>
              <w:rPr>
                <w:rFonts w:ascii="Calibri" w:hAnsi="Calibri" w:eastAsia="Microsoft YaHei"/>
                <w:b w:val="0"/>
                <w:i w:val="0"/>
                <w:color w:val="111111"/>
                <w:sz w:val="17"/>
              </w:rPr>
              <w:t>Aggregate metrics equal the underlying execution ledger</w:t>
            </w:r>
          </w:p>
        </w:tc>
      </w:tr>
      <w:tr>
        <w:tc>
          <w:tcPr>
            <w:tcW w:type="dxa" w:w="2900"/>
          </w:tcPr>
          <w:p>
            <w:pPr>
              <w:keepNext w:val="0"/>
              <w:spacing w:before="0" w:after="0" w:line="240" w:lineRule="auto"/>
              <w:jc w:val="left"/>
            </w:pPr>
            <w:r>
              <w:rPr>
                <w:rFonts w:ascii="Calibri" w:hAnsi="Calibri" w:eastAsia="Microsoft YaHei"/>
                <w:b w:val="0"/>
                <w:i w:val="0"/>
                <w:color w:val="111111"/>
                <w:sz w:val="17"/>
              </w:rPr>
              <w:t>Future-data perturbation</w:t>
            </w:r>
          </w:p>
        </w:tc>
        <w:tc>
          <w:tcPr>
            <w:tcW w:type="dxa" w:w="6460"/>
          </w:tcPr>
          <w:p>
            <w:pPr>
              <w:keepNext w:val="0"/>
              <w:spacing w:before="0" w:after="0" w:line="240" w:lineRule="auto"/>
              <w:jc w:val="left"/>
            </w:pPr>
            <w:r>
              <w:rPr>
                <w:rFonts w:ascii="Calibri" w:hAnsi="Calibri" w:eastAsia="Microsoft YaHei"/>
                <w:b w:val="0"/>
                <w:i w:val="0"/>
                <w:color w:val="111111"/>
                <w:sz w:val="17"/>
              </w:rPr>
              <w:t>Changing private rows after step t cannot change action t</w:t>
            </w:r>
          </w:p>
        </w:tc>
      </w:tr>
      <w:tr>
        <w:tc>
          <w:tcPr>
            <w:tcW w:type="dxa" w:w="2900"/>
          </w:tcPr>
          <w:p>
            <w:pPr>
              <w:keepNext w:val="0"/>
              <w:spacing w:before="0" w:after="0" w:line="240" w:lineRule="auto"/>
              <w:jc w:val="left"/>
            </w:pPr>
            <w:r>
              <w:rPr>
                <w:rFonts w:ascii="Calibri" w:hAnsi="Calibri" w:eastAsia="Microsoft YaHei"/>
                <w:b w:val="0"/>
                <w:i w:val="0"/>
                <w:color w:val="111111"/>
                <w:sz w:val="17"/>
              </w:rPr>
              <w:t>Deterministic replay</w:t>
            </w:r>
          </w:p>
        </w:tc>
        <w:tc>
          <w:tcPr>
            <w:tcW w:type="dxa" w:w="6460"/>
          </w:tcPr>
          <w:p>
            <w:pPr>
              <w:keepNext w:val="0"/>
              <w:spacing w:before="0" w:after="0" w:line="240" w:lineRule="auto"/>
              <w:jc w:val="left"/>
            </w:pPr>
            <w:r>
              <w:rPr>
                <w:rFonts w:ascii="Calibri" w:hAnsi="Calibri" w:eastAsia="Microsoft YaHei"/>
                <w:b w:val="0"/>
                <w:i w:val="0"/>
                <w:color w:val="111111"/>
                <w:sz w:val="17"/>
              </w:rPr>
              <w:t>Same data, model, prompt, and seed reproduce the same sanitized trace</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5B6573"/>
        <w:sz w:val="18"/>
      </w:rPr>
      <w:t xml:space="preserve">第 </w:t>
    </w:r>
    <w:fldSimple w:instr="PAGE"/>
    <w:r>
      <w:rPr>
        <w:rFonts w:ascii="Calibri" w:hAnsi="Calibri" w:eastAsia="Microsoft YaHei"/>
        <w:b w:val="0"/>
        <w:i w:val="0"/>
        <w:color w:val="5B657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eastAsia="Microsoft YaHei"/>
        <w:b w:val="0"/>
        <w:i w:val="0"/>
        <w:color w:val="5B6573"/>
        <w:sz w:val="17"/>
      </w:rPr>
      <w:t>Walk-Forward Portfolio Agent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rPr>
      <w:rFonts w:ascii="Calibri" w:hAnsi="Calibri" w:eastAsia="Microsoft YaHe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rPr>
      <w:rFonts w:ascii="Calibri" w:hAnsi="Calibri" w:eastAsia="Microsoft YaHe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Walk-Forward Portfolio Agent Evaluation System</dc:title>
  <dc:subject>Secure data protocol, evaluation, and baseline agents</dc:subject>
  <dc:creator>AI Financial Studio</dc:creator>
  <cp:keywords>portfolio agent, confidentiality, walk-forward, PPO, LLM</cp:keywords>
  <dc:description>generated by python-docx</dc:description>
  <cp:lastModifiedBy/>
  <cp:revision>1</cp:revision>
  <dcterms:created xsi:type="dcterms:W3CDTF">2013-12-23T23:15:00Z</dcterms:created>
  <dcterms:modified xsi:type="dcterms:W3CDTF">2013-12-23T23:15:00Z</dcterms:modified>
  <cp:category/>
</cp:coreProperties>
</file>