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72f95fe904430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Bdr>
          <w:bottom w:val="single" w:color="B7791F" w:sz="24" w:space="10"/>
        </w:pBdr>
        <w:spacing w:before="1200" w:after="0"/>
        <w:jc w:val="center"/>
      </w:pPr>
      <w:r>
        <w:rPr>
          <w:rFonts w:eastAsia="SimHei"/>
          <w:color w:val="B7791F"/>
          <w:sz w:val="28"/>
        </w:rPr>
        <w:t>茅盾文学奖评审委员会</w:t>
      </w:r>
    </w:p>
    <w:p>
      <w:pPr>
        <w:spacing w:before="2400"/>
      </w:pPr>
      <w:r/>
    </w:p>
    <w:p>
      <w:pPr>
        <w:spacing w:after="200"/>
        <w:jc w:val="center"/>
      </w:pPr>
      <w:r>
        <w:rPr>
          <w:rFonts w:eastAsia="SimHei"/>
          <w:color w:val="1A365D"/>
          <w:sz w:val="72"/>
        </w:rPr>
        <w:t>评审报告</w:t>
      </w:r>
    </w:p>
    <w:p>
      <w:pPr>
        <w:spacing w:after="600"/>
        <w:jc w:val="center"/>
      </w:pPr>
      <w:r>
        <w:rPr>
          <w:rFonts w:eastAsia="SimHei"/>
          <w:color w:val="C53030"/>
          <w:sz w:val="56"/>
        </w:rPr>
        <w:t>《渡》</w:t>
      </w:r>
    </w:p>
    <w:p>
      <w:pPr>
        <w:spacing w:after="3000"/>
        <w:jc w:val="center"/>
      </w:pPr>
      <w:r>
        <w:rPr>
          <w:color w:val="4A5568"/>
          <w:sz w:val="24"/>
        </w:rPr>
        <w:t>长篇小说  ·  上中下三部</w:t>
      </w:r>
    </w:p>
    <w:p>
      <w:pPr>
        <w:spacing w:after="120"/>
        <w:jc w:val="center"/>
      </w:pPr>
      <w:r>
        <w:rPr>
          <w:color w:val="4A5568"/>
          <w:sz w:val="22"/>
        </w:rPr>
        <w:t>评审日期：2026年2月</w:t>
      </w:r>
    </w:p>
    <w:p>
      <w:pPr>
        <w:spacing w:after="120"/>
        <w:jc w:val="center"/>
      </w:pPr>
      <w:r>
        <w:rPr>
          <w:color w:val="4A5568"/>
          <w:sz w:val="22"/>
        </w:rPr>
        <w:t>评审性质：匿名初评</w:t>
      </w:r>
    </w:p>
    <w:p>
      <w:pPr>
        <w:pBdr>
          <w:top w:val="single" w:color="B7791F" w:sz="24" w:space="10"/>
        </w:pBdr>
        <w:spacing w:before="2000"/>
        <w:jc w:val="center"/>
      </w:pPr>
      <w:r>
        <w:rPr>
          <w:color w:val="718096"/>
          <w:sz w:val="20"/>
        </w:rPr>
        <w:t>内部评审文件  ·  请勿外传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0" w:id="0"/>
      <w:r>
        <w:t>目录</w:t>
      </w:r>
      <w:bookmarkEnd w:id="0"/>
    </w:p>
    <w:p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一、总体评价</w:t>
      </w:r>
      <w:r>
        <w:tab/>
      </w:r>
      <w:r>
        <w:t>3</w:t>
      </w:r>
    </w:p>
    <w:p>
      <w:pPr>
        <w:pStyle w:val="TOC1"/>
      </w:pPr>
      <w:r>
        <w:t>二、艺术成就分析</w:t>
      </w:r>
      <w:r>
        <w:tab/>
      </w:r>
      <w:r>
        <w:t>4</w:t>
      </w:r>
    </w:p>
    <w:p>
      <w:pPr>
        <w:pStyle w:val="TOC2"/>
      </w:pPr>
      <w:r>
        <w:t>（一）评委甲：史诗格局与叙事结构</w:t>
      </w:r>
      <w:r>
        <w:tab/>
      </w:r>
      <w:r>
        <w:t>4</w:t>
      </w:r>
    </w:p>
    <w:p>
      <w:pPr>
        <w:pStyle w:val="TOC2"/>
      </w:pPr>
      <w:r>
        <w:t>（二）评委乙：人物塑造与命运书写</w:t>
      </w:r>
      <w:r>
        <w:tab/>
      </w:r>
      <w:r>
        <w:t>5</w:t>
      </w:r>
    </w:p>
    <w:p>
      <w:pPr>
        <w:pStyle w:val="TOC2"/>
      </w:pPr>
      <w:r>
        <w:t>（三）评委丙：语言艺术与地域特色</w:t>
      </w:r>
      <w:r>
        <w:tab/>
      </w:r>
      <w:r>
        <w:t>6</w:t>
      </w:r>
    </w:p>
    <w:p>
      <w:pPr>
        <w:pStyle w:val="TOC2"/>
      </w:pPr>
      <w:r>
        <w:t>（四）评委丁：时代意识与思想深度</w:t>
      </w:r>
      <w:r>
        <w:tab/>
      </w:r>
      <w:r>
        <w:t>7</w:t>
      </w:r>
    </w:p>
    <w:p>
      <w:pPr>
        <w:pStyle w:val="TOC1"/>
      </w:pPr>
      <w:r>
        <w:t>三、不足之处</w:t>
      </w:r>
      <w:r>
        <w:tab/>
      </w:r>
      <w:r>
        <w:t>8</w:t>
      </w:r>
    </w:p>
    <w:p>
      <w:pPr>
        <w:pStyle w:val="TOC1"/>
      </w:pPr>
      <w:r>
        <w:t>四、优化建议</w:t>
      </w:r>
      <w:r>
        <w:tab/>
      </w:r>
      <w:r>
        <w:t>9</w:t>
      </w:r>
    </w:p>
    <w:p>
      <w:pPr>
        <w:pStyle w:val="TOC1"/>
      </w:pPr>
      <w:r>
        <w:t>五、综合评定</w:t>
      </w:r>
      <w:r>
        <w:tab/>
      </w:r>
      <w:r>
        <w:t>10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一、总体评价</w:t>
      </w:r>
      <w:bookmarkEnd w:id="001"/>
    </w:p>
    <w:p>
      <w:r>
        <w:t>《渡》是一部跨越六十六年（1958-2024）的史诗性长篇小说，以成都及周边地区为背景，通过陈、林、黄三个家族四代人的命运交织，展现了中国社会从集体化时代到数字时代的巨大变迁。全书分上中下三部，约七十余万字，结构宏大，叙事绵密，人物众多，时间跨度之长、社会覆盖面之广，在当代长篇小说创作中堪称罕见。</w:t>
      </w:r>
    </w:p>
    <w:p>
      <w:r>
        <w:t>作品以“渡”为核心意象，既指涉地理空间上的河流渡口，也隐喻历史转折中的个体抉择与代际传承。作者以冷峻而深情的笔触，书写了一代又一代普通人在时代洪流中的挣扎、坚守与蜕变，呈现出一种沉郁顿挫的史诗气质。</w:t>
      </w:r>
    </w:p>
    <w:p>
      <w:pPr>
        <w:shd w:val="clear" w:fill="F7FAFC"/>
        <w:spacing w:before="200" w:after="200"/>
        <w:ind w:left="720" w:right="720" w:firstLine="0"/>
      </w:pPr>
      <w:r>
        <w:rPr>
          <w:i/>
          <w:color w:val="4A5568"/>
        </w:rPr>
        <w:t>“暂记往来”——这四个字贯穿全书，既是陈德厚工分簿上的铅笔字迹，也是陈凯数据库中的NULL值，更是一代又一代中国人“先记下来，以后再说”的生存哲学。</w:t>
      </w:r>
    </w:p>
    <w:p>
      <w:pPr>
        <w:pStyle w:val="Heading1"/>
      </w:pPr>
      <w:bookmarkStart w:name="_Toc002" w:id="002"/>
      <w:r>
        <w:t>二、艺术成就分析</w:t>
      </w:r>
      <w:bookmarkEnd w:id="002"/>
    </w:p>
    <w:p>
      <w:pPr>
        <w:pStyle w:val="Heading2"/>
      </w:pPr>
      <w:r>
        <w:t>（一）评委甲：史诗格局与叙事结构</w:t>
      </w:r>
    </w:p>
    <w:p>
      <w:r>
        <w:t>从叙事结构来看，《渡》采用了编年史式的线性叙事，以十年为一章，以关键历史事件为节点，构建起一部完整的当代中国微观史。上部（1958-1998）聚焦集体化、饥荒、文革、改革开放、下岗潮；中部（1999-2019）书写房改、地震、股市、互联网、疫情；下部（2020-2024）则直面算法社会、数字异化与后疫情时代的精神困境。</w:t>
      </w:r>
    </w:p>
    <w:p>
      <w:r>
        <w:t>这种结构的优势在于：历史脉络清晰，时代感强烈，便于读者建立宏观认知。每一章都以具体物件为切入点——泡汤、花油渣、坛底粮、废料板车、散装糖、筒子楼、健康码、弹窗——以小见大，以物证史，形成了独特的“物质文化史”叙事风格。</w:t>
      </w:r>
    </w:p>
    <w:p>
      <w:r>
        <w:t>然而，编年史结构也存在一定局限：人物命运被时间切割，情感积累难以持续；历史事件密度过高，有时显得堆砌；多线叙事在篇幅分配上不够均衡，部分支线略显单薄。</w:t>
      </w:r>
    </w:p>
    <w:p>
      <w:pPr>
        <w:pStyle w:val="Heading2"/>
      </w:pPr>
      <w:r>
        <w:t>（二）评委乙：人物塑造与命运书写</w:t>
      </w:r>
    </w:p>
    <w:p>
      <w:r>
        <w:t>《渡》的人物塑造呈现出鲜明的代际特征。第一代（陈德厚、林永年、黄大顺）是“沉默的坚守者”，他们在政治运动中失去尊严，却以最卑微的方式维护着人的体面；第二代（陈建国、林晓红、李梅）是“转型的牺牲者”，他们在市场经济的大潮中沉浮，用身体的疼痛换取生存的权利；第三代（陈凯、赵小禾、黄伟）是“算法的囚徒”，他们在数字系统中挣扎，连“被看见”都要靠运气。</w:t>
      </w:r>
    </w:p>
    <w:p>
      <w:r>
        <w:t>女性形象的塑造尤其值得称道。王秀兰、李梅、林晓红、赵小禾——四代女性，四种活法，却共享着同一种坚韧。她们在菜市场、荷花池、直播间、地铁站里讨生活，用“好看是你的刀”在男权社会中杀出一条血路。</w:t>
      </w:r>
    </w:p>
    <w:p>
      <w:pPr>
        <w:shd w:val="clear" w:fill="F7FAFC"/>
        <w:spacing w:before="200" w:after="200"/>
        <w:ind w:left="720" w:right="720" w:firstLine="0"/>
      </w:pPr>
      <w:r>
        <w:rPr>
          <w:i/>
          <w:color w:val="4A5568"/>
        </w:rPr>
        <w:t>“李梅在车里买了一包红梅烟，夹在指间不点燃。她只是想闻一闻那个味道——那是她父亲的味道，是她丈夫的味道，是所有她认识的男人身上都有的味道。”</w:t>
      </w:r>
    </w:p>
    <w:p>
      <w:pPr>
        <w:pStyle w:val="Heading2"/>
      </w:pPr>
      <w:r>
        <w:t>（三）评委丙：语言艺术与地域特色</w:t>
      </w:r>
    </w:p>
    <w:p>
      <w:r>
        <w:t>《渡》的语言呈现出独特的“成都气质”——绵软、拖沓、带着一股子花椒的麻味。作者大量使用四川方言（“要得”“巴适”“铲铲”），却不影响非四川读者的理解，分寸拿捏得当。</w:t>
      </w:r>
    </w:p>
    <w:p>
      <w:r>
        <w:t>感官描写是本书的一大亮点。作者对“吃”的描写尤为出色——泡汤、花油渣、坛底粮、散装糖、蹄花、锅盔——每一种食物都承载着特定的历史记忆与情感温度。“黄伟坐在湿漉漉的马路牙子上，啃着三块钱的锅盔，觉得巴适”——这种“苦中作乐”的味觉体验，正是成都人精神气质的写照。</w:t>
      </w:r>
    </w:p>
    <w:p>
      <w:r>
        <w:t>意象系统构建完整：“河”（锦江、府南河）象征时间的流逝；“山”（西岭雪山）象征不动的守望；“板车”象征底层劳动者的尊严；“健康码/弹窗”象征数字时代的规训。这些意象反复出现，形成了贯穿全书的象征网络。</w:t>
      </w:r>
    </w:p>
    <w:p>
      <w:pPr>
        <w:pStyle w:val="Heading2"/>
      </w:pPr>
      <w:r>
        <w:t>（四）评委丁：时代意识与思想深度</w:t>
      </w:r>
    </w:p>
    <w:p>
      <w:r>
        <w:t>《渡》最可贵之处，在于它对“时代”的深刻反思。作者没有简单地将历史分为“好”与“坏”，而是呈现了每一代人在各自处境中的“不得不”——陈德厚不得不清廉到偏执，陈建国不得不下跪送礼，陈凯不得不删除那条数据。</w:t>
      </w:r>
    </w:p>
    <w:p>
      <w:r>
        <w:t>对数字时代的批判尤为犀利。“算法是可迭代的”——赵小禾的这句话，道出了当代年轻人的生存困境。系统派单、弹窗限制、数据清洗——人在算法面前失去了主体性，变成了“后台的一行数字”。</w:t>
      </w:r>
    </w:p>
    <w:p>
      <w:pPr>
        <w:shd w:val="clear" w:fill="F7FAFC"/>
        <w:spacing w:before="200" w:after="200"/>
        <w:ind w:left="720" w:right="720" w:firstLine="0"/>
      </w:pPr>
      <w:r>
        <w:rPr>
          <w:i/>
          <w:color w:val="4A5568"/>
        </w:rPr>
        <w:t>“他不知道自己是被救了，还是被养着。像他小时候养的那只兔子。喂它吃草，给它喝水，让它在笼子里跑来跑去。然后过年的时候，杀了。”</w:t>
      </w:r>
    </w:p>
    <w:p>
      <w:pPr>
        <w:pStyle w:val="Heading1"/>
      </w:pPr>
      <w:bookmarkStart w:name="_Toc003" w:id="003"/>
      <w:r>
        <w:t>三、不足之处</w:t>
      </w:r>
      <w:bookmarkEnd w:id="003"/>
    </w:p>
    <w:p>
      <w:pPr>
        <w:pStyle w:val="Heading3"/>
      </w:pPr>
      <w:r>
        <w:t>1. 叙事节奏与篇幅控制</w:t>
      </w:r>
    </w:p>
    <w:p>
      <w:r>
        <w:t>下部（2020-2024）篇幅过短，约三万字，与上部（约四万字）、中部（约四万字）相比，显得头重脚轻。疫情三年、数字时代的巨变，本可以展开更多，却匆匆收尾，终章“涉水”的开放式结局虽有意境，但略显仓促。</w:t>
      </w:r>
    </w:p>
    <w:p>
      <w:pPr>
        <w:pStyle w:val="Heading3"/>
      </w:pPr>
      <w:r>
        <w:t>2. 人物关系的交织</w:t>
      </w:r>
    </w:p>
    <w:p>
      <w:r>
        <w:t>三大家族的人物关系在叙事中偶有断裂。陈凯与赵小禾在相亲角的擦肩而过，本可成为命运交织的高潮，却只是“两声叹气，谁也没听见谁的”——这种处理虽有深意，但也让读者期待落空。</w:t>
      </w:r>
    </w:p>
    <w:p>
      <w:pPr>
        <w:pStyle w:val="Heading3"/>
      </w:pPr>
      <w:r>
        <w:t>3. 历史事件的密度</w:t>
      </w:r>
    </w:p>
    <w:p>
      <w:r>
        <w:t>部分章节历史事件堆砌过密，如中部1999-2008年，房改、地震、股市、奥运接踵而至，人物命运被事件推着走，缺乏足够的情感沉淀空间。</w:t>
      </w:r>
    </w:p>
    <w:p>
      <w:pPr>
        <w:pStyle w:val="Heading3"/>
      </w:pPr>
      <w:r>
        <w:t>4. 方言使用的边界</w:t>
      </w:r>
    </w:p>
    <w:p>
      <w:r>
        <w:t>个别段落方言使用过多，可能影响非四川读者的阅读体验。建议在关键情节处适当“翻译”或增加语境提示。</w:t>
      </w:r>
    </w:p>
    <w:p>
      <w:pPr>
        <w:pStyle w:val="Heading1"/>
      </w:pPr>
      <w:bookmarkStart w:name="_Toc004" w:id="004"/>
      <w:r>
        <w:t>四、优化建议</w:t>
      </w:r>
      <w:bookmarkEnd w:id="004"/>
    </w:p>
    <w:p>
      <w:pPr>
        <w:pStyle w:val="Heading3"/>
      </w:pPr>
      <w:r>
        <w:t>1. 结构优化</w:t>
      </w:r>
    </w:p>
    <w:p>
      <w:pPr>
        <w:numPr>
          <w:ilvl w:val="0"/>
          <w:numId w:val="1"/>
        </w:numPr>
      </w:pPr>
      <w:r>
        <w:t>下部可适当扩充至五万字左右，增加疫情后期的社会观察与人物心理描写</w:t>
      </w:r>
    </w:p>
    <w:p>
      <w:pPr>
        <w:numPr>
          <w:ilvl w:val="0"/>
          <w:numId w:val="1"/>
        </w:numPr>
      </w:pPr>
      <w:r>
        <w:t>考虑增加“尾声”或“代后记”，交代主要人物后续命运，给读者一个交代</w:t>
      </w:r>
    </w:p>
    <w:p>
      <w:pPr>
        <w:numPr>
          <w:ilvl w:val="0"/>
          <w:numId w:val="1"/>
        </w:numPr>
      </w:pPr>
      <w:r>
        <w:t>部分章节可调整顺序，如将“母女电话”与“洗碗”合并，强化情感浓度</w:t>
      </w:r>
    </w:p>
    <w:p>
      <w:pPr>
        <w:pStyle w:val="Heading3"/>
      </w:pPr>
      <w:r>
        <w:t>2. 人物深化</w:t>
      </w:r>
    </w:p>
    <w:p>
      <w:pPr>
        <w:numPr>
          <w:ilvl w:val="0"/>
          <w:numId w:val="1"/>
        </w:numPr>
      </w:pPr>
      <w:r>
        <w:t>黄勇（黄大顺之子）的缅甸线可再展开，作为“出走”主题的延伸</w:t>
      </w:r>
    </w:p>
    <w:p>
      <w:pPr>
        <w:numPr>
          <w:ilvl w:val="0"/>
          <w:numId w:val="1"/>
        </w:numPr>
      </w:pPr>
      <w:r>
        <w:t>赵小禾与母亲林晓红的关系可再深挖，形成与“李梅-陈凯”的对照</w:t>
      </w:r>
    </w:p>
    <w:p>
      <w:pPr>
        <w:numPr>
          <w:ilvl w:val="0"/>
          <w:numId w:val="1"/>
        </w:numPr>
      </w:pPr>
      <w:r>
        <w:t>陈凯与赵小禾的关系可在终章有所交代，哪怕是“错过”也要“完成”</w:t>
      </w:r>
    </w:p>
    <w:p>
      <w:pPr>
        <w:pStyle w:val="Heading3"/>
      </w:pPr>
      <w:r>
        <w:t>3. 语言打磨</w:t>
      </w:r>
    </w:p>
    <w:p>
      <w:pPr>
        <w:numPr>
          <w:ilvl w:val="0"/>
          <w:numId w:val="1"/>
        </w:numPr>
      </w:pPr>
      <w:r>
        <w:t>部分重复意象（如“暂记往来”）可适当减少出现频率，避免审美疲劳</w:t>
      </w:r>
    </w:p>
    <w:p>
      <w:pPr>
        <w:numPr>
          <w:ilvl w:val="0"/>
          <w:numId w:val="1"/>
        </w:numPr>
      </w:pPr>
      <w:r>
        <w:t>个别段落感官描写过密，可适当删减，留白给读者想象</w:t>
      </w:r>
    </w:p>
    <w:p>
      <w:pPr>
        <w:numPr>
          <w:ilvl w:val="0"/>
          <w:numId w:val="1"/>
        </w:numPr>
      </w:pPr>
      <w:r>
        <w:t>系统日志章节（“数据去向不明”）可再精炼，增强实验性</w:t>
      </w:r>
    </w:p>
    <w:p>
      <w:pPr>
        <w:pStyle w:val="Heading3"/>
      </w:pPr>
      <w:r>
        <w:t>4. 主题升华</w:t>
      </w:r>
    </w:p>
    <w:p>
      <w:pPr>
        <w:numPr>
          <w:ilvl w:val="0"/>
          <w:numId w:val="1"/>
        </w:numPr>
      </w:pPr>
      <w:r>
        <w:t>可考虑增加“渡”的哲学阐释，如引用佛教“波罗蜜”（到彼岸）的概念</w:t>
      </w:r>
    </w:p>
    <w:p>
      <w:pPr>
        <w:numPr>
          <w:ilvl w:val="0"/>
          <w:numId w:val="1"/>
        </w:numPr>
      </w:pPr>
      <w:r>
        <w:t>终章“涉水”可增加李梅的内心独白，将个人命运与时代洪流更紧密地勾连</w:t>
      </w:r>
    </w:p>
    <w:p>
      <w:pPr>
        <w:numPr>
          <w:ilvl w:val="0"/>
          <w:numId w:val="1"/>
        </w:numPr>
      </w:pPr>
      <w:r>
        <w:t>可考虑增加“后记”，交代创作缘起与史料来源，增强纪实感</w:t>
      </w:r>
    </w:p>
    <w:p>
      <w:pPr>
        <w:pStyle w:val="Heading1"/>
      </w:pPr>
      <w:bookmarkStart w:name="_Toc005" w:id="005"/>
      <w:r>
        <w:t>五、综合评定</w:t>
      </w:r>
      <w:bookmarkEnd w:id="005"/>
    </w:p>
    <w:p>
      <w:r>
        <w:t>综上所述，《渡》是一部具有强烈时代意识与深厚人文关怀的长篇小说。它以编年史的结构、群像式的叙事、感官化的语言，书写了一部当代中国普通人的命运史诗。作品在思想深度、艺术探索、语言创新等方面均达到了较高水准，尤其在数字时代的批判性书写方面，具有前瞻性与警示意义。</w:t>
      </w:r>
    </w:p>
    <w:p>
      <w:r>
        <w:t>作品存在的不足主要是结构上的头重脚轻、部分人物关系处理不够圆满、以及个别章节历史事件堆砌过密。这些问题在修订过程中可以得到有效解决。</w:t>
      </w:r>
    </w:p>
    <w:p>
      <w:pPr>
        <w:keepNext/>
        <w:spacing w:before="400"/>
        <w:ind w:firstLine="0"/>
      </w:pPr>
      <w:r>
        <w:rPr>
          <w:b/>
        </w:rPr>
        <w:t>评审评分（满分10分）：</w:t>
      </w:r>
    </w:p>
    <w:tbl>
      <w:tblPr>
        <w:tblW w:w="5000" w:type="pct"/>
        <w:tblBorders>
          <w:top w:val="single" w:color="1A365D" w:sz="12"/>
          <w:left w:val="nil"/>
          <w:bottom w:val="single" w:color="1A365D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3000"/>
        <w:gridCol w:w="1500"/>
        <w:gridCol w:w="15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1A365D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2"/>
              </w:rPr>
              <w:t>评审维度</w:t>
            </w:r>
          </w:p>
        </w:tc>
        <w:tc>
          <w:tcPr>
            <w:tcW w:w="1500" w:type="dxa"/>
            <w:tcBorders>
              <w:bottom w:val="single" w:color="1A365D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2"/>
              </w:rPr>
              <w:t>评分</w:t>
            </w:r>
          </w:p>
        </w:tc>
        <w:tc>
          <w:tcPr>
            <w:tcW w:w="1500" w:type="dxa"/>
            <w:tcBorders>
              <w:bottom w:val="single" w:color="1A365D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2"/>
              </w:rPr>
              <w:t>权重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2"/>
              </w:rPr>
              <w:t>思想深度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9.0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25%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2"/>
              </w:rPr>
              <w:t>艺术创新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8.5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25%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2"/>
              </w:rPr>
              <w:t>人物塑造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8.5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20%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2"/>
              </w:rPr>
              <w:t>语言艺术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9.0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20%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2"/>
              </w:rPr>
              <w:t>结构完整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7.5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2"/>
              </w:rPr>
              <w:t>10%</w:t>
            </w:r>
          </w:p>
        </w:tc>
      </w:tr>
      <w:tr>
        <w:trPr>
          <w:trHeight w:val="360" w:hRule="atLeast"/>
        </w:trPr>
        <w:tc>
          <w:tcPr>
            <w:tcW w:w="3000" w:type="dxa"/>
            <w:shd w:val="clear" w:fill="FFF5F5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C53030"/>
                <w:sz w:val="22"/>
              </w:rPr>
              <w:t>综合得分</w:t>
            </w:r>
          </w:p>
        </w:tc>
        <w:tc>
          <w:tcPr>
            <w:tcW w:w="1500" w:type="dxa"/>
            <w:shd w:val="clear" w:fill="FFF5F5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C53030"/>
                <w:sz w:val="22"/>
              </w:rPr>
              <w:t>8.6</w:t>
            </w:r>
          </w:p>
        </w:tc>
        <w:tc>
          <w:tcPr>
            <w:tcW w:w="1500" w:type="dxa"/>
            <w:shd w:val="clear" w:fill="FFF5F5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C53030"/>
                <w:sz w:val="22"/>
              </w:rPr>
              <w:t>100%</w:t>
            </w:r>
          </w:p>
        </w:tc>
      </w:tr>
    </w:tbl>
    <w:p>
      <w:r>
        <w:t>“《渡》是一部值得被记住的小说。它写的是成都，也是中国；写的是过去，也是现在；写的是他们，也是我们。”</w:t>
      </w:r>
    </w:p>
    <w:p>
      <w:pPr>
        <w:sectPr>
          <w:headerReference w:type="default" r:id="R5364929e8672463f"/>
          <w:footerReference w:type="default" r:id="Ra991ec1abe5a4338"/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6000"/>
      </w:pPr>
      <w:r/>
    </w:p>
    <w:p>
      <w:pPr>
        <w:spacing w:after="400"/>
        <w:jc w:val="center"/>
      </w:pPr>
      <w:r>
        <w:rPr>
          <w:rFonts w:eastAsia="SimHei"/>
          <w:color w:val="1A365D"/>
          <w:sz w:val="32"/>
        </w:rPr>
        <w:t>茅盾文学奖评审委员会</w:t>
      </w:r>
    </w:p>
    <w:p>
      <w:pPr>
        <w:spacing w:after="200"/>
        <w:jc w:val="center"/>
      </w:pPr>
      <w:r>
        <w:rPr>
          <w:color w:val="718096"/>
          <w:sz w:val="20"/>
        </w:rPr>
        <w:t>本报告仅供评审委员会内部参考</w:t>
      </w:r>
    </w:p>
    <w:p>
      <w:pPr>
        <w:jc w:val="center"/>
      </w:pPr>
      <w:r>
        <w:rPr>
          <w:color w:val="718096"/>
          <w:sz w:val="18"/>
        </w:rPr>
        <w:t>© 2026 版权所有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—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—</w:t>
    </w:r>
  </w:p>
</w:ftr>
</file>

<file path=word/header1.xml><?xml version="1.0" encoding="utf-8"?>
<w:hdr xmlns:w="http://schemas.openxmlformats.org/wordprocessingml/2006/main">
  <w:p>
    <w:pPr>
      <w:pBdr>
        <w:bottom w:val="single" w:color="CBD5E0" w:sz="4" w:space="4"/>
      </w:pBdr>
      <w:jc w:val="center"/>
    </w:pPr>
    <w:r>
      <w:rPr>
        <w:color w:val="718096"/>
        <w:sz w:val="18"/>
      </w:rPr>
      <w:t>茅盾文学奖评审报告  ·  《渡》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400" w:lineRule="auto"/>
      <w:ind w:firstLine="420"/>
    </w:pPr>
    <w:rPr>
      <w:rFonts w:ascii="Times New Roman" w:hAnsi="Times New Roman" w:eastAsia="SimSun"/>
      <w:color w:val="1A202C"/>
      <w:sz w:val="24"/>
    </w:rPr>
  </w:style>
  <w:style w:type="paragraph" w:styleId="Heading1">
    <w:name w:val="heading 1"/>
    <w:basedOn w:val="Normal"/>
    <w:pPr>
      <w:keepNext/>
      <w:keepLines/>
      <w:pageBreakBefore/>
      <w:spacing w:before="400" w:after="300" w:line="240" w:lineRule="auto"/>
      <w:ind w:firstLine="0"/>
      <w:outlineLvl w:val="0"/>
    </w:pPr>
    <w:rPr>
      <w:rFonts w:eastAsia="SimHei"/>
      <w:b/>
      <w:color w:val="1A365D"/>
      <w:sz w:val="36"/>
    </w:rPr>
  </w:style>
  <w:style w:type="paragraph" w:styleId="Heading2">
    <w:name w:val="heading 2"/>
    <w:basedOn w:val="Normal"/>
    <w:pPr>
      <w:keepNext/>
      <w:keepLines/>
      <w:spacing w:before="360" w:after="200"/>
      <w:ind w:firstLine="0"/>
      <w:outlineLvl w:val="1"/>
    </w:pPr>
    <w:rPr>
      <w:rFonts w:eastAsia="SimHei"/>
      <w:b/>
      <w:color w:val="2C528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20b11029f394c86" /><Relationship Type="http://schemas.openxmlformats.org/officeDocument/2006/relationships/numbering" Target="/word/numbering.xml" Id="R5eb61230d0cf4ced" /><Relationship Type="http://schemas.openxmlformats.org/officeDocument/2006/relationships/header" Target="/word/header1.xml" Id="R5364929e8672463f" /><Relationship Type="http://schemas.openxmlformats.org/officeDocument/2006/relationships/footer" Target="/word/footer1.xml" Id="Ra991ec1abe5a4338" /><Relationship Type="http://schemas.openxmlformats.org/officeDocument/2006/relationships/settings" Target="/word/settings.xml" Id="R75bb1f57f7f14d0e" /></Relationships>
</file>