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F230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Cover Letter</w:t>
      </w:r>
    </w:p>
    <w:p w14:paraId="2535B24A">
      <w:pPr>
        <w:rPr>
          <w:rFonts w:hint="eastAsia"/>
        </w:rPr>
      </w:pPr>
    </w:p>
    <w:p w14:paraId="65A003A4">
      <w:pPr>
        <w:rPr>
          <w:rFonts w:hint="eastAsia"/>
        </w:rPr>
      </w:pPr>
      <w:r>
        <w:rPr>
          <w:rFonts w:hint="eastAsia"/>
        </w:rPr>
        <w:t>February 5, 2026</w:t>
      </w:r>
    </w:p>
    <w:p w14:paraId="3A7AFB6C">
      <w:pPr>
        <w:rPr>
          <w:rFonts w:hint="eastAsia"/>
        </w:rPr>
      </w:pPr>
    </w:p>
    <w:p w14:paraId="2149AA58">
      <w:pPr>
        <w:rPr>
          <w:rFonts w:hint="eastAsia"/>
        </w:rPr>
      </w:pPr>
      <w:r>
        <w:rPr>
          <w:rFonts w:hint="eastAsia"/>
        </w:rPr>
        <w:t>Editor-in-Chief</w:t>
      </w:r>
    </w:p>
    <w:p w14:paraId="758E9008">
      <w:pPr>
        <w:rPr>
          <w:rFonts w:hint="eastAsia"/>
        </w:rPr>
      </w:pPr>
      <w:r>
        <w:rPr>
          <w:rFonts w:hint="eastAsia"/>
        </w:rPr>
        <w:t>Journal of Responsible Technology</w:t>
      </w:r>
    </w:p>
    <w:p w14:paraId="366BB6CC">
      <w:pPr>
        <w:rPr>
          <w:rFonts w:hint="eastAsia"/>
        </w:rPr>
      </w:pPr>
    </w:p>
    <w:p w14:paraId="02EF59ED">
      <w:pPr>
        <w:rPr>
          <w:rFonts w:hint="eastAsia"/>
        </w:rPr>
      </w:pPr>
      <w:r>
        <w:rPr>
          <w:rFonts w:hint="eastAsia"/>
        </w:rPr>
        <w:t>Re: Submission of manuscript "Acceptance Is Not a Judgment: Operationalizing Accountability with Auditable Acceptance Events"</w:t>
      </w:r>
    </w:p>
    <w:p w14:paraId="02707E07">
      <w:pPr>
        <w:rPr>
          <w:rFonts w:hint="eastAsia"/>
        </w:rPr>
      </w:pPr>
    </w:p>
    <w:p w14:paraId="4FFABCD4">
      <w:pPr>
        <w:rPr>
          <w:rFonts w:hint="eastAsia"/>
        </w:rPr>
      </w:pPr>
      <w:r>
        <w:rPr>
          <w:rFonts w:hint="eastAsia"/>
        </w:rPr>
        <w:t>Dear Editor-in-Chief,</w:t>
      </w:r>
    </w:p>
    <w:p w14:paraId="73ECA08C">
      <w:pPr>
        <w:rPr>
          <w:rFonts w:hint="eastAsia"/>
        </w:rPr>
      </w:pPr>
    </w:p>
    <w:p w14:paraId="30C97067">
      <w:pPr>
        <w:rPr>
          <w:rFonts w:hint="eastAsia"/>
        </w:rPr>
      </w:pPr>
      <w:r>
        <w:rPr>
          <w:rFonts w:hint="eastAsia"/>
        </w:rPr>
        <w:t>Please consider my manuscript, "Acceptance Is Not a Judgment: Operationalizing Accountability with Auditable Acceptance Events," for publication as a Discussion Paper in the Journal of Responsible Technology.</w:t>
      </w:r>
    </w:p>
    <w:p w14:paraId="732BE155">
      <w:pPr>
        <w:rPr>
          <w:rFonts w:hint="eastAsia"/>
        </w:rPr>
      </w:pPr>
    </w:p>
    <w:p w14:paraId="1ED89A40">
      <w:pPr>
        <w:rPr>
          <w:rFonts w:hint="eastAsia"/>
        </w:rPr>
      </w:pPr>
      <w:r>
        <w:rPr>
          <w:rFonts w:hint="eastAsia"/>
        </w:rPr>
        <w:t>Governance failures in AI-assisted, high-velocity software production often arise because "acceptance" is treated as a psychological judgment ("it seems fine") rather than an auditable operation. The paper's contribution is a governance primitive: redefining acceptance as an acceptance event that institutionally binds artifact, versioned constraints, and an evidence bundle digest to an authorized sign-off at time t.</w:t>
      </w:r>
    </w:p>
    <w:p w14:paraId="3C8CCD09">
      <w:pPr>
        <w:rPr>
          <w:rFonts w:hint="eastAsia"/>
        </w:rPr>
      </w:pPr>
    </w:p>
    <w:p w14:paraId="2F132323">
      <w:pPr>
        <w:rPr>
          <w:rFonts w:hint="eastAsia"/>
        </w:rPr>
      </w:pPr>
      <w:r>
        <w:rPr>
          <w:rFonts w:hint="eastAsia"/>
        </w:rPr>
        <w:t>I further introduce a constraint referencing requirement ("no acceptance without citation"), requiring every acceptance decision to cite a registered constraint set. This mechanism does not replace software supply-chain security layers such as provenance and attestation (e.g., SLSA, Sigstore); instead, it adds a governance layer that makes responsibility explicitly queryable: who accepted what, under which constraints, with which evidence, and when.</w:t>
      </w:r>
    </w:p>
    <w:p w14:paraId="0B7DCD25">
      <w:pPr>
        <w:rPr>
          <w:rFonts w:hint="eastAsia"/>
        </w:rPr>
      </w:pPr>
    </w:p>
    <w:p w14:paraId="2114800C">
      <w:pPr>
        <w:rPr>
          <w:rFonts w:hint="eastAsia"/>
        </w:rPr>
      </w:pPr>
      <w:r>
        <w:rPr>
          <w:rFonts w:hint="eastAsia"/>
        </w:rPr>
        <w:t>I also address governance risks of auditability (e.g., compliance theater and evidence-gaming) and explicitly argue against fully automated acceptance decisions, emphasizing meaningful human control for high-impact deployments.</w:t>
      </w:r>
    </w:p>
    <w:p w14:paraId="31053782">
      <w:pPr>
        <w:rPr>
          <w:rFonts w:hint="eastAsia"/>
        </w:rPr>
      </w:pPr>
    </w:p>
    <w:p w14:paraId="1A84EE16">
      <w:pPr>
        <w:rPr>
          <w:rFonts w:hint="eastAsia"/>
        </w:rPr>
      </w:pPr>
      <w:r>
        <w:rPr>
          <w:rFonts w:hint="eastAsia"/>
        </w:rPr>
        <w:t>This work is original, has not been published previously, and is not under consideration elsewhere.</w:t>
      </w:r>
    </w:p>
    <w:p w14:paraId="04864E74">
      <w:pPr>
        <w:rPr>
          <w:rFonts w:hint="eastAsia"/>
        </w:rPr>
      </w:pPr>
    </w:p>
    <w:p w14:paraId="3CCF737B">
      <w:pPr>
        <w:rPr>
          <w:rFonts w:hint="eastAsia"/>
        </w:rPr>
      </w:pPr>
      <w:r>
        <w:rPr>
          <w:rFonts w:hint="eastAsia"/>
        </w:rPr>
        <w:t>Data availability: No datasets were generated or analyzed for this article.</w:t>
      </w:r>
    </w:p>
    <w:p w14:paraId="5E5F0A02">
      <w:pPr>
        <w:rPr>
          <w:rFonts w:hint="eastAsia"/>
        </w:rPr>
      </w:pPr>
    </w:p>
    <w:p w14:paraId="747447A7">
      <w:pPr>
        <w:rPr>
          <w:rFonts w:hint="eastAsia"/>
        </w:rPr>
      </w:pPr>
      <w:r>
        <w:rPr>
          <w:rFonts w:hint="eastAsia"/>
        </w:rPr>
        <w:t>Conflicts of interest: The author declares no competing interests.</w:t>
      </w:r>
    </w:p>
    <w:p w14:paraId="5EE4D959">
      <w:pPr>
        <w:rPr>
          <w:rFonts w:hint="eastAsia"/>
        </w:rPr>
      </w:pPr>
    </w:p>
    <w:p w14:paraId="55833F27">
      <w:pPr>
        <w:rPr>
          <w:rFonts w:hint="eastAsia"/>
        </w:rPr>
      </w:pPr>
      <w:r>
        <w:rPr>
          <w:rFonts w:hint="eastAsia"/>
        </w:rPr>
        <w:t>Thank you for your consideration.</w:t>
      </w:r>
    </w:p>
    <w:p w14:paraId="5373B470">
      <w:pPr>
        <w:rPr>
          <w:rFonts w:hint="eastAsia"/>
        </w:rPr>
      </w:pPr>
    </w:p>
    <w:p w14:paraId="68CE2F36">
      <w:pPr>
        <w:rPr>
          <w:rFonts w:hint="eastAsia"/>
        </w:rPr>
      </w:pPr>
      <w:r>
        <w:rPr>
          <w:rFonts w:hint="eastAsia"/>
        </w:rPr>
        <w:t>Sincerely,</w:t>
      </w:r>
    </w:p>
    <w:p w14:paraId="00BE3A80">
      <w:pPr>
        <w:rPr>
          <w:rFonts w:hint="eastAsia"/>
        </w:rPr>
      </w:pPr>
    </w:p>
    <w:p w14:paraId="2578D3F8">
      <w:pPr>
        <w:rPr>
          <w:rFonts w:hint="eastAsia"/>
        </w:rPr>
      </w:pPr>
      <w:r>
        <w:rPr>
          <w:rFonts w:hint="eastAsia"/>
        </w:rPr>
        <w:t>Yi Fu</w:t>
      </w:r>
    </w:p>
    <w:p w14:paraId="177A0AF2">
      <w:pPr>
        <w:rPr>
          <w:rFonts w:hint="eastAsia"/>
        </w:rPr>
      </w:pPr>
      <w:r>
        <w:rPr>
          <w:rFonts w:hint="eastAsia"/>
        </w:rPr>
        <w:t>Department of Logistics Management, North Sichuan Medical College, Nanchong, Sichuan, China</w:t>
      </w:r>
    </w:p>
    <w:p w14:paraId="6B52D15D">
      <w:pPr>
        <w:rPr>
          <w:rFonts w:hint="eastAsia"/>
        </w:rPr>
      </w:pPr>
      <w:r>
        <w:rPr>
          <w:rFonts w:hint="eastAsia"/>
        </w:rPr>
        <w:t>Email: fuyi@nsmc.edu.cn</w:t>
      </w:r>
    </w:p>
    <w:p w14:paraId="5BEAAE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D0A7B"/>
    <w:rsid w:val="307D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2026-02-05T11:28:00Z</dcterms:created>
  <dc:creator>知天命的程序老炮</dc:creator>
  <cp:lastModifiedBy>知天命的程序老炮</cp:lastModifiedBy>
  <dcterms:modified xsi:type="dcterms:W3CDTF">2026-02-05T11:29:09Z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89EB768A8D71499B8D6E1C69B0621958_11</vt:lpwstr>
  </property>
</Properties>
</file>