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5802AA">
      <w:pPr>
        <w:pStyle w:val="2"/>
        <w:keepNext w:val="0"/>
        <w:keepLines w:val="0"/>
        <w:widowControl/>
        <w:suppressLineNumbers w:val="0"/>
      </w:pPr>
      <w:r>
        <w:t>Title Page</w:t>
      </w:r>
    </w:p>
    <w:p w14:paraId="402B5383">
      <w:pPr>
        <w:pStyle w:val="2"/>
        <w:keepNext w:val="0"/>
        <w:keepLines w:val="0"/>
        <w:widowControl/>
        <w:suppressLineNumbers w:val="0"/>
      </w:pPr>
      <w:r>
        <w:t>Title Acceptance Is Not a Judgment: Operationalizing Accountability with Auditable Acceptance Events</w:t>
      </w:r>
    </w:p>
    <w:p w14:paraId="111ADB48">
      <w:pPr>
        <w:pStyle w:val="2"/>
        <w:keepNext w:val="0"/>
        <w:keepLines w:val="0"/>
        <w:widowControl/>
        <w:suppressLineNumbers w:val="0"/>
      </w:pPr>
      <w:r>
        <w:t>Running Title Acceptance as Auditable Event</w:t>
      </w:r>
    </w:p>
    <w:p w14:paraId="2136EA50">
      <w:pPr>
        <w:pStyle w:val="2"/>
        <w:keepNext w:val="0"/>
        <w:keepLines w:val="0"/>
        <w:widowControl/>
        <w:suppressLineNumbers w:val="0"/>
      </w:pPr>
      <w:r>
        <w:t>Author(s) Yi Fu</w:t>
      </w:r>
    </w:p>
    <w:p w14:paraId="6D70B321">
      <w:pPr>
        <w:pStyle w:val="2"/>
        <w:keepNext w:val="0"/>
        <w:keepLines w:val="0"/>
        <w:widowControl/>
        <w:suppressLineNumbers w:val="0"/>
      </w:pPr>
      <w:r>
        <w:t>Affiliation(s) Logistics Management Office, North Sichuan Medical College, Nanchong, Sichuan, China</w:t>
      </w:r>
    </w:p>
    <w:p w14:paraId="34EE54B9">
      <w:pPr>
        <w:pStyle w:val="2"/>
        <w:keepNext w:val="0"/>
        <w:keepLines w:val="0"/>
        <w:widowControl/>
        <w:suppressLineNumbers w:val="0"/>
      </w:pPr>
      <w:r>
        <w:t xml:space="preserve">Corresponding Author Yi Fu Email: </w:t>
      </w:r>
      <w:r>
        <w:fldChar w:fldCharType="begin"/>
      </w:r>
      <w:r>
        <w:instrText xml:space="preserve"> HYPERLINK "mailto:fuyi@nsmc.edu.cn" </w:instrText>
      </w:r>
      <w:r>
        <w:fldChar w:fldCharType="separate"/>
      </w:r>
      <w:r>
        <w:rPr>
          <w:rStyle w:val="5"/>
        </w:rPr>
        <w:t>fuyi@nsmc.edu.cn</w:t>
      </w:r>
      <w:r>
        <w:fldChar w:fldCharType="end"/>
      </w:r>
      <w:r>
        <w:t xml:space="preserve"> Address: University Town, Shunqing District, Nanchong, Sichuan 637000, China</w:t>
      </w:r>
    </w:p>
    <w:p w14:paraId="38218A33">
      <w:pPr>
        <w:pStyle w:val="2"/>
        <w:keepNext w:val="0"/>
        <w:keepLines w:val="0"/>
        <w:widowControl/>
        <w:suppressLineNumbers w:val="0"/>
      </w:pPr>
      <w:r>
        <w:t>Keywords acceptance event; accountability; governance semantics; auditability; constraint referencing; responsible technology</w:t>
      </w:r>
    </w:p>
    <w:p w14:paraId="7386A91B">
      <w:pPr>
        <w:pStyle w:val="2"/>
        <w:keepNext w:val="0"/>
        <w:keepLines w:val="0"/>
        <w:widowControl/>
        <w:suppressLineNumbers w:val="0"/>
      </w:pPr>
      <w:r>
        <w:t>Declarations</w:t>
      </w:r>
    </w:p>
    <w:p w14:paraId="5C91193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Conflicts of interest: The author declares no competing interests.</w:t>
      </w:r>
    </w:p>
    <w:p w14:paraId="5B930E4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Funding: None.</w:t>
      </w:r>
    </w:p>
    <w:p w14:paraId="2CAFFE9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Data availability: No datasets were generated or analyzed for this article.</w:t>
      </w:r>
    </w:p>
    <w:p w14:paraId="6C556F6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CRediT author statement: see separate file.</w:t>
      </w:r>
    </w:p>
    <w:p w14:paraId="5421A74C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1E2BE1"/>
    <w:multiLevelType w:val="multilevel"/>
    <w:tmpl w:val="991E2B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7C071B"/>
    <w:rsid w:val="4A7C0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Office_12.8.2.19823_F1E327BC-269C-435d-A152-05C5408002CA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2026-02-05T10:39:00Z</dcterms:created>
  <dc:creator>知天命的程序老炮</dc:creator>
  <cp:lastModifiedBy>知天命的程序老炮</cp:lastModifiedBy>
  <dcterms:modified xsi:type="dcterms:W3CDTF">2026-02-05T10:40:09Z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2052-12.8.2.19823</vt:lpwstr>
  </property>
  <property fmtid="{D5CDD505-2E9C-101B-9397-08002B2CF9AE}" pid="3" name="ICV">
    <vt:lpwstr>B96FEF0BD40C49729CB973888002B10E_11</vt:lpwstr>
  </property>
</Properties>
</file>