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作者信息页"/>
    <w:p>
      <w:pPr>
        <w:pStyle w:val="Heading1"/>
      </w:pPr>
      <w:r>
        <w:t xml:space="preserve">作者信息页</w:t>
      </w:r>
    </w:p>
    <w:bookmarkStart w:id="20" w:name="论文题目"/>
    <w:p>
      <w:pPr>
        <w:pStyle w:val="Heading2"/>
      </w:pPr>
      <w:r>
        <w:t xml:space="preserve">论文题目</w:t>
      </w:r>
    </w:p>
    <w:p>
      <w:pPr>
        <w:pStyle w:val="FirstParagraph"/>
      </w:pPr>
      <w:r>
        <w:rPr>
          <w:bCs/>
          <w:b/>
        </w:rPr>
        <w:t xml:space="preserve">中文</w:t>
      </w:r>
      <w:r>
        <w:t xml:space="preserve">：从透明性到可执行责任：政务算法治理的责任锚定机制与可查询审计</w:t>
      </w:r>
    </w:p>
    <w:p>
      <w:pPr>
        <w:pStyle w:val="BodyText"/>
      </w:pPr>
      <w:r>
        <w:rPr>
          <w:bCs/>
          <w:b/>
        </w:rPr>
        <w:t xml:space="preserve">英文</w:t>
      </w:r>
      <w:r>
        <w:t xml:space="preserve">：From Transparency to Executable Responsibility: Accountability Anchoring Mechanisms and Queryable Auditing in Government Algorithm Governance</w:t>
      </w:r>
    </w:p>
    <w:p>
      <w:r>
        <w:pict>
          <v:rect style="width:0;height:1.5pt" o:hralign="center" o:hrstd="t" o:hr="t"/>
        </w:pict>
      </w:r>
    </w:p>
    <w:bookmarkEnd w:id="20"/>
    <w:bookmarkStart w:id="22" w:name="作者信息"/>
    <w:p>
      <w:pPr>
        <w:pStyle w:val="Heading2"/>
      </w:pPr>
      <w:r>
        <w:t xml:space="preserve">作者信息</w:t>
      </w:r>
    </w:p>
    <w:p>
      <w:pPr>
        <w:pStyle w:val="FirstParagraph"/>
      </w:pPr>
      <w:r>
        <w:rPr>
          <w:bCs/>
          <w:b/>
        </w:rPr>
        <w:t xml:space="preserve">作者姓名</w:t>
      </w:r>
      <w:r>
        <w:t xml:space="preserve">：付毅</w:t>
      </w:r>
      <w:r>
        <w:br/>
      </w:r>
      <w:r>
        <w:rPr>
          <w:bCs/>
          <w:b/>
        </w:rPr>
        <w:t xml:space="preserve">拼音</w:t>
      </w:r>
      <w:r>
        <w:t xml:space="preserve">：FU Yi</w:t>
      </w:r>
      <w:r>
        <w:t xml:space="preserve"> </w:t>
      </w:r>
    </w:p>
    <w:p>
      <w:pPr>
        <w:pStyle w:val="BodyText"/>
      </w:pPr>
      <w:r>
        <w:rPr>
          <w:bCs/>
          <w:b/>
        </w:rPr>
        <w:t xml:space="preserve">作者单位</w:t>
      </w:r>
      <w:r>
        <w:t xml:space="preserve">：川北医学院后勤管理处</w:t>
      </w:r>
      <w:r>
        <w:br/>
      </w:r>
      <w:r>
        <w:rPr>
          <w:bCs/>
          <w:b/>
        </w:rPr>
        <w:t xml:space="preserve">英文单位</w:t>
      </w:r>
      <w:r>
        <w:t xml:space="preserve">：Logistics Management Office, North Sichuan Medical College</w:t>
      </w:r>
      <w:r>
        <w:br/>
      </w:r>
      <w:r>
        <w:rPr>
          <w:bCs/>
          <w:b/>
        </w:rPr>
        <w:t xml:space="preserve">地址</w:t>
      </w:r>
      <w:r>
        <w:t xml:space="preserve">：四川省南充市顺庆区大学城，637000</w:t>
      </w:r>
      <w:r>
        <w:br/>
      </w:r>
      <w:r>
        <w:rPr>
          <w:bCs/>
          <w:b/>
        </w:rPr>
        <w:t xml:space="preserve">英文地址</w:t>
      </w:r>
      <w:r>
        <w:t xml:space="preserve">：University Town, Shunqing District, Nanchong, Sichuan 637000, China</w:t>
      </w:r>
      <w:r>
        <w:t xml:space="preserve"> </w:t>
      </w:r>
    </w:p>
    <w:p>
      <w:pPr>
        <w:pStyle w:val="BodyText"/>
      </w:pPr>
      <w:r>
        <w:rPr>
          <w:bCs/>
          <w:b/>
        </w:rPr>
        <w:t xml:space="preserve">通讯作者</w:t>
      </w:r>
      <w:r>
        <w:t xml:space="preserve">：付毅</w:t>
      </w:r>
      <w:r>
        <w:br/>
      </w:r>
      <w:r>
        <w:rPr>
          <w:bCs/>
          <w:b/>
        </w:rPr>
        <w:t xml:space="preserve">电话</w:t>
      </w:r>
      <w:r>
        <w:t xml:space="preserve">：17781158558</w:t>
      </w:r>
      <w:r>
        <w:br/>
      </w:r>
      <w:r>
        <w:rPr>
          <w:bCs/>
          <w:b/>
        </w:rPr>
        <w:t xml:space="preserve">传真</w:t>
      </w:r>
      <w:r>
        <w:t xml:space="preserve">：无</w:t>
      </w:r>
      <w:r>
        <w:br/>
      </w:r>
      <w:r>
        <w:rPr>
          <w:bCs/>
          <w:b/>
        </w:rPr>
        <w:t xml:space="preserve">邮箱</w:t>
      </w:r>
      <w:r>
        <w:t xml:space="preserve">：</w:t>
      </w:r>
      <w:hyperlink r:id="rId21">
        <w:r>
          <w:rPr>
            <w:rStyle w:val="Hyperlink"/>
          </w:rPr>
          <w:t xml:space="preserve">fuyi@nsmc.edu.cn</w:t>
        </w:r>
      </w:hyperlink>
      <w:r>
        <w:t xml:space="preserve"> </w:t>
      </w:r>
    </w:p>
    <w:p>
      <w:r>
        <w:pict>
          <v:rect style="width:0;height:1.5pt" o:hralign="center" o:hrstd="t" o:hr="t"/>
        </w:pict>
      </w:r>
    </w:p>
    <w:bookmarkEnd w:id="22"/>
    <w:bookmarkStart w:id="23" w:name="基金项目"/>
    <w:p>
      <w:pPr>
        <w:pStyle w:val="Heading2"/>
      </w:pPr>
      <w:r>
        <w:t xml:space="preserve">基金项目</w:t>
      </w:r>
    </w:p>
    <w:p>
      <w:pPr>
        <w:pStyle w:val="FirstParagraph"/>
      </w:pPr>
      <w:r>
        <w:t xml:space="preserve">无</w:t>
      </w:r>
    </w:p>
    <w:p>
      <w:r>
        <w:pict>
          <v:rect style="width:0;height:1.5pt" o:hralign="center" o:hrstd="t" o:hr="t"/>
        </w:pict>
      </w:r>
    </w:p>
    <w:bookmarkEnd w:id="23"/>
    <w:bookmarkStart w:id="24" w:name="作者简介"/>
    <w:p>
      <w:pPr>
        <w:pStyle w:val="Heading2"/>
      </w:pPr>
      <w:r>
        <w:t xml:space="preserve">作者简介</w:t>
      </w:r>
    </w:p>
    <w:p>
      <w:pPr>
        <w:pStyle w:val="FirstParagraph"/>
      </w:pPr>
      <w:r>
        <w:t xml:space="preserve">付毅（1973—），男，汉族，川北医学院后勤管理处。</w:t>
      </w:r>
    </w:p>
    <w:p>
      <w:r>
        <w:pict>
          <v:rect style="width:0;height:1.5pt" o:hralign="center" o:hrstd="t" o:hr="t"/>
        </w:pict>
      </w:r>
    </w:p>
    <w:bookmarkEnd w:id="24"/>
    <w:bookmarkStart w:id="25" w:name="摘要与关键词"/>
    <w:p>
      <w:pPr>
        <w:pStyle w:val="Heading2"/>
      </w:pPr>
      <w:r>
        <w:t xml:space="preserve">摘要与关键词</w:t>
      </w:r>
    </w:p>
    <w:p>
      <w:pPr>
        <w:pStyle w:val="FirstParagraph"/>
      </w:pPr>
      <w:r>
        <w:rPr>
          <w:bCs/>
          <w:b/>
        </w:rPr>
        <w:t xml:space="preserve">中文摘要</w:t>
      </w:r>
      <w:r>
        <w:t xml:space="preserve">：</w:t>
      </w:r>
    </w:p>
    <w:p>
      <w:pPr>
        <w:pStyle w:val="BodyText"/>
      </w:pPr>
      <w:r>
        <w:t xml:space="preserve">在政务数字化与算法应用深化背景下，算法规则、模型与参数的频繁上线与变更，使治理难题从"能否解释算法"转向"能否对高影响决策形成可追溯、可审计的责任链条"。仅依赖透明性/可解释性，往往难以覆盖跨部门协同、商业敏感、黑箱模型与高频迭代等现实约束。本文提出"可执行责任"框架：将责任从文本条款与事后追责，落实为可操作的制度—技术组合，包括责任签章（授权主体签署）、约束集注册（标准版本化与引用）、安全底座/断路器（关键节点强制拦截与降级）、以及审计记录（决策—标准—证据—时间绑定）。在此基础上，本文给出机制流程图与制度要素最小集，并以健康码赋码规则上线/变更为情景化案例，说明如何用"可查询审计"替代事后叙事争辩，提升政务算法治理的可问责性与可落地性。</w:t>
      </w:r>
    </w:p>
    <w:p>
      <w:pPr>
        <w:pStyle w:val="BodyText"/>
      </w:pPr>
      <w:r>
        <w:rPr>
          <w:bCs/>
          <w:b/>
        </w:rPr>
        <w:t xml:space="preserve">关键词</w:t>
      </w:r>
      <w:r>
        <w:t xml:space="preserve">：数字治理；算法治理；可执行责任；责任锚定；可查询审计；政务信息化</w:t>
      </w:r>
    </w:p>
    <w:p>
      <w:r>
        <w:pict>
          <v:rect style="width:0;height:1.5pt" o:hralign="center" o:hrstd="t" o:hr="t"/>
        </w:pict>
      </w:r>
    </w:p>
    <w:p>
      <w:pPr>
        <w:pStyle w:val="FirstParagraph"/>
      </w:pPr>
      <w:r>
        <w:rPr>
          <w:bCs/>
          <w:b/>
        </w:rPr>
        <w:t xml:space="preserve">英文摘要</w:t>
      </w:r>
      <w:r>
        <w:t xml:space="preserve">（Abstract）：</w:t>
      </w:r>
    </w:p>
    <w:p>
      <w:pPr>
        <w:pStyle w:val="BodyText"/>
      </w:pPr>
      <w:r>
        <w:t xml:space="preserve">In the context of deepening digital government and algorithm applications, the frequent deployment and modification of algorithmic rules, models, and parameters have shifted governance challenges from "whether algorithms can be explained" to "whether traceable and auditable accountability chains can be established for high-impact decisions." Relying solely on transparency/explainability often fails to address real-world constraints such as cross-departmental coordination, commercial sensitivity, black-box models, and high-frequency iterations. This paper proposes an "Executable Responsibility" framework that transforms accountability from textual provisions and ex-post investigation into an operational institution-technology combination, including responsibility signatures (authorization by designated entities), constraint set registration (standardized versioning and referencing), safety substrate/circuit breakers (mandatory interception and degradation at critical nodes), and audit records (binding decision-standard-evidence-time). Building on this foundation, the paper provides a mechanism flowchart and a minimal set of institutional elements, using the deployment/modification of health code assignment rules as a scenario-based case to demonstrate how "queryable auditing" can replace ex-post narrative disputes, thereby enhancing the accountability and implementability of government algorithm governance.</w:t>
      </w:r>
    </w:p>
    <w:p>
      <w:pPr>
        <w:pStyle w:val="BodyText"/>
      </w:pPr>
      <w:r>
        <w:rPr>
          <w:bCs/>
          <w:b/>
        </w:rPr>
        <w:t xml:space="preserve">Keywords</w:t>
      </w:r>
      <w:r>
        <w:t xml:space="preserve">: digital governance; algorithm governance; executable responsibility; accountability anchoring; queryable auditing; e-government</w:t>
      </w:r>
    </w:p>
    <w:p>
      <w:r>
        <w:pict>
          <v:rect style="width:0;height:1.5pt" o:hralign="center" o:hrstd="t" o:hr="t"/>
        </w:pict>
      </w:r>
    </w:p>
    <w:bookmarkEnd w:id="25"/>
    <w:bookmarkStart w:id="26" w:name="声明"/>
    <w:p>
      <w:pPr>
        <w:pStyle w:val="Heading2"/>
      </w:pPr>
      <w:r>
        <w:t xml:space="preserve">声明</w:t>
      </w:r>
    </w:p>
    <w:p>
      <w:pPr>
        <w:pStyle w:val="FirstParagraph"/>
      </w:pPr>
      <w:r>
        <w:t xml:space="preserve">本文为原创成果，未在任何刊物发表，亦未一稿多投；不存在学术不端与利益冲突。</w:t>
      </w:r>
    </w:p>
    <w:p>
      <w:pPr>
        <w:pStyle w:val="BodyText"/>
      </w:pPr>
      <w:r>
        <w:t xml:space="preserve">作者签名：付毅</w:t>
      </w:r>
      <w:r>
        <w:br/>
      </w:r>
      <w:r>
        <w:t xml:space="preserve">日期：2026年2月10日</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mailto:fuyi@nsmc.edu.cn" TargetMode="External" /></Relationships>
</file>

<file path=word/_rels/footnotes.xml.rels><?xml version="1.0" encoding="UTF-8"?><Relationships xmlns="http://schemas.openxmlformats.org/package/2006/relationships"><Relationship Type="http://schemas.openxmlformats.org/officeDocument/2006/relationships/hyperlink" Id="rId21" Target="mailto:fuyi@nsmc.edu.c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2026-02-10T13:47:55Z</dcterms:created>
  <dcterms:modified xsi:type="dcterms:W3CDTF">2026-02-10T13:47:55Z</dcterms:modified>
</cp:coreProperties>
</file>

<file path=docProps/custom.xml><?xml version="1.0" encoding="utf-8"?>
<Properties xmlns="http://schemas.openxmlformats.org/officeDocument/2006/custom-properties" xmlns:vt="http://schemas.openxmlformats.org/officeDocument/2006/docPropsVTypes"/>
</file>