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从透明性到可执行责任政务算法治理的责任锚定机制与可查询审计"/>
    <w:p>
      <w:pPr>
        <w:pStyle w:val="Heading1"/>
      </w:pPr>
      <w:r>
        <w:t xml:space="preserve">从透明性到可执行责任：政务算法治理的责任锚定机制与可查询审计</w:t>
      </w:r>
    </w:p>
    <w:p>
      <w:pPr>
        <w:pStyle w:val="FirstParagraph"/>
      </w:pPr>
      <w:r>
        <w:rPr>
          <w:bCs/>
          <w:b/>
        </w:rPr>
        <w:t xml:space="preserve">目标期刊</w:t>
      </w:r>
      <w:r>
        <w:t xml:space="preserve">：《电子政务》（主投）；《中国行政管理》（备选）</w:t>
      </w:r>
      <w:r>
        <w:br/>
      </w:r>
      <w:r>
        <w:rPr>
          <w:bCs/>
          <w:b/>
        </w:rPr>
        <w:t xml:space="preserve">类型</w:t>
      </w:r>
      <w:r>
        <w:t xml:space="preserve">：数字治理 / 公共治理 / 信息治理（机制设计）</w:t>
      </w:r>
      <w:r>
        <w:br/>
      </w:r>
      <w:r>
        <w:rPr>
          <w:bCs/>
          <w:b/>
        </w:rPr>
        <w:t xml:space="preserve">状态</w:t>
      </w:r>
      <w:r>
        <w:t xml:space="preserve">：中文投稿版 v0.2</w:t>
      </w:r>
    </w:p>
    <w:p>
      <w:pPr>
        <w:pStyle w:val="BodyText"/>
      </w:pPr>
      <w:r>
        <w:rPr>
          <w:bCs/>
          <w:b/>
        </w:rPr>
        <w:t xml:space="preserve">作者</w:t>
      </w:r>
      <w:r>
        <w:t xml:space="preserve">：付毅</w:t>
      </w:r>
      <w:r>
        <w:br/>
      </w:r>
      <w:r>
        <w:rPr>
          <w:bCs/>
          <w:b/>
        </w:rPr>
        <w:t xml:space="preserve">作者单位</w:t>
      </w:r>
      <w:r>
        <w:t xml:space="preserve">：川北医学院后勤管理处，四川 南充 637000</w:t>
      </w:r>
      <w:r>
        <w:br/>
      </w:r>
      <w:r>
        <w:rPr>
          <w:bCs/>
          <w:b/>
        </w:rPr>
        <w:t xml:space="preserve">邮箱</w:t>
      </w:r>
      <w:r>
        <w:t xml:space="preserve">：</w:t>
      </w:r>
      <w:hyperlink r:id="rId20">
        <w:r>
          <w:rPr>
            <w:rStyle w:val="Hyperlink"/>
          </w:rPr>
          <w:t xml:space="preserve">fuyi@nsmc.edu.cn</w:t>
        </w:r>
      </w:hyperlink>
    </w:p>
    <w:p>
      <w:r>
        <w:pict>
          <v:rect style="width:0;height:1.5pt" o:hralign="center" o:hrstd="t" o:hr="t"/>
        </w:pict>
      </w:r>
    </w:p>
    <w:bookmarkStart w:id="21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在政务数字化与算法应用深化背景下，算法规则、模型与参数的频繁上线与变更，使治理难题从“能否解释算法”转向“能否对高影响决策形成可追溯、可审计的责任链条”。仅依赖透明性/可解释性，往往难以覆盖跨部门协同、商业敏感、黑箱模型与高频迭代等现实约束。本文提出“可执行责任”框架：将责任从文本条款与事后追责，落实为可操作的制度—技术组合，包括责任签章（授权主体签署）、约束集注册（标准版本化与引用）、安全底座/断路器（关键节点强制拦截与降级）、以及审计记录（决策—标准—证据—时间绑定）。在此基础上，本文给出机制流程图与制度要素最小集，并以健康码赋码规则上线/变更为情景化案例，说明如何用“可查询审计”替代事后叙事争辩，提升政务算法治理的可问责性与可落地性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：数字治理；算法治理；可执行责任；责任锚定；可查询审计；政务信息化</w:t>
      </w:r>
    </w:p>
    <w:p>
      <w:r>
        <w:pict>
          <v:rect style="width:0;height:1.5pt" o:hralign="center" o:hrstd="t" o:hr="t"/>
        </w:pict>
      </w:r>
    </w:p>
    <w:bookmarkEnd w:id="21"/>
    <w:bookmarkStart w:id="22" w:name="X3fc6379f04694d2cae585b82d4edda301667400"/>
    <w:p>
      <w:pPr>
        <w:pStyle w:val="Heading2"/>
      </w:pPr>
      <w:r>
        <w:t xml:space="preserve">1. 引言：算法治理的“西西弗斯神话”</w:t>
      </w:r>
    </w:p>
    <w:p>
      <w:pPr>
        <w:pStyle w:val="FirstParagraph"/>
      </w:pPr>
      <w:r>
        <w:t xml:space="preserve">近年来，各国政府出台了大量算法监管政策（如《互联网信息服务算法推荐管理规定》）。</w:t>
      </w:r>
      <w:r>
        <w:br/>
      </w:r>
      <w:r>
        <w:t xml:space="preserve">然而，监管部门面临着巨大的执法难题：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看不懂</w:t>
      </w:r>
      <w:r>
        <w:t xml:space="preserve">: 算法代码极其复杂，且实时变动。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管不住</w:t>
      </w:r>
      <w:r>
        <w:t xml:space="preserve">: 即使发现了问题，往往已造成了社会后果（如大数据杀熟、外卖骑手困境）。</w:t>
      </w:r>
      <w:r>
        <w:br/>
      </w:r>
      <w:r>
        <w:t xml:space="preserve">我们似乎在推着一块叫“合规”的巨石上山，但每当算法模型更新一次，巨石就滚落下来。</w:t>
      </w:r>
    </w:p>
    <w:bookmarkEnd w:id="22"/>
    <w:bookmarkStart w:id="23" w:name="X729ae681a723177403428bfa36a03a2f3b1b47b"/>
    <w:p>
      <w:pPr>
        <w:pStyle w:val="Heading2"/>
      </w:pPr>
      <w:r>
        <w:t xml:space="preserve">2. 困境分析：透明性的幻象</w:t>
      </w:r>
    </w:p>
    <w:p>
      <w:pPr>
        <w:pStyle w:val="FirstParagraph"/>
      </w:pPr>
      <w:r>
        <w:t xml:space="preserve">主流观点认为，只要算法公开透明，问题就解决了。</w:t>
      </w:r>
      <w:r>
        <w:br/>
      </w:r>
      <w:r>
        <w:t xml:space="preserve">这是一个幻象。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技术层面的不可知</w:t>
      </w:r>
      <w:r>
        <w:t xml:space="preserve">: 神经网络的参数是数以亿计的浮点数，公开了也无人能懂。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商业层面的博弈</w:t>
      </w:r>
      <w:r>
        <w:t xml:space="preserve">: 算法是企业的核心资产，强制公开面临巨大的法律阻力。</w:t>
      </w:r>
      <w:r>
        <w:br/>
      </w:r>
      <w:r>
        <w:t xml:space="preserve">更根本的是，</w:t>
      </w:r>
      <w:r>
        <w:rPr>
          <w:bCs/>
          <w:b/>
        </w:rPr>
        <w:t xml:space="preserve">透明不等于负责</w:t>
      </w:r>
      <w:r>
        <w:t xml:space="preserve">。我知道你为什么杀熟（因为追求利润最大化），但这并不能阻止你杀熟。</w:t>
      </w:r>
    </w:p>
    <w:bookmarkEnd w:id="23"/>
    <w:bookmarkStart w:id="24" w:name="X17ca54f12d67c6e6a919b9795a6f7e56b087fe3"/>
    <w:p>
      <w:pPr>
        <w:pStyle w:val="Heading2"/>
      </w:pPr>
      <w:r>
        <w:t xml:space="preserve">3. 理论突破：从“解释”到“约束”</w:t>
      </w:r>
    </w:p>
    <w:p>
      <w:pPr>
        <w:pStyle w:val="FirstParagraph"/>
      </w:pPr>
      <w:r>
        <w:t xml:space="preserve">我们需要从“认识论治理”（试图理解算法为什么做出某个结果）转向“制度—技术协同治理”（把治理要求编译为系统可执行的约束与拦截点）。治理的目标不是要求每个决策都“可被解释”，而是让关键决策在制度上</w:t>
      </w:r>
      <w:r>
        <w:rPr>
          <w:bCs/>
          <w:b/>
        </w:rPr>
        <w:t xml:space="preserve">可被授权、可被约束、可被记录、可被审计</w:t>
      </w:r>
      <w:r>
        <w:t xml:space="preserve">。</w:t>
      </w:r>
    </w:p>
    <w:p>
      <w:pPr>
        <w:pStyle w:val="BodyText"/>
      </w:pPr>
      <w:r>
        <w:t xml:space="preserve">本文提出</w:t>
      </w:r>
      <w:r>
        <w:t xml:space="preserve"> </w:t>
      </w:r>
      <w:r>
        <w:rPr>
          <w:bCs/>
          <w:b/>
        </w:rPr>
        <w:t xml:space="preserve">“可执行责任”（Executable Responsibility）</w:t>
      </w:r>
      <w:r>
        <w:t xml:space="preserve">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责任</w:t>
      </w:r>
      <w:r>
        <w:t xml:space="preserve">不应只存在于文本条款与事后追责中，而应落实为系统架构中的控制点（如授权签署、约束引用、断路器拦截、审计记录）。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可执行</w:t>
      </w:r>
      <w:r>
        <w:t xml:space="preserve">不等同于全自动化，而是把“谁能做决定、必须引用什么标准、需要留下什么证据”固化为可操作流程与记录结构。</w:t>
      </w:r>
    </w:p>
    <w:bookmarkEnd w:id="24"/>
    <w:bookmarkStart w:id="28" w:name="X6624a37df3db5b45f83e9faf7e0ead55e104033"/>
    <w:p>
      <w:pPr>
        <w:pStyle w:val="Heading2"/>
      </w:pPr>
      <w:r>
        <w:t xml:space="preserve">4. 机制设计：可执行责任框架（责任签章 + 约束集 + 安全底座 + 审计）</w:t>
      </w:r>
    </w:p>
    <w:bookmarkStart w:id="25" w:name="X37107a05f2d510f0db04fa2124020dbd0ee528b"/>
    <w:p>
      <w:pPr>
        <w:pStyle w:val="Heading3"/>
      </w:pPr>
      <w:r>
        <w:t xml:space="preserve">4.1 机制流程（图1）</w:t>
      </w:r>
    </w:p>
    <w:p>
      <w:pPr>
        <w:pStyle w:val="FirstParagraph"/>
      </w:pPr>
      <w:r>
        <w:t xml:space="preserve">为便于政务场景落地，本文把“可执行责任”抽象为一个可查询审计的闭环流程。</w:t>
      </w:r>
    </w:p>
    <w:p>
      <w:pPr>
        <w:pStyle w:val="SourceCode"/>
      </w:pPr>
      <w:r>
        <w:rPr>
          <w:rStyle w:val="VerbatimChar"/>
        </w:rPr>
        <w:t xml:space="preserve">治理目标：把“负责”变成可执行约束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责任签章（授权主体签署上线/变更）</w:t>
      </w:r>
      <w:r>
        <w:br/>
      </w:r>
      <w:r>
        <w:rPr>
          <w:rStyle w:val="VerbatimChar"/>
        </w:rPr>
        <w:t xml:space="preserve">   │  引用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约束集注册（标准/边界版本化）</w:t>
      </w:r>
      <w:r>
        <w:br/>
      </w:r>
      <w:r>
        <w:rPr>
          <w:rStyle w:val="VerbatimChar"/>
        </w:rPr>
        <w:t xml:space="preserve">   │  驱动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安全底座/断路器（关键节点拦截违规决策）</w:t>
      </w:r>
      <w:r>
        <w:br/>
      </w:r>
      <w:r>
        <w:rPr>
          <w:rStyle w:val="VerbatimChar"/>
        </w:rPr>
        <w:t xml:space="preserve">   │  生成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审计记录（决策 + 标准引用 + 证据摘要 + 时间戳）</w:t>
      </w:r>
      <w:r>
        <w:br/>
      </w:r>
      <w:r>
        <w:rPr>
          <w:rStyle w:val="VerbatimChar"/>
        </w:rPr>
        <w:t xml:space="preserve">   │  支持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可查询审计（谁在何标准下做了什么决定）</w:t>
      </w:r>
      <w:r>
        <w:br/>
      </w:r>
      <w:r>
        <w:rPr>
          <w:rStyle w:val="VerbatimChar"/>
        </w:rPr>
        <w:t xml:space="preserve">   │  反馈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闭环改进（复盘→更新约束集→再签章）</w:t>
      </w:r>
    </w:p>
    <w:p>
      <w:pPr>
        <w:pStyle w:val="FirstParagraph"/>
      </w:pPr>
      <w:r>
        <w:rPr>
          <w:bCs/>
          <w:b/>
        </w:rPr>
        <w:t xml:space="preserve">图1 可执行责任机制流程（建议配套矢量图）</w:t>
      </w:r>
      <w:r>
        <w:t xml:space="preserve">：见</w:t>
      </w:r>
      <w:r>
        <w:t xml:space="preserve"> </w:t>
      </w:r>
      <w:r>
        <w:rPr>
          <w:rStyle w:val="VerbatimChar"/>
        </w:rPr>
        <w:t xml:space="preserve">submission/figure1_mermaid.txt</w:t>
      </w:r>
      <w:r>
        <w:t xml:space="preserve">。</w:t>
      </w:r>
    </w:p>
    <w:bookmarkEnd w:id="25"/>
    <w:bookmarkStart w:id="26" w:name="Xfbb6ca58624f27f09957550d130faba1df83a63"/>
    <w:p>
      <w:pPr>
        <w:pStyle w:val="Heading3"/>
      </w:pPr>
      <w:r>
        <w:t xml:space="preserve">4.2 制度要素表（表1）</w:t>
      </w:r>
    </w:p>
    <w:p>
      <w:pPr>
        <w:pStyle w:val="FirstParagraph"/>
      </w:pPr>
      <w:r>
        <w:t xml:space="preserve">为避免“口号式治理”，本节给出最小制度要素，便于在政务平台、监管沙箱或行业监管接口中实现。</w:t>
      </w:r>
    </w:p>
    <w:p>
      <w:pPr>
        <w:pStyle w:val="BodyText"/>
      </w:pPr>
      <w:r>
        <w:rPr>
          <w:bCs/>
          <w:b/>
        </w:rPr>
        <w:t xml:space="preserve">表1 可执行责任的制度要素（最小集）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记录/约束要求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责任主体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具备授权的自然人/机构角色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角色与授权边界可追溯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账号体系/授权矩阵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责任签章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对上线/变更的制度性签署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“谁在何授权下签署了什么版本”可查询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上线审批/变更单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约束集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可执行或可核验的标准集合（版本化）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“无引用不放行”；版本变更留痕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规则库/政策即代码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安全底座/断路器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关键节点的强制拦截与降级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违规即阻断/降级；保留拦截证据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SDK/网关/中台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对测试/评估/核验材料的摘要承诺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可抽样复核；防事后补证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报告摘要/哈希承诺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决策—标准—证据—时间的绑定记录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追加写入、不可随意改写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审计日志/账本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例外与申诉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例外放行与纠错通道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+ 补救义务 + 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例外流程/申诉工单</w:t>
            </w:r>
          </w:p>
        </w:tc>
      </w:tr>
    </w:tbl>
    <w:bookmarkEnd w:id="26"/>
    <w:bookmarkStart w:id="27" w:name="X96f0b64d072fd70f60e54731af73a12dfa37290"/>
    <w:p>
      <w:pPr>
        <w:pStyle w:val="Heading3"/>
      </w:pPr>
      <w:r>
        <w:t xml:space="preserve">4.3 典型应用：政务算法规则与模型上线</w:t>
      </w:r>
    </w:p>
    <w:p>
      <w:pPr>
        <w:pStyle w:val="FirstParagraph"/>
      </w:pPr>
      <w:r>
        <w:t xml:space="preserve">在政务信息系统中，常见的“高影响上线/变更”包括：规则参数调整、模型版本升级、阈值策略更新、跨部门数据共享策略变更等。可执行责任框架的直接价值在于把“放行”变成可审计对象，从而让监管与问责从“解释争辩”转向“记录审计”。</w:t>
      </w:r>
    </w:p>
    <w:bookmarkEnd w:id="27"/>
    <w:bookmarkEnd w:id="28"/>
    <w:bookmarkStart w:id="29" w:name="X1cbfaab99690de0c4269214f6efdd6e7a55a917"/>
    <w:p>
      <w:pPr>
        <w:pStyle w:val="Heading2"/>
      </w:pPr>
      <w:r>
        <w:t xml:space="preserve">5. 本土化案例（政务语境表述）：以健康码/赋码规则为例</w:t>
      </w:r>
    </w:p>
    <w:p>
      <w:pPr>
        <w:pStyle w:val="FirstParagraph"/>
      </w:pPr>
      <w:r>
        <w:t xml:space="preserve">以“健康码/赋码规则上线与变更”为例，其治理困境在于：判定规则可能频繁调整、跨部门协同复杂、公众申诉成本高。若采用可执行责任：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赋码/变更即负责</w:t>
      </w:r>
      <w:r>
        <w:t xml:space="preserve">：每一次赋红码或规则变更，系统必须记录引用的约束集版本、授权主体与证据摘要。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自动解除与例外</w:t>
      </w:r>
      <w:r>
        <w:t xml:space="preserve">：对解除条件形成可执行约束；对例外放行设置 TTL 与补救义务，并形成可查询记录。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可查询审计</w:t>
      </w:r>
      <w:r>
        <w:t xml:space="preserve">：监管可通过查询定位“谁在何标准下批准了哪次规则变更”，减少事后争辩与责任转嫁。</w:t>
      </w:r>
    </w:p>
    <w:bookmarkEnd w:id="29"/>
    <w:bookmarkStart w:id="30" w:name="Xf6c859d9751d85a1f5593d7ac479c111cad87d7"/>
    <w:p>
      <w:pPr>
        <w:pStyle w:val="Heading2"/>
      </w:pPr>
      <w:r>
        <w:t xml:space="preserve">6. 讨论与局限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落地成本与组织摩擦</w:t>
      </w:r>
      <w:r>
        <w:t xml:space="preserve">：可执行责任会引入审批、证据生成与记录管理成本。建议采取风险分级：对高影响变更强制事件化，对低风险变更抽样审计。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形式主义风险</w:t>
      </w:r>
      <w:r>
        <w:t xml:space="preserve">：若将“有记录”误当作“已负责”，可能产生合规剧场。应配套抽样复核、例外频率审计与证据复现审计。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隐私与最小必要记录</w:t>
      </w:r>
      <w:r>
        <w:t xml:space="preserve">：政务场景记录结构应坚持最小必要原则，明确哪些字段用于问责、哪些字段属于敏感信息并采取脱敏与受控访问。</w:t>
      </w:r>
    </w:p>
    <w:bookmarkEnd w:id="30"/>
    <w:bookmarkStart w:id="31" w:name="Xe40a002227a6b87e9d880e68d93c488d70b6e52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算法治理的出路，不在于把系统变得更“可解释”，而在于把责任变得</w:t>
      </w:r>
      <w:r>
        <w:rPr>
          <w:bCs/>
          <w:b/>
        </w:rPr>
        <w:t xml:space="preserve">可执行、可记录、可审计</w:t>
      </w:r>
      <w:r>
        <w:t xml:space="preserve">。本文提出的“可执行责任”框架以责任签章、约束集注册、安全底座与断路器拦截、以及审计记录为最小组合，能够在不强制单一技术路线的前提下，把政务场景中高影响决策的放行流程转化为可查询的责任链条，为“事前可约束、事中可拦截、事后可审计”的政务算法治理提供一种可操作路径。</w:t>
      </w:r>
    </w:p>
    <w:bookmarkEnd w:id="31"/>
    <w:bookmarkStart w:id="32" w:name="参考文献候选待按期刊格式统一"/>
    <w:p>
      <w:pPr>
        <w:pStyle w:val="Heading2"/>
      </w:pPr>
      <w:r>
        <w:t xml:space="preserve">参考文献（候选，待按期刊格式统一）</w:t>
      </w:r>
    </w:p>
    <w:p>
      <w:pPr>
        <w:pStyle w:val="FirstParagraph"/>
      </w:pPr>
      <w:r>
        <w:t xml:space="preserve">[1] 国家互联网信息办公室. 互联网信息服务算法推荐管理规定[Z]. 2022.</w:t>
      </w:r>
      <w:r>
        <w:br/>
      </w:r>
      <w:r>
        <w:t xml:space="preserve">[2] 中华人民共和国个人信息保护法[Z]. 2021.</w:t>
      </w:r>
      <w:r>
        <w:br/>
      </w:r>
      <w:r>
        <w:t xml:space="preserve">[3] Diakopoulos N. Accountability in algorithmic decision making[J]. Communications of the ACM, 2016, 59(2): 56–62.</w:t>
      </w:r>
      <w:r>
        <w:br/>
      </w:r>
      <w:r>
        <w:t xml:space="preserve">[4] Kroll J A, Huey J, Barocas S, et al. Accountable algorithms[J]. University of Pennsylvania Law Review, 2017, 165(3): 633–705.</w:t>
      </w:r>
      <w:r>
        <w:br/>
      </w:r>
      <w:r>
        <w:t xml:space="preserve">[5] Raji I D, Smart A, White R N, et al. Closing the AI accountability gap: Defining an end-to-end framework for internal algorithmic auditing[C]//FAT*. 2020.</w:t>
      </w:r>
      <w:r>
        <w:br/>
      </w:r>
      <w:r>
        <w:t xml:space="preserve">[6] Power M. The Audit Society: Rituals of Verification[M]. Oxford University Press, 1997.</w:t>
      </w:r>
      <w:r>
        <w:br/>
      </w:r>
      <w:r>
        <w:t xml:space="preserve">[7] Souppaya M, Scarfone K, Dodson D. Secure Software Development Framework (SSDF) Version 1.1[R]. NIST SP 800-218, 2022.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fuyi@nsmc.edu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fuyi@nsmc.edu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2026-02-10T13:47:01Z</dcterms:created>
  <dcterms:modified xsi:type="dcterms:W3CDTF">2026-02-10T13:47:01Z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