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软件工程经济学视角下的产出物资产化治理从维护负债到可信资产"/>
    <w:p>
      <w:pPr>
        <w:pStyle w:val="Heading1"/>
      </w:pPr>
      <w:r>
        <w:t xml:space="preserve">软件工程经济学视角下的产出物资产化治理：从维护负债到可信资产</w:t>
      </w:r>
    </w:p>
    <w:p>
      <w:pPr>
        <w:pStyle w:val="FirstParagraph"/>
      </w:pPr>
      <w:r>
        <w:rPr>
          <w:bCs/>
          <w:b/>
        </w:rPr>
        <w:t xml:space="preserve">Artifact Assetization Governance from the Perspective of Software Engineering Economics: From Maintenance Liability to Trusted Assets</w:t>
      </w:r>
    </w:p>
    <w:p>
      <w:pPr>
        <w:pStyle w:val="BodyText"/>
      </w:pPr>
      <w:r>
        <w:rPr>
          <w:bCs/>
          <w:b/>
        </w:rPr>
        <w:t xml:space="preserve">作者</w:t>
      </w:r>
      <w:r>
        <w:t xml:space="preserve">：付毅</w:t>
      </w:r>
      <w:r>
        <w:br/>
      </w:r>
      <w:r>
        <w:rPr>
          <w:bCs/>
          <w:b/>
        </w:rPr>
        <w:t xml:space="preserve">Author</w:t>
      </w:r>
      <w:r>
        <w:t xml:space="preserve">: FU Yi</w:t>
      </w:r>
      <w:r>
        <w:t xml:space="preserve"> </w:t>
      </w:r>
    </w:p>
    <w:p>
      <w:pPr>
        <w:pStyle w:val="BodyText"/>
      </w:pPr>
      <w:r>
        <w:rPr>
          <w:bCs/>
          <w:b/>
        </w:rPr>
        <w:t xml:space="preserve">作者单位</w:t>
      </w:r>
      <w:r>
        <w:t xml:space="preserve">：川北医学院 后勤管理处，四川 南充 637000</w:t>
      </w:r>
      <w:r>
        <w:br/>
      </w:r>
      <w:r>
        <w:rPr>
          <w:bCs/>
          <w:b/>
        </w:rPr>
        <w:t xml:space="preserve">Affiliation</w:t>
      </w:r>
      <w:r>
        <w:t xml:space="preserve">: Logistics Management Office, North Sichuan Medical College, Nanchong, Sichuan 637000, China</w:t>
      </w:r>
    </w:p>
    <w:p>
      <w:pPr>
        <w:pStyle w:val="BodyText"/>
      </w:pPr>
      <w:r>
        <w:rPr>
          <w:bCs/>
          <w:b/>
        </w:rPr>
        <w:t xml:space="preserve">关键词</w:t>
      </w:r>
      <w:r>
        <w:t xml:space="preserve">：软件工程经济学；软件资产化；封板机制；维护义务契约；产出物治理；信创战略；存在性负债</w:t>
      </w:r>
    </w:p>
    <w:p>
      <w:pPr>
        <w:pStyle w:val="BodyText"/>
      </w:pPr>
      <w:r>
        <w:rPr>
          <w:bCs/>
          <w:b/>
        </w:rPr>
        <w:t xml:space="preserve">Keywords</w:t>
      </w:r>
      <w:r>
        <w:t xml:space="preserve">: software engineering economics; software assetization; sealing mechanism; maintenance obligation contract; artifact governance; Xinchuang strategy; existential maintenance liability</w:t>
      </w:r>
    </w:p>
    <w:p>
      <w:r>
        <w:pict>
          <v:rect style="width:0;height:1.5pt" o:hralign="center" o:hrstd="t" o:hr="t"/>
        </w:pict>
      </w:r>
    </w:p>
    <w:bookmarkStart w:id="20" w:name="术语速查表"/>
    <w:p>
      <w:pPr>
        <w:pStyle w:val="Heading2"/>
      </w:pPr>
      <w:r>
        <w:t xml:space="preserve">术语速查表</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术语</w:t>
            </w:r>
          </w:p>
        </w:tc>
        <w:tc>
          <w:tcPr/>
          <w:p>
            <w:pPr>
              <w:pStyle w:val="Compact"/>
              <w:jc w:val="left"/>
            </w:pPr>
            <w:r>
              <w:t xml:space="preserve">英文</w:t>
            </w:r>
          </w:p>
        </w:tc>
        <w:tc>
          <w:tcPr/>
          <w:p>
            <w:pPr>
              <w:pStyle w:val="Compact"/>
              <w:jc w:val="left"/>
            </w:pPr>
            <w:r>
              <w:t xml:space="preserve">简要定义</w:t>
            </w:r>
          </w:p>
        </w:tc>
      </w:tr>
      <w:tr>
        <w:tc>
          <w:tcPr/>
          <w:p>
            <w:pPr>
              <w:pStyle w:val="Compact"/>
              <w:jc w:val="left"/>
            </w:pPr>
            <w:r>
              <w:rPr>
                <w:bCs/>
                <w:b/>
              </w:rPr>
              <w:t xml:space="preserve">存在性负债 (EML)</w:t>
            </w:r>
          </w:p>
        </w:tc>
        <w:tc>
          <w:tcPr/>
          <w:p>
            <w:pPr>
              <w:pStyle w:val="Compact"/>
              <w:jc w:val="left"/>
            </w:pPr>
            <w:r>
              <w:t xml:space="preserve">Existential Maintenance Liability</w:t>
            </w:r>
          </w:p>
        </w:tc>
        <w:tc>
          <w:tcPr/>
          <w:p>
            <w:pPr>
              <w:pStyle w:val="Compact"/>
              <w:jc w:val="left"/>
            </w:pPr>
            <w:r>
              <w:t xml:space="preserve">代码部署后因持续维护义务而形成的隐性经济负担</w:t>
            </w:r>
          </w:p>
        </w:tc>
      </w:tr>
      <w:tr>
        <w:tc>
          <w:tcPr/>
          <w:p>
            <w:pPr>
              <w:pStyle w:val="Compact"/>
              <w:jc w:val="left"/>
            </w:pPr>
            <w:r>
              <w:rPr>
                <w:bCs/>
                <w:b/>
              </w:rPr>
              <w:t xml:space="preserve">封板</w:t>
            </w:r>
          </w:p>
        </w:tc>
        <w:tc>
          <w:tcPr/>
          <w:p>
            <w:pPr>
              <w:pStyle w:val="Compact"/>
              <w:jc w:val="left"/>
            </w:pPr>
            <w:r>
              <w:t xml:space="preserve">Sealing</w:t>
            </w:r>
          </w:p>
        </w:tc>
        <w:tc>
          <w:tcPr/>
          <w:p>
            <w:pPr>
              <w:pStyle w:val="Compact"/>
              <w:jc w:val="left"/>
            </w:pPr>
            <w:r>
              <w:t xml:space="preserve">通过技术与管理手段锁定产出物状态，将维护义务从"连续无限"转为"资产单元级、可审计"</w:t>
            </w:r>
          </w:p>
        </w:tc>
      </w:tr>
      <w:tr>
        <w:tc>
          <w:tcPr/>
          <w:p>
            <w:pPr>
              <w:pStyle w:val="Compact"/>
              <w:jc w:val="left"/>
            </w:pPr>
            <w:r>
              <w:rPr>
                <w:bCs/>
                <w:b/>
              </w:rPr>
              <w:t xml:space="preserve">解封</w:t>
            </w:r>
          </w:p>
        </w:tc>
        <w:tc>
          <w:tcPr/>
          <w:p>
            <w:pPr>
              <w:pStyle w:val="Compact"/>
              <w:jc w:val="left"/>
            </w:pPr>
            <w:r>
              <w:t xml:space="preserve">Unsealing</w:t>
            </w:r>
          </w:p>
        </w:tc>
        <w:tc>
          <w:tcPr/>
          <w:p>
            <w:pPr>
              <w:pStyle w:val="Compact"/>
              <w:jc w:val="left"/>
            </w:pPr>
            <w:r>
              <w:t xml:space="preserve">对已封板资产进行修改，使其重新进入流变状态并恢复维护负债</w:t>
            </w:r>
          </w:p>
        </w:tc>
      </w:tr>
      <w:tr>
        <w:tc>
          <w:tcPr/>
          <w:p>
            <w:pPr>
              <w:pStyle w:val="Compact"/>
              <w:jc w:val="left"/>
            </w:pPr>
            <w:r>
              <w:rPr>
                <w:bCs/>
                <w:b/>
              </w:rPr>
              <w:t xml:space="preserve">再封板</w:t>
            </w:r>
          </w:p>
        </w:tc>
        <w:tc>
          <w:tcPr/>
          <w:p>
            <w:pPr>
              <w:pStyle w:val="Compact"/>
              <w:jc w:val="left"/>
            </w:pPr>
            <w:r>
              <w:t xml:space="preserve">Re-sealing</w:t>
            </w:r>
          </w:p>
        </w:tc>
        <w:tc>
          <w:tcPr/>
          <w:p>
            <w:pPr>
              <w:pStyle w:val="Compact"/>
              <w:jc w:val="left"/>
            </w:pPr>
            <w:r>
              <w:t xml:space="preserve">变更完成后重新执行封板流程，闭合治理环</w:t>
            </w:r>
          </w:p>
        </w:tc>
      </w:tr>
      <w:tr>
        <w:tc>
          <w:tcPr/>
          <w:p>
            <w:pPr>
              <w:pStyle w:val="Compact"/>
              <w:jc w:val="left"/>
            </w:pPr>
            <w:r>
              <w:rPr>
                <w:bCs/>
                <w:b/>
              </w:rPr>
              <w:t xml:space="preserve">SBOM</w:t>
            </w:r>
          </w:p>
        </w:tc>
        <w:tc>
          <w:tcPr/>
          <w:p>
            <w:pPr>
              <w:pStyle w:val="Compact"/>
              <w:jc w:val="left"/>
            </w:pPr>
            <w:r>
              <w:t xml:space="preserve">Software Bill of Materials</w:t>
            </w:r>
          </w:p>
        </w:tc>
        <w:tc>
          <w:tcPr/>
          <w:p>
            <w:pPr>
              <w:pStyle w:val="Compact"/>
              <w:jc w:val="left"/>
            </w:pPr>
            <w:r>
              <w:t xml:space="preserve">软件物料清单，记录产出物全部依赖及来源</w:t>
            </w:r>
          </w:p>
        </w:tc>
      </w:tr>
      <w:tr>
        <w:tc>
          <w:tcPr/>
          <w:p>
            <w:pPr>
              <w:pStyle w:val="Compact"/>
              <w:jc w:val="left"/>
            </w:pPr>
            <w:r>
              <w:rPr>
                <w:bCs/>
                <w:b/>
              </w:rPr>
              <w:t xml:space="preserve">SLSA</w:t>
            </w:r>
          </w:p>
        </w:tc>
        <w:tc>
          <w:tcPr/>
          <w:p>
            <w:pPr>
              <w:pStyle w:val="Compact"/>
              <w:jc w:val="left"/>
            </w:pPr>
            <w:r>
              <w:t xml:space="preserve">Supply-chain Levels for Software Artifacts</w:t>
            </w:r>
          </w:p>
        </w:tc>
        <w:tc>
          <w:tcPr/>
          <w:p>
            <w:pPr>
              <w:pStyle w:val="Compact"/>
              <w:jc w:val="left"/>
            </w:pPr>
            <w:r>
              <w:t xml:space="preserve">谷歌主导的软件供应链安全成熟度框架</w:t>
            </w:r>
          </w:p>
        </w:tc>
      </w:tr>
      <w:tr>
        <w:tc>
          <w:tcPr/>
          <w:p>
            <w:pPr>
              <w:pStyle w:val="Compact"/>
              <w:jc w:val="left"/>
            </w:pPr>
            <w:r>
              <w:rPr>
                <w:bCs/>
                <w:b/>
              </w:rPr>
              <w:t xml:space="preserve">MTTR</w:t>
            </w:r>
          </w:p>
        </w:tc>
        <w:tc>
          <w:tcPr/>
          <w:p>
            <w:pPr>
              <w:pStyle w:val="Compact"/>
              <w:jc w:val="left"/>
            </w:pPr>
            <w:r>
              <w:t xml:space="preserve">Mean Time To Recovery</w:t>
            </w:r>
          </w:p>
        </w:tc>
        <w:tc>
          <w:tcPr/>
          <w:p>
            <w:pPr>
              <w:pStyle w:val="Compact"/>
              <w:jc w:val="left"/>
            </w:pPr>
            <w:r>
              <w:t xml:space="preserve">平均故障恢复时间</w:t>
            </w:r>
          </w:p>
        </w:tc>
      </w:tr>
      <w:tr>
        <w:tc>
          <w:tcPr/>
          <w:p>
            <w:pPr>
              <w:pStyle w:val="Compact"/>
              <w:jc w:val="left"/>
            </w:pPr>
            <w:r>
              <w:rPr>
                <w:bCs/>
                <w:b/>
              </w:rPr>
              <w:t xml:space="preserve">RTO</w:t>
            </w:r>
          </w:p>
        </w:tc>
        <w:tc>
          <w:tcPr/>
          <w:p>
            <w:pPr>
              <w:pStyle w:val="Compact"/>
              <w:jc w:val="left"/>
            </w:pPr>
            <w:r>
              <w:t xml:space="preserve">Recovery Time Objective</w:t>
            </w:r>
          </w:p>
        </w:tc>
        <w:tc>
          <w:tcPr/>
          <w:p>
            <w:pPr>
              <w:pStyle w:val="Compact"/>
              <w:jc w:val="left"/>
            </w:pPr>
            <w:r>
              <w:t xml:space="preserve">业务可容忍的最大恢复时间目标</w:t>
            </w:r>
          </w:p>
        </w:tc>
      </w:tr>
    </w:tbl>
    <w:p>
      <w:r>
        <w:pict>
          <v:rect style="width:0;height:1.5pt" o:hralign="center" o:hrstd="t" o:hr="t"/>
        </w:pict>
      </w:r>
    </w:p>
    <w:bookmarkEnd w:id="20"/>
    <w:bookmarkStart w:id="21" w:name="摘要"/>
    <w:p>
      <w:pPr>
        <w:pStyle w:val="Heading2"/>
      </w:pPr>
      <w:r>
        <w:t xml:space="preserve">摘要</w:t>
      </w:r>
    </w:p>
    <w:p>
      <w:pPr>
        <w:pStyle w:val="FirstParagraph"/>
      </w:pPr>
      <w:r>
        <w:t xml:space="preserve">软件维护成本在大型传统行业中常占IT预算70%以上，凸显传统"代码即资产"认知的局限。本文提出基于</w:t>
      </w:r>
      <w:r>
        <w:t xml:space="preserve"> </w:t>
      </w:r>
      <w:r>
        <w:rPr>
          <w:bCs/>
          <w:b/>
        </w:rPr>
        <w:t xml:space="preserve">"维护义务契约"</w:t>
      </w:r>
      <w:r>
        <w:t xml:space="preserve"> </w:t>
      </w:r>
      <w:r>
        <w:t xml:space="preserve">的治理框架，将源代码视为</w:t>
      </w:r>
      <w:r>
        <w:t xml:space="preserve"> </w:t>
      </w:r>
      <w:r>
        <w:rPr>
          <w:bCs/>
          <w:b/>
        </w:rPr>
        <w:t xml:space="preserve">承载了沉重维护义务的</w:t>
      </w:r>
      <w:r>
        <w:t xml:space="preserve"> </w:t>
      </w:r>
      <w:r>
        <w:rPr>
          <w:bCs/>
          <w:b/>
        </w:rPr>
        <w:t xml:space="preserve">"存在性负债"（EML）</w:t>
      </w:r>
      <w:r>
        <w:t xml:space="preserve">。不同于传统视代码为静态资产的视角，本文认为：未经治理的代码，其持续维护成本往往掩盖了其业务价值，呈现出显著的负债特征。核心机制</w:t>
      </w:r>
      <w:r>
        <w:t xml:space="preserve"> </w:t>
      </w:r>
      <w:r>
        <w:rPr>
          <w:bCs/>
          <w:b/>
        </w:rPr>
        <w:t xml:space="preserve">"封板"</w:t>
      </w:r>
      <w:r>
        <w:t xml:space="preserve"> </w:t>
      </w:r>
      <w:r>
        <w:t xml:space="preserve">通过标准化操作锁定责任边界，将流变代码转化为功能确定、可度量的产出物资产。创新点在于：1) 提炼EML概念，与技术债范式形成互补；2) 构建"封板强度谱系"及"解封-再封板"动态闭环；3) 结合人员高流动与信创需求，提供本土化实施路径。通过银行核心系统改造的复合示范案例，系统展示框架应用，为构建可信软件资产管理体系提供兼具理论深度与操作性的解决方案。</w:t>
      </w:r>
    </w:p>
    <w:bookmarkEnd w:id="21"/>
    <w:bookmarkStart w:id="22" w:name="abstract"/>
    <w:p>
      <w:pPr>
        <w:pStyle w:val="Heading2"/>
      </w:pPr>
      <w:r>
        <w:t xml:space="preserve">Abstract</w:t>
      </w:r>
    </w:p>
    <w:p>
      <w:pPr>
        <w:pStyle w:val="FirstParagraph"/>
      </w:pPr>
      <w:r>
        <w:t xml:space="preserve">Software maintenance costs often exceed 70% of IT budgets in large traditional industries, highlighting the limitations of the conventional "code as asset" paradigm. This paper proposes a governance framework based on the "Maintenance Obligation Contract," treating source code as "Existential Maintenance Liability" (EML) that carries significant maintenance obligations. Unlike the traditional view of code as a static asset, this paper argues that ungoverned code, with its ongoing maintenance costs, often overshadows its business value and exhibits significant liability characteristics.</w:t>
      </w:r>
    </w:p>
    <w:p>
      <w:pPr>
        <w:pStyle w:val="BodyText"/>
      </w:pPr>
      <w:r>
        <w:t xml:space="preserve">The core mechanism, "Sealing," locks responsibility boundaries through standardized operations, transforming fluid code into functionally deterministic and measurable artifact assets. The sealing mechanism is distinguished from conventional release practices: while release is an outward-facing delivery action, sealing is an inward-facing governance operation that explicitly freezes maintenance responsibilities and cost boundaries. This paper introduces a "sealing intensity spectrum" ranging from strong sealing (e.g., signed container images with SBOM) to weak sealing (e.g., CI-passed Git commits), enabling organizations to balance asset determinism against change agility.</w:t>
      </w:r>
    </w:p>
    <w:p>
      <w:pPr>
        <w:pStyle w:val="BodyText"/>
      </w:pPr>
      <w:r>
        <w:t xml:space="preserve">Furthermore, this framework incorporates dynamic governance through "unsealing" and "re-sealing" mechanisms. When a sealed asset requires modification, it triggers an unsealing event that restores the asset to a fluid state and reactivates maintenance liabilities. To prevent governance degradation, clear unsealing thresholds and re-sealing deadlines are established. A multi-dimensional risk assessment framework is also proposed, evaluating code modules across cognitive load, change frequency, dependency stability, responsibility clarity, and failure history dimensions.</w:t>
      </w:r>
    </w:p>
    <w:p>
      <w:pPr>
        <w:pStyle w:val="BodyText"/>
      </w:pPr>
      <w:r>
        <w:t xml:space="preserve">The innovations include: 1) refining the EML concept as a complement to the technical debt paradigm; 2) constructing a "sealing intensity spectrum" and "unsealing-resealing" dynamic closed-loop; 3) providing localized implementation paths tailored to China's high personnel mobility and Xinchuang (indigenous innovation) strategy requirements. Through a composite demonstration case of bank core system transformation, this paper systematically demonstrates the framework's application, offering a solution with both theoretical depth and operational feasibility for building trusted software asset management systems.</w:t>
      </w:r>
    </w:p>
    <w:p>
      <w:r>
        <w:pict>
          <v:rect style="width:0;height:1.5pt" o:hralign="center" o:hrstd="t" o:hr="t"/>
        </w:pict>
      </w:r>
    </w:p>
    <w:bookmarkEnd w:id="22"/>
    <w:bookmarkStart w:id="23" w:name="一-引言"/>
    <w:p>
      <w:pPr>
        <w:pStyle w:val="Heading2"/>
      </w:pPr>
      <w:r>
        <w:t xml:space="preserve">一、 引言</w:t>
      </w:r>
    </w:p>
    <w:p>
      <w:pPr>
        <w:pStyle w:val="FirstParagraph"/>
      </w:pPr>
      <w:r>
        <w:t xml:space="preserve">国内金融、电信等行业核心系统动辄承载千万行遗留代码，年度维护成本可达初始投资数倍[1]，且因代码缺陷引发的业务中断风险时有发生[2]。传统技术债理论聚焦"决策性债务"，却难以解释为何结构优良的代码同样随系统老化而沦为维护重负。</w:t>
      </w:r>
    </w:p>
    <w:p>
      <w:pPr>
        <w:pStyle w:val="BodyText"/>
      </w:pPr>
      <w:r>
        <w:rPr>
          <w:bCs/>
          <w:b/>
        </w:rPr>
        <w:t xml:space="preserve">贯穿案例</w:t>
      </w:r>
      <w:r>
        <w:t xml:space="preserve">：某全国性股份制银行核心的COBOL"利息计算模块"（约50万行代码），作为影响千万级客户的核心组件，其唯一精通专家临近退休，文档缺失。据统计，其单次功能适配平均需3人月，年度隐性维护成本（含人力、故障处置、合规适配）超百万元，已成为典型"负资产"。</w:t>
      </w:r>
    </w:p>
    <w:p>
      <w:pPr>
        <w:pStyle w:val="BodyText"/>
      </w:pPr>
      <w:r>
        <w:t xml:space="preserve">本文认为，软件的价值实现于其可预期的、可靠的行为，而非静态的代码文本。基于在多个大型组织中的实践观察，我们总结出</w:t>
      </w:r>
      <w:r>
        <w:t xml:space="preserve"> </w:t>
      </w:r>
      <w:r>
        <w:rPr>
          <w:bCs/>
          <w:b/>
        </w:rPr>
        <w:t xml:space="preserve">维护义务契约</w:t>
      </w:r>
      <w:r>
        <w:t xml:space="preserve"> </w:t>
      </w:r>
      <w:r>
        <w:t xml:space="preserve">的分析框架：</w:t>
      </w:r>
      <w:r>
        <w:rPr>
          <w:bCs/>
          <w:b/>
        </w:rPr>
        <w:t xml:space="preserve">源代码因承载组织关于长期维护的隐性契约而成为"存在性负债"；软件工程的核心经济活动，是通过"封板"机制，系统性将此负债转化为可验证、可流通的"产出物资产"。</w:t>
      </w:r>
      <w:r>
        <w:t xml:space="preserve"> </w:t>
      </w:r>
      <w:r>
        <w:t xml:space="preserve">本文的核心论点并非否定代码的资产属性，而是指出：</w:t>
      </w:r>
      <w:r>
        <w:rPr>
          <w:bCs/>
          <w:b/>
        </w:rPr>
        <w:t xml:space="preserve">未经有效治理（封板）的代码，其隐性的、持续增长的维护负债往往吞噬了其作为资产的价值。</w:t>
      </w:r>
    </w:p>
    <w:p>
      <w:pPr>
        <w:pStyle w:val="BlockText"/>
      </w:pPr>
      <w:r>
        <w:rPr>
          <w:bCs/>
          <w:b/>
        </w:rPr>
        <w:t xml:space="preserve">本文核心贡献</w:t>
      </w:r>
      <w:r>
        <w:t xml:space="preserve">：</w:t>
      </w:r>
    </w:p>
    <w:p>
      <w:pPr>
        <w:numPr>
          <w:ilvl w:val="0"/>
          <w:numId w:val="1001"/>
        </w:numPr>
        <w:pStyle w:val="BlockText"/>
      </w:pPr>
      <w:r>
        <w:rPr>
          <w:bCs/>
          <w:b/>
        </w:rPr>
        <w:t xml:space="preserve">概念提炼</w:t>
      </w:r>
      <w:r>
        <w:t xml:space="preserve">：提炼"存在性负债"（EML）概念，明确其与技术债的范式差异。</w:t>
      </w:r>
    </w:p>
    <w:p>
      <w:pPr>
        <w:numPr>
          <w:ilvl w:val="0"/>
          <w:numId w:val="1001"/>
        </w:numPr>
        <w:pStyle w:val="BlockText"/>
      </w:pPr>
      <w:r>
        <w:rPr>
          <w:bCs/>
          <w:b/>
        </w:rPr>
        <w:t xml:space="preserve">机制总结</w:t>
      </w:r>
      <w:r>
        <w:t xml:space="preserve">：总结"封板"强度谱系，并引入"解封"与"再封板"概念，形成可落地的动态治理闭环。</w:t>
      </w:r>
    </w:p>
    <w:p>
      <w:pPr>
        <w:numPr>
          <w:ilvl w:val="0"/>
          <w:numId w:val="1001"/>
        </w:numPr>
        <w:pStyle w:val="BlockText"/>
      </w:pPr>
      <w:r>
        <w:rPr>
          <w:bCs/>
          <w:b/>
        </w:rPr>
        <w:t xml:space="preserve">本土适配</w:t>
      </w:r>
      <w:r>
        <w:t xml:space="preserve">：紧扣中国人员高流动性市场特征与信创战略，阐明"产出物资产化"的实施路径。</w:t>
      </w:r>
    </w:p>
    <w:bookmarkEnd w:id="23"/>
    <w:bookmarkStart w:id="30" w:name="二-理论基础"/>
    <w:p>
      <w:pPr>
        <w:pStyle w:val="Heading2"/>
      </w:pPr>
      <w:r>
        <w:t xml:space="preserve">二、 理论基础</w:t>
      </w:r>
    </w:p>
    <w:bookmarkStart w:id="24" w:name="Xf8ae7feac08357f289d705a287a160b83b5ee6d"/>
    <w:p>
      <w:pPr>
        <w:pStyle w:val="Heading3"/>
      </w:pPr>
      <w:r>
        <w:t xml:space="preserve">2.1 核心经验命题与理论推演</w:t>
      </w:r>
    </w:p>
    <w:p>
      <w:pPr>
        <w:pStyle w:val="FirstParagraph"/>
      </w:pPr>
      <w:r>
        <w:t xml:space="preserve">本框架建立在三个广泛可观察的软件工程经验命题之上：</w:t>
      </w:r>
    </w:p>
    <w:p>
      <w:pPr>
        <w:pStyle w:val="BodyText"/>
      </w:pPr>
      <w:r>
        <w:rPr>
          <w:bCs/>
          <w:b/>
        </w:rPr>
        <w:t xml:space="preserve">命题一（流变性）</w:t>
      </w:r>
      <w:r>
        <w:t xml:space="preserve">：处于活跃维护状态的源代码，其功能、依赖与环境通常随时间持续演进（流变）。</w:t>
      </w:r>
      <w:r>
        <w:br/>
      </w:r>
      <w:r>
        <w:rPr>
          <w:bCs/>
          <w:b/>
        </w:rPr>
        <w:t xml:space="preserve">命题二（维护义务）</w:t>
      </w:r>
      <w:r>
        <w:t xml:space="preserve">：组织对已部署并产生业务价值的代码，负有确保其持续正确运行的默示维护义务。</w:t>
      </w:r>
      <w:r>
        <w:br/>
      </w:r>
      <w:r>
        <w:rPr>
          <w:bCs/>
          <w:b/>
        </w:rPr>
        <w:t xml:space="preserve">命题三（成本伴生）</w:t>
      </w:r>
      <w:r>
        <w:t xml:space="preserve">：履行维护义务需持续投入经济资源（人力、计算、管理成本）。</w:t>
      </w:r>
    </w:p>
    <w:p>
      <w:pPr>
        <w:pStyle w:val="BodyText"/>
      </w:pPr>
      <w:r>
        <w:rPr>
          <w:bCs/>
          <w:b/>
        </w:rPr>
        <w:t xml:space="preserve">由此可形成本文核心推论</w:t>
      </w:r>
      <w:r>
        <w:t xml:space="preserve">：</w:t>
      </w:r>
    </w:p>
    <w:p>
      <w:pPr>
        <w:numPr>
          <w:ilvl w:val="0"/>
          <w:numId w:val="1002"/>
        </w:numPr>
      </w:pPr>
      <w:r>
        <w:rPr>
          <w:bCs/>
          <w:b/>
        </w:rPr>
        <w:t xml:space="preserve">存在性负债</w:t>
      </w:r>
      <w:r>
        <w:t xml:space="preserve">：由命题一与命题二，流变的代码往往绑定未来持续的维护义务；由命题三，该义务通常意味着确定的未来经济成本流出。因此，</w:t>
      </w:r>
      <w:r>
        <w:rPr>
          <w:bCs/>
          <w:b/>
        </w:rPr>
        <w:t xml:space="preserve">持续演进的代码在经济学意义上可视为一项"存在性负债"（Existential Maintenance Liability, EML）</w:t>
      </w:r>
      <w:r>
        <w:t xml:space="preserve">。</w:t>
      </w:r>
    </w:p>
    <w:p>
      <w:pPr>
        <w:numPr>
          <w:ilvl w:val="0"/>
          <w:numId w:val="1002"/>
        </w:numPr>
      </w:pPr>
      <w:r>
        <w:rPr>
          <w:bCs/>
          <w:b/>
        </w:rPr>
        <w:t xml:space="preserve">封板的价值</w:t>
      </w:r>
      <w:r>
        <w:t xml:space="preserve">：若要终止此项负债的无限累积，最直接且可审计的途径是</w:t>
      </w:r>
      <w:r>
        <w:rPr>
          <w:bCs/>
          <w:b/>
        </w:rPr>
        <w:t xml:space="preserve">终止其流变性</w:t>
      </w:r>
      <w:r>
        <w:t xml:space="preserve">（打破命题一）。这需要一种机制，将代码从"流变"状态转化为"确定"状态。本文称其为</w:t>
      </w:r>
      <w:r>
        <w:t xml:space="preserve"> </w:t>
      </w:r>
      <w:r>
        <w:rPr>
          <w:bCs/>
          <w:b/>
        </w:rPr>
        <w:t xml:space="preserve">"封板"（Sealing）</w:t>
      </w:r>
      <w:r>
        <w:t xml:space="preserve">。</w:t>
      </w:r>
    </w:p>
    <w:p>
      <w:pPr>
        <w:numPr>
          <w:ilvl w:val="0"/>
          <w:numId w:val="1002"/>
        </w:numPr>
      </w:pPr>
      <w:r>
        <w:rPr>
          <w:bCs/>
          <w:b/>
        </w:rPr>
        <w:t xml:space="preserve">动态治理的闭环</w:t>
      </w:r>
      <w:r>
        <w:t xml:space="preserve">：封板并非一劳永逸。当外部需求或环境迫使已封板的资产必须修改时（即"解封"），该资产即</w:t>
      </w:r>
      <w:r>
        <w:rPr>
          <w:bCs/>
          <w:b/>
        </w:rPr>
        <w:t xml:space="preserve">重新回归"流变"状态</w:t>
      </w:r>
      <w:r>
        <w:t xml:space="preserve">，维护义务与成本负债也随之恢复（</w:t>
      </w:r>
      <w:r>
        <w:rPr>
          <w:bCs/>
          <w:b/>
        </w:rPr>
        <w:t xml:space="preserve">再负债化</w:t>
      </w:r>
      <w:r>
        <w:t xml:space="preserve">，即资产重新承载维护义务）。</w:t>
      </w:r>
    </w:p>
    <w:bookmarkEnd w:id="24"/>
    <w:bookmarkStart w:id="25" w:name="X89ab3556f22a3fdfbbd3ae248820e7ff65edc5c"/>
    <w:p>
      <w:pPr>
        <w:pStyle w:val="Heading3"/>
      </w:pPr>
      <w:r>
        <w:t xml:space="preserve">2.2 存在性负债与技术债：范式比较与演进</w:t>
      </w:r>
    </w:p>
    <w:p>
      <w:pPr>
        <w:pStyle w:val="FirstParagraph"/>
      </w:pPr>
      <w:r>
        <w:t xml:space="preserve">技术债理论[3]开创了用经济隐喻分析软件质量的先河。软件维护成本的量化与管理，长期以来是软件经济学（Boehm &amp; Papaccio， 1988）[12]的核心关切。近期研究（Ampatzoglou et al., 2019）[13]也愈发关注技术债的金融属性。本文提出的EML实现了视角转换，两者在以下维度存在本质差异：</w:t>
      </w:r>
    </w:p>
    <w:p>
      <w:pPr>
        <w:pStyle w:val="BodyText"/>
      </w:pPr>
      <w:r>
        <w:rPr>
          <w:bCs/>
          <w:b/>
        </w:rPr>
        <w:t xml:space="preserve">表1 存在性负债（EML）与技术债的范式比较</w:t>
      </w:r>
      <w:r>
        <w:br/>
      </w:r>
      <w:r>
        <w:rPr>
          <w:bCs/>
          <w:b/>
        </w:rPr>
        <w:t xml:space="preserve">Table 1 Paradigm comparison between EML and technical debt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技术债 (Technical Debt)</w:t>
            </w:r>
          </w:p>
        </w:tc>
        <w:tc>
          <w:tcPr/>
          <w:p>
            <w:pPr>
              <w:pStyle w:val="Compact"/>
              <w:jc w:val="left"/>
            </w:pPr>
            <w:r>
              <w:t xml:space="preserve">存在性负债 (EML)</w:t>
            </w:r>
          </w:p>
        </w:tc>
      </w:tr>
      <w:tr>
        <w:tc>
          <w:tcPr/>
          <w:p>
            <w:pPr>
              <w:pStyle w:val="Compact"/>
              <w:jc w:val="left"/>
            </w:pPr>
            <w:r>
              <w:rPr>
                <w:bCs/>
                <w:b/>
              </w:rPr>
              <w:t xml:space="preserve">本质</w:t>
            </w:r>
          </w:p>
        </w:tc>
        <w:tc>
          <w:tcPr/>
          <w:p>
            <w:pPr>
              <w:pStyle w:val="Compact"/>
              <w:jc w:val="left"/>
            </w:pPr>
            <w:r>
              <w:t xml:space="preserve">为换取速度而做出的</w:t>
            </w:r>
            <w:r>
              <w:rPr>
                <w:bCs/>
                <w:b/>
              </w:rPr>
              <w:t xml:space="preserve">技术妥协</w:t>
            </w:r>
          </w:p>
        </w:tc>
        <w:tc>
          <w:tcPr/>
          <w:p>
            <w:pPr>
              <w:pStyle w:val="Compact"/>
              <w:jc w:val="left"/>
            </w:pPr>
            <w:r>
              <w:t xml:space="preserve">软件存在所固有的</w:t>
            </w:r>
            <w:r>
              <w:rPr>
                <w:bCs/>
                <w:b/>
              </w:rPr>
              <w:t xml:space="preserve">维护义务契约</w:t>
            </w:r>
          </w:p>
        </w:tc>
      </w:tr>
      <w:tr>
        <w:tc>
          <w:tcPr/>
          <w:p>
            <w:pPr>
              <w:pStyle w:val="Compact"/>
              <w:jc w:val="left"/>
            </w:pPr>
            <w:r>
              <w:rPr>
                <w:bCs/>
                <w:b/>
              </w:rPr>
              <w:t xml:space="preserve">产生时点</w:t>
            </w:r>
          </w:p>
        </w:tc>
        <w:tc>
          <w:tcPr/>
          <w:p>
            <w:pPr>
              <w:pStyle w:val="Compact"/>
              <w:jc w:val="left"/>
            </w:pPr>
            <w:r>
              <w:rPr>
                <w:bCs/>
                <w:b/>
              </w:rPr>
              <w:t xml:space="preserve">决策时点</w:t>
            </w:r>
            <w:r>
              <w:t xml:space="preserve">明确（如为赶工写坏代码）</w:t>
            </w:r>
          </w:p>
        </w:tc>
        <w:tc>
          <w:tcPr/>
          <w:p>
            <w:pPr>
              <w:pStyle w:val="Compact"/>
              <w:jc w:val="left"/>
            </w:pPr>
            <w:r>
              <w:rPr>
                <w:bCs/>
                <w:b/>
              </w:rPr>
              <w:t xml:space="preserve">存在即产生</w:t>
            </w:r>
            <w:r>
              <w:t xml:space="preserve">，随代码部署而默示生效</w:t>
            </w:r>
          </w:p>
        </w:tc>
      </w:tr>
      <w:tr>
        <w:tc>
          <w:tcPr/>
          <w:p>
            <w:pPr>
              <w:pStyle w:val="Compact"/>
              <w:jc w:val="left"/>
            </w:pPr>
            <w:r>
              <w:rPr>
                <w:bCs/>
                <w:b/>
              </w:rPr>
              <w:t xml:space="preserve">偿还方式</w:t>
            </w:r>
          </w:p>
        </w:tc>
        <w:tc>
          <w:tcPr/>
          <w:p>
            <w:pPr>
              <w:pStyle w:val="Compact"/>
              <w:jc w:val="left"/>
            </w:pPr>
            <w:r>
              <w:rPr>
                <w:bCs/>
                <w:b/>
              </w:rPr>
              <w:t xml:space="preserve">重构/重写</w:t>
            </w:r>
            <w:r>
              <w:t xml:space="preserve">（改善代码结构）</w:t>
            </w:r>
          </w:p>
        </w:tc>
        <w:tc>
          <w:tcPr/>
          <w:p>
            <w:pPr>
              <w:pStyle w:val="Compact"/>
              <w:jc w:val="left"/>
            </w:pPr>
            <w:r>
              <w:rPr>
                <w:bCs/>
                <w:b/>
              </w:rPr>
              <w:t xml:space="preserve">封板</w:t>
            </w:r>
            <w:r>
              <w:t xml:space="preserve">（锁定状态，转型维护义务形态）</w:t>
            </w:r>
          </w:p>
        </w:tc>
      </w:tr>
      <w:tr>
        <w:tc>
          <w:tcPr/>
          <w:p>
            <w:pPr>
              <w:pStyle w:val="Compact"/>
              <w:jc w:val="left"/>
            </w:pPr>
            <w:r>
              <w:rPr>
                <w:bCs/>
                <w:b/>
              </w:rPr>
              <w:t xml:space="preserve">计量核心</w:t>
            </w:r>
          </w:p>
        </w:tc>
        <w:tc>
          <w:tcPr/>
          <w:p>
            <w:pPr>
              <w:pStyle w:val="Compact"/>
              <w:jc w:val="left"/>
            </w:pPr>
            <w:r>
              <w:rPr>
                <w:bCs/>
                <w:b/>
              </w:rPr>
              <w:t xml:space="preserve">利息</w:t>
            </w:r>
            <w:r>
              <w:t xml:space="preserve">（随时间增加的额外维护成本）</w:t>
            </w:r>
          </w:p>
        </w:tc>
        <w:tc>
          <w:tcPr/>
          <w:p>
            <w:pPr>
              <w:pStyle w:val="Compact"/>
              <w:jc w:val="left"/>
            </w:pPr>
            <w:r>
              <w:rPr>
                <w:bCs/>
                <w:b/>
              </w:rPr>
              <w:t xml:space="preserve">本金现值</w:t>
            </w:r>
            <w:r>
              <w:t xml:space="preserve">（未来维护义务的预期总成本折现）</w:t>
            </w:r>
          </w:p>
        </w:tc>
      </w:tr>
      <w:tr>
        <w:tc>
          <w:tcPr/>
          <w:p>
            <w:pPr>
              <w:pStyle w:val="Compact"/>
              <w:jc w:val="left"/>
            </w:pPr>
            <w:r>
              <w:rPr>
                <w:bCs/>
                <w:b/>
              </w:rPr>
              <w:t xml:space="preserve">管理目标</w:t>
            </w:r>
          </w:p>
        </w:tc>
        <w:tc>
          <w:tcPr/>
          <w:p>
            <w:pPr>
              <w:pStyle w:val="Compact"/>
              <w:jc w:val="left"/>
            </w:pPr>
            <w:r>
              <w:t xml:space="preserve">优化代码质量，降低长期成本</w:t>
            </w:r>
          </w:p>
        </w:tc>
        <w:tc>
          <w:tcPr/>
          <w:p>
            <w:pPr>
              <w:pStyle w:val="Compact"/>
              <w:jc w:val="left"/>
            </w:pPr>
            <w:r>
              <w:t xml:space="preserve">明晰责任边界，将不确定义务转化为可控资产</w:t>
            </w:r>
          </w:p>
        </w:tc>
      </w:tr>
    </w:tbl>
    <w:p>
      <w:pPr>
        <w:pStyle w:val="BodyText"/>
      </w:pPr>
      <w:r>
        <w:t xml:space="preserve">技术债关注"如何把代码写得更好"，而EML关注"如何让写好的代码不再成为组织的负担"。后者是前者的治理升维。</w:t>
      </w:r>
    </w:p>
    <w:bookmarkEnd w:id="25"/>
    <w:bookmarkStart w:id="26" w:name="X57be350a5d4b89a1fff5e4f4869fc2fcd589a3b"/>
    <w:p>
      <w:pPr>
        <w:pStyle w:val="Heading3"/>
      </w:pPr>
      <w:r>
        <w:t xml:space="preserve">2.3 与既有工程概念的谱系定位</w:t>
      </w:r>
    </w:p>
    <w:p>
      <w:pPr>
        <w:pStyle w:val="FirstParagraph"/>
      </w:pPr>
      <w:r>
        <w:t xml:space="preserve">"封板"在技术操作层借鉴了"基线"、"不可变基础设施"等思想，但其独特价值在于</w:t>
      </w:r>
      <w:r>
        <w:rPr>
          <w:bCs/>
          <w:b/>
        </w:rPr>
        <w:t xml:space="preserve">治理意图的升维</w:t>
      </w:r>
      <w:r>
        <w:t xml:space="preserve">：</w:t>
      </w:r>
    </w:p>
    <w:p>
      <w:pPr>
        <w:numPr>
          <w:ilvl w:val="0"/>
          <w:numId w:val="1003"/>
        </w:numPr>
      </w:pPr>
      <w:r>
        <w:rPr>
          <w:bCs/>
          <w:b/>
        </w:rPr>
        <w:t xml:space="preserve">基线 (Baseline)</w:t>
      </w:r>
      <w:r>
        <w:t xml:space="preserve">：是</w:t>
      </w:r>
      <w:r>
        <w:rPr>
          <w:bCs/>
          <w:b/>
        </w:rPr>
        <w:t xml:space="preserve">配置管理</w:t>
      </w:r>
      <w:r>
        <w:t xml:space="preserve">概念，目标为"版本控制与回溯"。</w:t>
      </w:r>
    </w:p>
    <w:p>
      <w:pPr>
        <w:numPr>
          <w:ilvl w:val="0"/>
          <w:numId w:val="1003"/>
        </w:numPr>
      </w:pPr>
      <w:r>
        <w:rPr>
          <w:bCs/>
          <w:b/>
        </w:rPr>
        <w:t xml:space="preserve">发布 (Release)</w:t>
      </w:r>
      <w:r>
        <w:t xml:space="preserve">：是</w:t>
      </w:r>
      <w:r>
        <w:rPr>
          <w:bCs/>
          <w:b/>
        </w:rPr>
        <w:t xml:space="preserve">交付流程</w:t>
      </w:r>
      <w:r>
        <w:t xml:space="preserve">概念，目标为"将新功能提供给用户"。</w:t>
      </w:r>
    </w:p>
    <w:p>
      <w:pPr>
        <w:numPr>
          <w:ilvl w:val="0"/>
          <w:numId w:val="1003"/>
        </w:numPr>
      </w:pPr>
      <w:r>
        <w:rPr>
          <w:bCs/>
          <w:b/>
        </w:rPr>
        <w:t xml:space="preserve">不可变基础设施 (Immutable Infrastructure)</w:t>
      </w:r>
      <w:r>
        <w:t xml:space="preserve">：是</w:t>
      </w:r>
      <w:r>
        <w:rPr>
          <w:bCs/>
          <w:b/>
        </w:rPr>
        <w:t xml:space="preserve">运维范式</w:t>
      </w:r>
      <w:r>
        <w:t xml:space="preserve">，目标为提升环境一致性、简化部署与回滚。</w:t>
      </w:r>
    </w:p>
    <w:p>
      <w:pPr>
        <w:numPr>
          <w:ilvl w:val="0"/>
          <w:numId w:val="1003"/>
        </w:numPr>
      </w:pPr>
      <w:r>
        <w:rPr>
          <w:bCs/>
          <w:b/>
        </w:rPr>
        <w:t xml:space="preserve">封板 (Sealing)</w:t>
      </w:r>
      <w:r>
        <w:t xml:space="preserve">：是</w:t>
      </w:r>
      <w:r>
        <w:rPr>
          <w:bCs/>
          <w:b/>
        </w:rPr>
        <w:t xml:space="preserve">治理与经济学</w:t>
      </w:r>
      <w:r>
        <w:t xml:space="preserve">概念，其目标是通过技术上的"不可变"来实现</w:t>
      </w:r>
      <w:r>
        <w:t xml:space="preserve"> </w:t>
      </w:r>
      <w:r>
        <w:rPr>
          <w:bCs/>
          <w:b/>
        </w:rPr>
        <w:t xml:space="preserve">"维护责任的显式冻结"</w:t>
      </w:r>
      <w:r>
        <w:t xml:space="preserve"> </w:t>
      </w:r>
      <w:r>
        <w:t xml:space="preserve">与</w:t>
      </w:r>
      <w:r>
        <w:t xml:space="preserve"> </w:t>
      </w:r>
      <w:r>
        <w:rPr>
          <w:bCs/>
          <w:b/>
        </w:rPr>
        <w:t xml:space="preserve">"成本边界的清晰划定"</w:t>
      </w:r>
      <w:r>
        <w:t xml:space="preserve"> </w:t>
      </w:r>
      <w:r>
        <w:t xml:space="preserve">。简言之，"不可变"是封板的</w:t>
      </w:r>
      <w:r>
        <w:rPr>
          <w:bCs/>
          <w:b/>
        </w:rPr>
        <w:t xml:space="preserve">技术手段</w:t>
      </w:r>
      <w:r>
        <w:t xml:space="preserve">，而"责任与成本锁定"是封板的</w:t>
      </w:r>
      <w:r>
        <w:rPr>
          <w:bCs/>
          <w:b/>
        </w:rPr>
        <w:t xml:space="preserve">管理目的</w:t>
      </w:r>
      <w:r>
        <w:t xml:space="preserve">。</w:t>
      </w:r>
    </w:p>
    <w:p>
      <w:pPr>
        <w:pStyle w:val="FirstParagraph"/>
      </w:pPr>
      <w:r>
        <w:t xml:space="preserve">"封板"是将传统的工程控制点，转化为</w:t>
      </w:r>
      <w:r>
        <w:rPr>
          <w:bCs/>
          <w:b/>
        </w:rPr>
        <w:t xml:space="preserve">经济责任的结算点</w:t>
      </w:r>
      <w:r>
        <w:t xml:space="preserve">。</w:t>
      </w:r>
    </w:p>
    <w:bookmarkEnd w:id="26"/>
    <w:bookmarkStart w:id="28" w:name="X8a247785941ef839fa4f09e575e13e7c86675cc"/>
    <w:p>
      <w:pPr>
        <w:pStyle w:val="Heading3"/>
      </w:pPr>
      <w:r>
        <w:t xml:space="preserve">2.4 管理视角下的"类负债义务"属性</w:t>
      </w:r>
    </w:p>
    <w:p>
      <w:pPr>
        <w:pStyle w:val="FirstParagraph"/>
      </w:pPr>
      <w:r>
        <w:t xml:space="preserve">软件"存在性负债"在管理实质上可类比于会计准则中的"预计负债"[4]，它是由过去开发行为形成的现时义务，导致未来经济利益很可能流出。这为在</w:t>
      </w:r>
      <w:r>
        <w:rPr>
          <w:bCs/>
          <w:b/>
        </w:rPr>
        <w:t xml:space="preserve">企业管理层面</w:t>
      </w:r>
      <w:r>
        <w:t xml:space="preserve">建立"技术负债风险附录"提供了分析框架。</w:t>
      </w:r>
    </w:p>
    <w:p>
      <w:pPr>
        <w:pStyle w:val="BodyText"/>
      </w:pPr>
      <w:r>
        <w:rPr>
          <w:bCs/>
          <w:b/>
        </w:rPr>
        <w:t xml:space="preserve">需要强调的是，本文使用的"存在性负债"及"类负债义务"等术语，均用于管理会计（Management Accounting）与内部治理分析范畴，旨在提供风险量化与成本管理的决策框架。它们不构成《企业会计准则》下需在财务报表中确认、计量与披露的法定负债（Financial Liability）依据。</w:t>
      </w:r>
      <w:r>
        <w:rPr>
          <w:rStyle w:val="FootnoteReference"/>
        </w:rPr>
        <w:footnoteReference w:id="27"/>
      </w:r>
    </w:p>
    <w:bookmarkEnd w:id="28"/>
    <w:bookmarkStart w:id="29" w:name="Xc6194a9c7af0a7caf2c94c7771f4c52bf8f97c6"/>
    <w:p>
      <w:pPr>
        <w:pStyle w:val="Heading3"/>
      </w:pPr>
      <w:r>
        <w:t xml:space="preserve">2.5 信创战略与供应链经济学下的软件资产可信性</w:t>
      </w:r>
    </w:p>
    <w:p>
      <w:pPr>
        <w:pStyle w:val="FirstParagraph"/>
      </w:pPr>
      <w:r>
        <w:t xml:space="preserve">在软件供应链高度复杂与开源"公地悲剧"[5]并存的今天，SBOM（软件物料清单）[6]、SLSA框架[7]等实践推动了资产可信化。</w:t>
      </w:r>
      <w:r>
        <w:rPr>
          <w:bCs/>
          <w:b/>
        </w:rPr>
        <w:t xml:space="preserve">"封板"实质是构建"可验证产权边界"</w:t>
      </w:r>
      <w:r>
        <w:t xml:space="preserve">，以降低供应链中的信任成本。</w:t>
      </w:r>
    </w:p>
    <w:p>
      <w:pPr>
        <w:pStyle w:val="BodyText"/>
      </w:pPr>
      <w:r>
        <w:t xml:space="preserve">中国</w:t>
      </w:r>
      <w:r>
        <w:t xml:space="preserve"> </w:t>
      </w:r>
      <w:r>
        <w:rPr>
          <w:bCs/>
          <w:b/>
        </w:rPr>
        <w:t xml:space="preserve">"信创"</w:t>
      </w:r>
      <w:r>
        <w:t xml:space="preserve">（信息技术应用创新）战略从国家层面强化了软件供应链自主可控要求[11]。企业的"封板"实践（签名、SBOM），正是对接国家战略、将外部合规压力转化为内部治理升级的关键桥梁。</w:t>
      </w:r>
    </w:p>
    <w:bookmarkEnd w:id="29"/>
    <w:bookmarkEnd w:id="30"/>
    <w:bookmarkStart w:id="33" w:name="三-核心框架存在性负债与风险评估"/>
    <w:p>
      <w:pPr>
        <w:pStyle w:val="Heading2"/>
      </w:pPr>
      <w:r>
        <w:t xml:space="preserve">三、 核心框架：存在性负债与风险评估</w:t>
      </w:r>
    </w:p>
    <w:bookmarkStart w:id="31" w:name="Xe5e6a895d7e696f70179239a10a4965fcd41077"/>
    <w:p>
      <w:pPr>
        <w:pStyle w:val="Heading3"/>
      </w:pPr>
      <w:r>
        <w:t xml:space="preserve">3.1 "存在性负债"与"维护义务契约"</w:t>
      </w:r>
    </w:p>
    <w:p>
      <w:pPr>
        <w:pStyle w:val="FirstParagraph"/>
      </w:pPr>
      <w:r>
        <w:t xml:space="preserve">定义：</w:t>
      </w:r>
      <w:r>
        <w:rPr>
          <w:bCs/>
          <w:b/>
        </w:rPr>
        <w:t xml:space="preserve">软件源代码的"存在性负债"（Existential Maintenance Liability, EML），指源于组织默认或明示的"长期维护义务契约"，并为履行该契约而预期需持续投入经济资源的现时义务。</w:t>
      </w:r>
    </w:p>
    <w:p>
      <w:pPr>
        <w:pStyle w:val="BodyText"/>
      </w:pPr>
      <w:r>
        <w:rPr>
          <w:bCs/>
          <w:b/>
        </w:rPr>
        <w:t xml:space="preserve">概念图解</w:t>
      </w:r>
      <w:r>
        <w:t xml:space="preserve">：下图勾勒了从代码到资产的动态管理闭环（图1）：</w:t>
      </w:r>
    </w:p>
    <w:p>
      <w:pPr>
        <w:pStyle w:val="SourceCode"/>
      </w:pPr>
      <w:r>
        <w:rPr>
          <w:rStyle w:val="VerbatimChar"/>
        </w:rPr>
        <w:t xml:space="preserve">┌─────────────┐</w:t>
      </w:r>
      <w:r>
        <w:br/>
      </w:r>
      <w:r>
        <w:rPr>
          <w:rStyle w:val="VerbatimChar"/>
        </w:rPr>
        <w:t xml:space="preserve">│   源代码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存在性负债 (EML)     │</w:t>
      </w:r>
      <w:r>
        <w:br/>
      </w:r>
      <w:r>
        <w:rPr>
          <w:rStyle w:val="VerbatimChar"/>
        </w:rPr>
        <w:t xml:space="preserve">│   （维护义务载体）        │</w:t>
      </w:r>
      <w:r>
        <w:br/>
      </w:r>
      <w:r>
        <w:rPr>
          <w:rStyle w:val="VerbatimChar"/>
        </w:rPr>
        <w:t xml:space="preserve">└──────────┬──────────────┘</w:t>
      </w:r>
      <w:r>
        <w:br/>
      </w:r>
      <w:r>
        <w:rPr>
          <w:rStyle w:val="VerbatimChar"/>
        </w:rPr>
        <w:t xml:space="preserve">           │ 封板机制</w:t>
      </w:r>
      <w:r>
        <w:br/>
      </w:r>
      <w:r>
        <w:rPr>
          <w:rStyle w:val="VerbatimChar"/>
        </w:rPr>
        <w:t xml:space="preserve">           ▼</w:t>
      </w:r>
      <w:r>
        <w:br/>
      </w:r>
      <w:r>
        <w:rPr>
          <w:rStyle w:val="VerbatimChar"/>
        </w:rPr>
        <w:t xml:space="preserve">┌─────────────────────────┐</w:t>
      </w:r>
      <w:r>
        <w:br/>
      </w:r>
      <w:r>
        <w:rPr>
          <w:rStyle w:val="VerbatimChar"/>
        </w:rPr>
        <w:t xml:space="preserve">│      产出物资产          │◄───────────┐</w:t>
      </w:r>
      <w:r>
        <w:br/>
      </w:r>
      <w:r>
        <w:rPr>
          <w:rStyle w:val="VerbatimChar"/>
        </w:rPr>
        <w:t xml:space="preserve">│ （功能确定、责任锁定）    │            │</w:t>
      </w:r>
      <w:r>
        <w:br/>
      </w:r>
      <w:r>
        <w:rPr>
          <w:rStyle w:val="VerbatimChar"/>
        </w:rPr>
        <w:t xml:space="preserve">└──────────┬──────────────┘            │</w:t>
      </w:r>
      <w:r>
        <w:br/>
      </w:r>
      <w:r>
        <w:rPr>
          <w:rStyle w:val="VerbatimChar"/>
        </w:rPr>
        <w:t xml:space="preserve">           │ 封板衰减                   │</w:t>
      </w:r>
      <w:r>
        <w:br/>
      </w:r>
      <w:r>
        <w:rPr>
          <w:rStyle w:val="VerbatimChar"/>
        </w:rPr>
        <w:t xml:space="preserve">           ▼                           │</w:t>
      </w:r>
      <w:r>
        <w:br/>
      </w:r>
      <w:r>
        <w:rPr>
          <w:rStyle w:val="VerbatimChar"/>
        </w:rPr>
        <w:t xml:space="preserve">┌─────────────────────────┐            │</w:t>
      </w:r>
      <w:r>
        <w:br/>
      </w:r>
      <w:r>
        <w:rPr>
          <w:rStyle w:val="VerbatimChar"/>
        </w:rPr>
        <w:t xml:space="preserve">│    风险预警 / 失效       │            │</w:t>
      </w:r>
      <w:r>
        <w:br/>
      </w:r>
      <w:r>
        <w:rPr>
          <w:rStyle w:val="VerbatimChar"/>
        </w:rPr>
        <w:t xml:space="preserve">│（技术过时、需求变更）     │            │</w:t>
      </w:r>
      <w:r>
        <w:br/>
      </w:r>
      <w:r>
        <w:rPr>
          <w:rStyle w:val="VerbatimChar"/>
        </w:rPr>
        <w:t xml:space="preserve">└──────────┬──────────────┘            │</w:t>
      </w:r>
      <w:r>
        <w:br/>
      </w:r>
      <w:r>
        <w:rPr>
          <w:rStyle w:val="VerbatimChar"/>
        </w:rPr>
        <w:t xml:space="preserve">           │ 解封应急                   │ 再封板</w:t>
      </w:r>
      <w:r>
        <w:br/>
      </w:r>
      <w:r>
        <w:rPr>
          <w:rStyle w:val="VerbatimChar"/>
        </w:rPr>
        <w:t xml:space="preserve">           ▼                           │</w:t>
      </w:r>
      <w:r>
        <w:br/>
      </w:r>
      <w:r>
        <w:rPr>
          <w:rStyle w:val="VerbatimChar"/>
        </w:rPr>
        <w:t xml:space="preserve">┌─────────────────────────┐            │</w:t>
      </w:r>
      <w:r>
        <w:br/>
      </w:r>
      <w:r>
        <w:rPr>
          <w:rStyle w:val="VerbatimChar"/>
        </w:rPr>
        <w:t xml:space="preserve">│       再负债化           │────────────┘</w:t>
      </w:r>
      <w:r>
        <w:br/>
      </w:r>
      <w:r>
        <w:rPr>
          <w:rStyle w:val="VerbatimChar"/>
        </w:rPr>
        <w:t xml:space="preserve">│（流变性恢复、责任模糊）   │</w:t>
      </w:r>
      <w:r>
        <w:br/>
      </w:r>
      <w:r>
        <w:rPr>
          <w:rStyle w:val="VerbatimChar"/>
        </w:rPr>
        <w:t xml:space="preserve">└─────────────────────────┘</w:t>
      </w:r>
    </w:p>
    <w:p>
      <w:pPr>
        <w:pStyle w:val="FirstParagraph"/>
      </w:pPr>
      <w:r>
        <w:rPr>
          <w:bCs/>
          <w:b/>
        </w:rPr>
        <w:t xml:space="preserve">图1 存在性负债与封板治理闭环</w:t>
      </w:r>
      <w:r>
        <w:br/>
      </w:r>
      <w:r>
        <w:rPr>
          <w:bCs/>
          <w:b/>
        </w:rPr>
        <w:t xml:space="preserve">Fig.1 Existential maintenance liability and sealing governance closed-loop</w:t>
      </w:r>
    </w:p>
    <w:p>
      <w:pPr>
        <w:pStyle w:val="BodyText"/>
      </w:pPr>
      <w:r>
        <w:rPr>
          <w:bCs/>
          <w:b/>
        </w:rPr>
        <w:t xml:space="preserve">"维护义务契约"的实践意涵</w:t>
      </w:r>
      <w:r>
        <w:t xml:space="preserve">：此概念植根于工程实践中的</w:t>
      </w:r>
      <w:r>
        <w:t xml:space="preserve"> </w:t>
      </w:r>
      <w:r>
        <w:rPr>
          <w:bCs/>
          <w:b/>
        </w:rPr>
        <w:t xml:space="preserve">"运维责任"</w:t>
      </w:r>
      <w:r>
        <w:t xml:space="preserve">，在软件语境下特指组织对已部署代码持续的、默示的照管责任。</w:t>
      </w:r>
    </w:p>
    <w:bookmarkEnd w:id="31"/>
    <w:bookmarkStart w:id="32" w:name="X6e22744fcb545d7f4a51cc1c6edc1f29a9595b6"/>
    <w:p>
      <w:pPr>
        <w:pStyle w:val="Heading3"/>
      </w:pPr>
      <w:r>
        <w:t xml:space="preserve">3.2 存在性负债的多维风险评估框架</w:t>
      </w:r>
    </w:p>
    <w:p>
      <w:pPr>
        <w:pStyle w:val="FirstParagraph"/>
      </w:pPr>
      <w:r>
        <w:rPr>
          <w:bCs/>
          <w:b/>
        </w:rPr>
        <w:t xml:space="preserve">说明</w:t>
      </w:r>
      <w:r>
        <w:t xml:space="preserve">：下表为</w:t>
      </w:r>
      <w:r>
        <w:rPr>
          <w:bCs/>
          <w:b/>
        </w:rPr>
        <w:t xml:space="preserve">风险等级评估工具</w:t>
      </w:r>
      <w:r>
        <w:t xml:space="preserve">，其输出用于内部管理优先级排序，而非财务会计计量。</w:t>
      </w:r>
    </w:p>
    <w:p>
      <w:pPr>
        <w:pStyle w:val="BodyText"/>
      </w:pPr>
      <w:r>
        <w:rPr>
          <w:bCs/>
          <w:b/>
        </w:rPr>
        <w:t xml:space="preserve">表2 代码"存在性负债"风险评估框架</w:t>
      </w:r>
      <w:r>
        <w:br/>
      </w:r>
      <w:r>
        <w:rPr>
          <w:bCs/>
          <w:b/>
        </w:rPr>
        <w:t xml:space="preserve">Table 2 Risk assessment framework for code EML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低风险 (1分)</w:t>
            </w:r>
          </w:p>
        </w:tc>
        <w:tc>
          <w:tcPr/>
          <w:p>
            <w:pPr>
              <w:pStyle w:val="Compact"/>
              <w:jc w:val="left"/>
            </w:pPr>
            <w:r>
              <w:t xml:space="preserve">中风险 (2分)</w:t>
            </w:r>
          </w:p>
        </w:tc>
        <w:tc>
          <w:tcPr/>
          <w:p>
            <w:pPr>
              <w:pStyle w:val="Compact"/>
              <w:jc w:val="left"/>
            </w:pPr>
            <w:r>
              <w:t xml:space="preserve">高风险 (3分)</w:t>
            </w:r>
          </w:p>
        </w:tc>
        <w:tc>
          <w:tcPr/>
          <w:p>
            <w:pPr>
              <w:pStyle w:val="Compact"/>
              <w:jc w:val="left"/>
            </w:pPr>
            <w:r>
              <w:rPr>
                <w:bCs/>
                <w:b/>
              </w:rPr>
              <w:t xml:space="preserve">高流动性市场影响</w:t>
            </w:r>
          </w:p>
        </w:tc>
        <w:tc>
          <w:tcPr/>
          <w:p>
            <w:pPr>
              <w:pStyle w:val="Compact"/>
              <w:jc w:val="left"/>
            </w:pPr>
            <w:r>
              <w:rPr>
                <w:bCs/>
                <w:b/>
              </w:rPr>
              <w:t xml:space="preserve">供应链安全要求</w:t>
            </w:r>
          </w:p>
        </w:tc>
      </w:tr>
      <w:tr>
        <w:tc>
          <w:tcPr/>
          <w:p>
            <w:pPr>
              <w:pStyle w:val="Compact"/>
              <w:jc w:val="left"/>
            </w:pPr>
            <w:r>
              <w:rPr>
                <w:bCs/>
                <w:b/>
              </w:rPr>
              <w:t xml:space="preserve">认知负荷</w:t>
            </w:r>
          </w:p>
        </w:tc>
        <w:tc>
          <w:tcPr/>
          <w:p>
            <w:pPr>
              <w:pStyle w:val="Compact"/>
              <w:jc w:val="left"/>
            </w:pPr>
            <w:r>
              <w:t xml:space="preserve">模块独立，文档完整。</w:t>
            </w:r>
          </w:p>
        </w:tc>
        <w:tc>
          <w:tcPr/>
          <w:p>
            <w:pPr>
              <w:pStyle w:val="Compact"/>
              <w:jc w:val="left"/>
            </w:pPr>
            <w:r>
              <w:t xml:space="preserve">耦合增加，文档部分过时。</w:t>
            </w:r>
          </w:p>
        </w:tc>
        <w:tc>
          <w:tcPr/>
          <w:p>
            <w:pPr>
              <w:pStyle w:val="Compact"/>
              <w:jc w:val="left"/>
            </w:pPr>
            <w:r>
              <w:t xml:space="preserve">高度耦合，文档缺失，逻辑晦涩。</w:t>
            </w:r>
          </w:p>
        </w:tc>
        <w:tc>
          <w:tcPr/>
          <w:p>
            <w:pPr>
              <w:pStyle w:val="Compact"/>
              <w:jc w:val="left"/>
            </w:pPr>
            <w:r>
              <w:rPr>
                <w:bCs/>
                <w:b/>
              </w:rPr>
              <w:t xml:space="preserve">权重高</w:t>
            </w:r>
            <w:r>
              <w:t xml:space="preserve">：知识易流失</w:t>
            </w:r>
          </w:p>
        </w:tc>
        <w:tc>
          <w:tcPr/>
          <w:p>
            <w:pPr>
              <w:pStyle w:val="Compact"/>
              <w:jc w:val="left"/>
            </w:pPr>
            <w:r>
              <w:t xml:space="preserve">常规</w:t>
            </w:r>
          </w:p>
        </w:tc>
      </w:tr>
      <w:tr>
        <w:tc>
          <w:tcPr/>
          <w:p>
            <w:pPr>
              <w:pStyle w:val="Compact"/>
              <w:jc w:val="left"/>
            </w:pPr>
            <w:r>
              <w:rPr>
                <w:bCs/>
                <w:b/>
              </w:rPr>
              <w:t xml:space="preserve">变更频率</w:t>
            </w:r>
          </w:p>
        </w:tc>
        <w:tc>
          <w:tcPr/>
          <w:p>
            <w:pPr>
              <w:pStyle w:val="Compact"/>
              <w:jc w:val="left"/>
            </w:pPr>
            <w:r>
              <w:t xml:space="preserve">年均&lt;1次。</w:t>
            </w:r>
          </w:p>
        </w:tc>
        <w:tc>
          <w:tcPr/>
          <w:p>
            <w:pPr>
              <w:pStyle w:val="Compact"/>
              <w:jc w:val="left"/>
            </w:pPr>
            <w:r>
              <w:t xml:space="preserve">季度级变更。</w:t>
            </w:r>
          </w:p>
        </w:tc>
        <w:tc>
          <w:tcPr/>
          <w:p>
            <w:pPr>
              <w:pStyle w:val="Compact"/>
              <w:jc w:val="left"/>
            </w:pPr>
            <w:r>
              <w:t xml:space="preserve">月度或更频繁。</w:t>
            </w:r>
          </w:p>
        </w:tc>
        <w:tc>
          <w:tcPr/>
          <w:p>
            <w:pPr>
              <w:pStyle w:val="Compact"/>
              <w:jc w:val="left"/>
            </w:pPr>
            <w:r>
              <w:t xml:space="preserve">常规</w:t>
            </w:r>
          </w:p>
        </w:tc>
        <w:tc>
          <w:tcPr/>
          <w:p>
            <w:pPr>
              <w:pStyle w:val="Compact"/>
              <w:jc w:val="left"/>
            </w:pPr>
            <w:r>
              <w:t xml:space="preserve">常规</w:t>
            </w:r>
          </w:p>
        </w:tc>
      </w:tr>
      <w:tr>
        <w:tc>
          <w:tcPr/>
          <w:p>
            <w:pPr>
              <w:pStyle w:val="Compact"/>
              <w:jc w:val="left"/>
            </w:pPr>
            <w:r>
              <w:rPr>
                <w:bCs/>
                <w:b/>
              </w:rPr>
              <w:t xml:space="preserve">依赖稳定性</w:t>
            </w:r>
          </w:p>
        </w:tc>
        <w:tc>
          <w:tcPr/>
          <w:p>
            <w:pPr>
              <w:pStyle w:val="Compact"/>
              <w:jc w:val="left"/>
            </w:pPr>
            <w:r>
              <w:t xml:space="preserve">依赖为长期支持版本。</w:t>
            </w:r>
          </w:p>
        </w:tc>
        <w:tc>
          <w:tcPr/>
          <w:p>
            <w:pPr>
              <w:pStyle w:val="Compact"/>
              <w:jc w:val="left"/>
            </w:pPr>
            <w:r>
              <w:t xml:space="preserve">依赖定期更新但可控。</w:t>
            </w:r>
          </w:p>
        </w:tc>
        <w:tc>
          <w:tcPr/>
          <w:p>
            <w:pPr>
              <w:pStyle w:val="Compact"/>
              <w:jc w:val="left"/>
            </w:pPr>
            <w:r>
              <w:t xml:space="preserve">依赖快速迭代或近EOL。</w:t>
            </w:r>
          </w:p>
        </w:tc>
        <w:tc>
          <w:tcPr/>
          <w:p>
            <w:pPr>
              <w:pStyle w:val="Compact"/>
              <w:jc w:val="left"/>
            </w:pPr>
            <w:r>
              <w:t xml:space="preserve">常规</w:t>
            </w:r>
          </w:p>
        </w:tc>
        <w:tc>
          <w:tcPr/>
          <w:p>
            <w:pPr>
              <w:pStyle w:val="Compact"/>
              <w:jc w:val="left"/>
            </w:pPr>
            <w:r>
              <w:rPr>
                <w:bCs/>
                <w:b/>
              </w:rPr>
              <w:t xml:space="preserve">权重高</w:t>
            </w:r>
            <w:r>
              <w:t xml:space="preserve">：替代来源少</w:t>
            </w:r>
          </w:p>
        </w:tc>
      </w:tr>
      <w:tr>
        <w:tc>
          <w:tcPr/>
          <w:p>
            <w:pPr>
              <w:pStyle w:val="Compact"/>
              <w:jc w:val="left"/>
            </w:pPr>
            <w:r>
              <w:rPr>
                <w:bCs/>
                <w:b/>
              </w:rPr>
              <w:t xml:space="preserve">责任明晰度</w:t>
            </w:r>
          </w:p>
        </w:tc>
        <w:tc>
          <w:tcPr/>
          <w:p>
            <w:pPr>
              <w:pStyle w:val="Compact"/>
              <w:jc w:val="left"/>
            </w:pPr>
            <w:r>
              <w:t xml:space="preserve">有明确维护团队。</w:t>
            </w:r>
          </w:p>
        </w:tc>
        <w:tc>
          <w:tcPr/>
          <w:p>
            <w:pPr>
              <w:pStyle w:val="Compact"/>
              <w:jc w:val="left"/>
            </w:pPr>
            <w:r>
              <w:t xml:space="preserve">责任共享。</w:t>
            </w:r>
          </w:p>
        </w:tc>
        <w:tc>
          <w:tcPr/>
          <w:p>
            <w:pPr>
              <w:pStyle w:val="Compact"/>
              <w:jc w:val="left"/>
            </w:pPr>
            <w:r>
              <w:t xml:space="preserve">无人负责或关键人将离职。</w:t>
            </w:r>
          </w:p>
        </w:tc>
        <w:tc>
          <w:tcPr/>
          <w:p>
            <w:pPr>
              <w:pStyle w:val="Compact"/>
              <w:jc w:val="left"/>
            </w:pPr>
            <w:r>
              <w:rPr>
                <w:bCs/>
                <w:b/>
              </w:rPr>
              <w:t xml:space="preserve">权重高</w:t>
            </w:r>
            <w:r>
              <w:t xml:space="preserve">：权责需清晰</w:t>
            </w:r>
          </w:p>
        </w:tc>
        <w:tc>
          <w:tcPr/>
          <w:p>
            <w:pPr>
              <w:pStyle w:val="Compact"/>
              <w:jc w:val="left"/>
            </w:pPr>
            <w:r>
              <w:t xml:space="preserve">常规</w:t>
            </w:r>
          </w:p>
        </w:tc>
      </w:tr>
      <w:tr>
        <w:tc>
          <w:tcPr/>
          <w:p>
            <w:pPr>
              <w:pStyle w:val="Compact"/>
              <w:jc w:val="left"/>
            </w:pPr>
            <w:r>
              <w:rPr>
                <w:bCs/>
                <w:b/>
              </w:rPr>
              <w:t xml:space="preserve">故障历史</w:t>
            </w:r>
          </w:p>
        </w:tc>
        <w:tc>
          <w:tcPr/>
          <w:p>
            <w:pPr>
              <w:pStyle w:val="Compact"/>
              <w:jc w:val="left"/>
            </w:pPr>
            <w:r>
              <w:t xml:space="preserve">几乎无故障。</w:t>
            </w:r>
          </w:p>
        </w:tc>
        <w:tc>
          <w:tcPr/>
          <w:p>
            <w:pPr>
              <w:pStyle w:val="Compact"/>
              <w:jc w:val="left"/>
            </w:pPr>
            <w:r>
              <w:t xml:space="preserve">偶发故障。</w:t>
            </w:r>
          </w:p>
        </w:tc>
        <w:tc>
          <w:tcPr/>
          <w:p>
            <w:pPr>
              <w:pStyle w:val="Compact"/>
              <w:jc w:val="left"/>
            </w:pPr>
            <w:r>
              <w:t xml:space="preserve">故障频发或影响重大。</w:t>
            </w:r>
          </w:p>
        </w:tc>
        <w:tc>
          <w:tcPr/>
          <w:p>
            <w:pPr>
              <w:pStyle w:val="Compact"/>
              <w:jc w:val="left"/>
            </w:pPr>
            <w:r>
              <w:t xml:space="preserve">常规</w:t>
            </w:r>
          </w:p>
        </w:tc>
        <w:tc>
          <w:tcPr/>
          <w:p>
            <w:pPr>
              <w:pStyle w:val="Compact"/>
              <w:jc w:val="left"/>
            </w:pPr>
            <w:r>
              <w:rPr>
                <w:bCs/>
                <w:b/>
              </w:rPr>
              <w:t xml:space="preserve">权重高</w:t>
            </w:r>
            <w:r>
              <w:t xml:space="preserve">：影响连续性</w:t>
            </w:r>
          </w:p>
        </w:tc>
      </w:tr>
    </w:tbl>
    <w:p>
      <w:pPr>
        <w:pStyle w:val="BodyText"/>
      </w:pPr>
      <w:r>
        <w:rPr>
          <w:bCs/>
          <w:b/>
        </w:rPr>
        <w:t xml:space="preserve">案例评分</w:t>
      </w:r>
      <w:r>
        <w:t xml:space="preserve">：银行COBOL模块在</w:t>
      </w:r>
      <w:r>
        <w:rPr>
          <w:bCs/>
          <w:b/>
        </w:rPr>
        <w:t xml:space="preserve">认知负荷</w:t>
      </w:r>
      <w:r>
        <w:t xml:space="preserve">（专家退休）、</w:t>
      </w:r>
      <w:r>
        <w:rPr>
          <w:bCs/>
          <w:b/>
        </w:rPr>
        <w:t xml:space="preserve">责任明晰度</w:t>
      </w:r>
      <w:r>
        <w:t xml:space="preserve">（无备份）等高风险维度得分极高，综合风险等级为"高"，应优先启动资产化改造。</w:t>
      </w:r>
    </w:p>
    <w:bookmarkEnd w:id="32"/>
    <w:bookmarkEnd w:id="33"/>
    <w:bookmarkStart w:id="40" w:name="四-价值转化封板机制衰减与闭环"/>
    <w:p>
      <w:pPr>
        <w:pStyle w:val="Heading2"/>
      </w:pPr>
      <w:r>
        <w:t xml:space="preserve">四、 价值转化：封板机制、衰减与闭环</w:t>
      </w:r>
    </w:p>
    <w:bookmarkStart w:id="35" w:name="Xaabc78709054e73746fdb2d864a09e62f30cfe9"/>
    <w:p>
      <w:pPr>
        <w:pStyle w:val="Heading3"/>
      </w:pPr>
      <w:r>
        <w:t xml:space="preserve">4.1 "封板"：责任转型与资产创造</w:t>
      </w:r>
    </w:p>
    <w:p>
      <w:pPr>
        <w:pStyle w:val="FirstParagraph"/>
      </w:pPr>
      <w:r>
        <w:t xml:space="preserve">"封板"（Sealing）是一组标准化、可验证的技术与管理操作，旨在将背负维护义务的流变代码，转化为一个状态确定、责任锁定的产出物。</w:t>
      </w:r>
    </w:p>
    <w:p>
      <w:pPr>
        <w:pStyle w:val="BodyText"/>
      </w:pPr>
      <w:r>
        <w:t xml:space="preserve">本文所称"资产"，均指管理与治理意义上的可控产出物单元，而非严格意义上的财务会计确认资产。</w:t>
      </w:r>
    </w:p>
    <w:p>
      <w:pPr>
        <w:pStyle w:val="BodyText"/>
      </w:pPr>
      <w:r>
        <w:rPr>
          <w:bCs/>
          <w:b/>
        </w:rPr>
        <w:t xml:space="preserve">需要特别澄清的是：封板并非"消灭"维护义务，而是"转型"维护义务的形态</w:t>
      </w:r>
      <w:r>
        <w:t xml:space="preserve">——从连续、无限、隐性的责任，转变为资产单元级、有限、可审计的责任。封板后的资产仍需监控与维护，但这种维护是显性的、有边界的、可计量的。</w:t>
      </w:r>
    </w:p>
    <w:bookmarkStart w:id="34" w:name="X2559fb50452a70870a6ac4f2226e27493c7b843"/>
    <w:p>
      <w:pPr>
        <w:pStyle w:val="Heading4"/>
      </w:pPr>
      <w:r>
        <w:t xml:space="preserve">4.1.1 封板 ≠ 发布：责任状态的本质差异</w:t>
      </w:r>
    </w:p>
    <w:p>
      <w:pPr>
        <w:pStyle w:val="FirstParagraph"/>
      </w:pPr>
      <w:r>
        <w:rPr>
          <w:bCs/>
          <w:b/>
        </w:rPr>
        <w:t xml:space="preserve">表3 封板与发布的本质区别</w:t>
      </w:r>
      <w:r>
        <w:br/>
      </w:r>
      <w:r>
        <w:rPr>
          <w:bCs/>
          <w:b/>
        </w:rPr>
        <w:t xml:space="preserve">Table 3 Essential differences between sealing and release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发布（Release）</w:t>
            </w:r>
          </w:p>
        </w:tc>
        <w:tc>
          <w:tcPr/>
          <w:p>
            <w:pPr>
              <w:pStyle w:val="Compact"/>
              <w:jc w:val="left"/>
            </w:pPr>
            <w:r>
              <w:t xml:space="preserve">封板（Sealing）</w:t>
            </w:r>
          </w:p>
        </w:tc>
      </w:tr>
      <w:tr>
        <w:tc>
          <w:tcPr/>
          <w:p>
            <w:pPr>
              <w:pStyle w:val="Compact"/>
              <w:jc w:val="left"/>
            </w:pPr>
            <w:r>
              <w:rPr>
                <w:bCs/>
                <w:b/>
              </w:rPr>
              <w:t xml:space="preserve">关注焦点</w:t>
            </w:r>
          </w:p>
        </w:tc>
        <w:tc>
          <w:tcPr/>
          <w:p>
            <w:pPr>
              <w:pStyle w:val="Compact"/>
              <w:jc w:val="left"/>
            </w:pPr>
            <w:r>
              <w:t xml:space="preserve">代码状态变更</w:t>
            </w:r>
          </w:p>
        </w:tc>
        <w:tc>
          <w:tcPr/>
          <w:p>
            <w:pPr>
              <w:pStyle w:val="Compact"/>
              <w:jc w:val="left"/>
            </w:pPr>
            <w:r>
              <w:rPr>
                <w:bCs/>
                <w:b/>
              </w:rPr>
              <w:t xml:space="preserve">责任状态变更</w:t>
            </w:r>
          </w:p>
        </w:tc>
      </w:tr>
      <w:tr>
        <w:tc>
          <w:tcPr/>
          <w:p>
            <w:pPr>
              <w:pStyle w:val="Compact"/>
              <w:jc w:val="left"/>
            </w:pPr>
            <w:r>
              <w:rPr>
                <w:bCs/>
                <w:b/>
              </w:rPr>
              <w:t xml:space="preserve">维护义务形态</w:t>
            </w:r>
          </w:p>
        </w:tc>
        <w:tc>
          <w:tcPr/>
          <w:p>
            <w:pPr>
              <w:pStyle w:val="Compact"/>
              <w:jc w:val="left"/>
            </w:pPr>
            <w:r>
              <w:t xml:space="preserve">连续、无限、隐性（默认延续）</w:t>
            </w:r>
          </w:p>
        </w:tc>
        <w:tc>
          <w:tcPr/>
          <w:p>
            <w:pPr>
              <w:pStyle w:val="Compact"/>
              <w:jc w:val="left"/>
            </w:pPr>
            <w:r>
              <w:rPr>
                <w:bCs/>
                <w:b/>
              </w:rPr>
              <w:t xml:space="preserve">资产单元级、有限、可审计（需经解封门禁方可修改）</w:t>
            </w:r>
          </w:p>
        </w:tc>
      </w:tr>
      <w:tr>
        <w:tc>
          <w:tcPr/>
          <w:p>
            <w:pPr>
              <w:pStyle w:val="Compact"/>
              <w:jc w:val="left"/>
            </w:pPr>
            <w:r>
              <w:rPr>
                <w:bCs/>
                <w:b/>
              </w:rPr>
              <w:t xml:space="preserve">产出物属性</w:t>
            </w:r>
          </w:p>
        </w:tc>
        <w:tc>
          <w:tcPr/>
          <w:p>
            <w:pPr>
              <w:pStyle w:val="Compact"/>
              <w:jc w:val="left"/>
            </w:pPr>
            <w:r>
              <w:t xml:space="preserve">工程中间产物</w:t>
            </w:r>
          </w:p>
        </w:tc>
        <w:tc>
          <w:tcPr/>
          <w:p>
            <w:pPr>
              <w:pStyle w:val="Compact"/>
              <w:jc w:val="left"/>
            </w:pPr>
            <w:r>
              <w:rPr>
                <w:bCs/>
                <w:b/>
              </w:rPr>
              <w:t xml:space="preserve">可治理的资产单元</w:t>
            </w:r>
          </w:p>
        </w:tc>
      </w:tr>
      <w:tr>
        <w:tc>
          <w:tcPr/>
          <w:p>
            <w:pPr>
              <w:pStyle w:val="Compact"/>
              <w:jc w:val="left"/>
            </w:pPr>
            <w:r>
              <w:rPr>
                <w:bCs/>
                <w:b/>
              </w:rPr>
              <w:t xml:space="preserve">管理视角</w:t>
            </w:r>
          </w:p>
        </w:tc>
        <w:tc>
          <w:tcPr/>
          <w:p>
            <w:pPr>
              <w:pStyle w:val="Compact"/>
              <w:jc w:val="left"/>
            </w:pPr>
            <w:r>
              <w:t xml:space="preserve">项目/成本中心</w:t>
            </w:r>
          </w:p>
        </w:tc>
        <w:tc>
          <w:tcPr/>
          <w:p>
            <w:pPr>
              <w:pStyle w:val="Compact"/>
              <w:jc w:val="left"/>
            </w:pPr>
            <w:r>
              <w:rPr>
                <w:bCs/>
                <w:b/>
              </w:rPr>
              <w:t xml:space="preserve">风险与资产边界</w:t>
            </w:r>
          </w:p>
        </w:tc>
      </w:tr>
      <w:tr>
        <w:tc>
          <w:tcPr/>
          <w:p>
            <w:pPr>
              <w:pStyle w:val="Compact"/>
              <w:jc w:val="left"/>
            </w:pPr>
            <w:r>
              <w:rPr>
                <w:bCs/>
                <w:b/>
              </w:rPr>
              <w:t xml:space="preserve">典型产出</w:t>
            </w:r>
          </w:p>
        </w:tc>
        <w:tc>
          <w:tcPr/>
          <w:p>
            <w:pPr>
              <w:pStyle w:val="Compact"/>
              <w:jc w:val="left"/>
            </w:pPr>
            <w:r>
              <w:t xml:space="preserve">可部署的软件包</w:t>
            </w:r>
          </w:p>
        </w:tc>
        <w:tc>
          <w:tcPr/>
          <w:p>
            <w:pPr>
              <w:pStyle w:val="Compact"/>
              <w:jc w:val="left"/>
            </w:pPr>
            <w:r>
              <w:rPr>
                <w:bCs/>
                <w:b/>
              </w:rPr>
              <w:t xml:space="preserve">带签名、SBOM的可验证资产</w:t>
            </w:r>
          </w:p>
        </w:tc>
      </w:tr>
    </w:tbl>
    <w:p>
      <w:pPr>
        <w:pStyle w:val="BodyText"/>
      </w:pPr>
      <w:r>
        <w:t xml:space="preserve">封板的核心在于</w:t>
      </w:r>
      <w:r>
        <w:rPr>
          <w:bCs/>
          <w:b/>
        </w:rPr>
        <w:t xml:space="preserve">责任边界的显式定义</w:t>
      </w:r>
      <w:r>
        <w:t xml:space="preserve">：通过技术手段（如签名、SBOM）和管理流程（如维护责任确认），将模糊的、持续的维护义务转化为明确的、有限的责任边界。</w:t>
      </w:r>
    </w:p>
    <w:p>
      <w:pPr>
        <w:pStyle w:val="BodyText"/>
      </w:pPr>
      <w:r>
        <w:rPr>
          <w:bCs/>
          <w:b/>
        </w:rPr>
        <w:t xml:space="preserve">封板与发布的实践关系</w:t>
      </w:r>
      <w:r>
        <w:t xml:space="preserve">：需要明确的是，"发布"与"封板"在技术动作上常有重叠（如打Tag、构建镜像）。两者的核心区别在于</w:t>
      </w:r>
      <w:r>
        <w:rPr>
          <w:bCs/>
          <w:b/>
        </w:rPr>
        <w:t xml:space="preserve">治理意图与面向对象</w:t>
      </w:r>
      <w:r>
        <w:t xml:space="preserve">。"发布"主要是一个</w:t>
      </w:r>
      <w:r>
        <w:rPr>
          <w:bCs/>
          <w:b/>
        </w:rPr>
        <w:t xml:space="preserve">对外</w:t>
      </w:r>
      <w:r>
        <w:t xml:space="preserve">的交付动作，面向市场和用户，宣告新功能的可用性；而"封板"本质上是一个</w:t>
      </w:r>
      <w:r>
        <w:rPr>
          <w:bCs/>
          <w:b/>
        </w:rPr>
        <w:t xml:space="preserve">对内</w:t>
      </w:r>
      <w:r>
        <w:t xml:space="preserve">的治理动作，面向组织内部的运维、审计和财务部门，旨在</w:t>
      </w:r>
      <w:r>
        <w:rPr>
          <w:bCs/>
          <w:b/>
        </w:rPr>
        <w:t xml:space="preserve">终止代码的流变状态，锁定内部维护责任与成本</w:t>
      </w:r>
      <w:r>
        <w:t xml:space="preserve">。许多软件对外成功"发布"，但对内而言仍是无人敢碰、责任不清的"流变黑洞"。"封板"的价值，正是为了在组织内部建立这道清晰的治理边界。</w:t>
      </w:r>
    </w:p>
    <w:bookmarkEnd w:id="34"/>
    <w:bookmarkEnd w:id="35"/>
    <w:bookmarkStart w:id="37" w:name="Xabc70f375cc2e74f72aad4f67fdc71ba56e3e13"/>
    <w:p>
      <w:pPr>
        <w:pStyle w:val="Heading3"/>
      </w:pPr>
      <w:r>
        <w:t xml:space="preserve">4.2 "封板"强度谱系与实施指引</w:t>
      </w:r>
    </w:p>
    <w:p>
      <w:pPr>
        <w:pStyle w:val="FirstParagraph"/>
      </w:pPr>
      <w:r>
        <w:rPr>
          <w:bCs/>
          <w:b/>
        </w:rPr>
        <w:t xml:space="preserve">表4 封板强度谱系及其实施</w:t>
      </w:r>
      <w:r>
        <w:br/>
      </w:r>
      <w:r>
        <w:rPr>
          <w:bCs/>
          <w:b/>
        </w:rPr>
        <w:t xml:space="preserve">Table 4 Sealing intensity spectrum and implementation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强度等级</w:t>
            </w:r>
          </w:p>
        </w:tc>
        <w:tc>
          <w:tcPr/>
          <w:p>
            <w:pPr>
              <w:pStyle w:val="Compact"/>
              <w:jc w:val="left"/>
            </w:pPr>
            <w:r>
              <w:t xml:space="preserve">典型形态</w:t>
            </w:r>
          </w:p>
        </w:tc>
        <w:tc>
          <w:tcPr/>
          <w:p>
            <w:pPr>
              <w:pStyle w:val="Compact"/>
              <w:jc w:val="left"/>
            </w:pPr>
            <w:r>
              <w:t xml:space="preserve">核心承诺</w:t>
            </w:r>
          </w:p>
        </w:tc>
        <w:tc>
          <w:tcPr/>
          <w:p>
            <w:pPr>
              <w:pStyle w:val="Compact"/>
              <w:jc w:val="left"/>
            </w:pPr>
            <w:r>
              <w:t xml:space="preserve">关键技术门槛/实施成本</w:t>
            </w:r>
          </w:p>
        </w:tc>
        <w:tc>
          <w:tcPr/>
          <w:p>
            <w:pPr>
              <w:pStyle w:val="Compact"/>
              <w:jc w:val="left"/>
            </w:pPr>
            <w:r>
              <w:t xml:space="preserve">适用场景</w:t>
            </w:r>
          </w:p>
        </w:tc>
      </w:tr>
      <w:tr>
        <w:tc>
          <w:tcPr/>
          <w:p>
            <w:pPr>
              <w:pStyle w:val="Compact"/>
              <w:jc w:val="left"/>
            </w:pPr>
            <w:r>
              <w:rPr>
                <w:bCs/>
                <w:b/>
              </w:rPr>
              <w:t xml:space="preserve">强封板</w:t>
            </w:r>
          </w:p>
        </w:tc>
        <w:tc>
          <w:tcPr/>
          <w:p>
            <w:pPr>
              <w:pStyle w:val="Compact"/>
              <w:jc w:val="left"/>
            </w:pPr>
            <w:r>
              <w:t xml:space="preserve">容器镜像、签名二进制包</w:t>
            </w:r>
          </w:p>
        </w:tc>
        <w:tc>
          <w:tcPr/>
          <w:p>
            <w:pPr>
              <w:pStyle w:val="Compact"/>
              <w:jc w:val="left"/>
            </w:pPr>
            <w:r>
              <w:t xml:space="preserve">环境与行为的完全确定性。</w:t>
            </w:r>
          </w:p>
        </w:tc>
        <w:tc>
          <w:tcPr/>
          <w:p>
            <w:pPr>
              <w:pStyle w:val="Compact"/>
              <w:jc w:val="left"/>
            </w:pPr>
            <w:r>
              <w:t xml:space="preserve">高：需建设镜像仓库、签名体系、完备的供应链安全工具链。</w:t>
            </w:r>
          </w:p>
        </w:tc>
        <w:tc>
          <w:tcPr/>
          <w:p>
            <w:pPr>
              <w:pStyle w:val="Compact"/>
              <w:jc w:val="left"/>
            </w:pPr>
            <w:r>
              <w:t xml:space="preserve">生产部署、商业分发、信创等高合规场景。</w:t>
            </w:r>
          </w:p>
        </w:tc>
      </w:tr>
      <w:tr>
        <w:tc>
          <w:tcPr/>
          <w:p>
            <w:pPr>
              <w:pStyle w:val="Compact"/>
              <w:jc w:val="left"/>
            </w:pPr>
            <w:r>
              <w:rPr>
                <w:bCs/>
                <w:b/>
              </w:rPr>
              <w:t xml:space="preserve">中封板</w:t>
            </w:r>
          </w:p>
        </w:tc>
        <w:tc>
          <w:tcPr/>
          <w:p>
            <w:pPr>
              <w:pStyle w:val="Compact"/>
              <w:jc w:val="left"/>
            </w:pPr>
            <w:r>
              <w:t xml:space="preserve">语义化版本包、API服务+SLA</w:t>
            </w:r>
          </w:p>
        </w:tc>
        <w:tc>
          <w:tcPr/>
          <w:p>
            <w:pPr>
              <w:pStyle w:val="Compact"/>
              <w:jc w:val="left"/>
            </w:pPr>
            <w:r>
              <w:t xml:space="preserve">接口兼容性承诺。</w:t>
            </w:r>
          </w:p>
        </w:tc>
        <w:tc>
          <w:tcPr/>
          <w:p>
            <w:pPr>
              <w:pStyle w:val="Compact"/>
              <w:jc w:val="left"/>
            </w:pPr>
            <w:r>
              <w:t xml:space="preserve">中：需制定并维护API契约，建立契约测试与SLA监控。</w:t>
            </w:r>
          </w:p>
        </w:tc>
        <w:tc>
          <w:tcPr/>
          <w:p>
            <w:pPr>
              <w:pStyle w:val="Compact"/>
              <w:jc w:val="left"/>
            </w:pPr>
            <w:r>
              <w:t xml:space="preserve">微服务、开源库、平台服务。</w:t>
            </w:r>
          </w:p>
        </w:tc>
      </w:tr>
      <w:tr>
        <w:tc>
          <w:tcPr/>
          <w:p>
            <w:pPr>
              <w:pStyle w:val="Compact"/>
              <w:jc w:val="left"/>
            </w:pPr>
            <w:r>
              <w:rPr>
                <w:bCs/>
                <w:b/>
              </w:rPr>
              <w:t xml:space="preserve">弱封板</w:t>
            </w:r>
          </w:p>
        </w:tc>
        <w:tc>
          <w:tcPr/>
          <w:p>
            <w:pPr>
              <w:pStyle w:val="Compact"/>
              <w:jc w:val="left"/>
            </w:pPr>
            <w:r>
              <w:t xml:space="preserve">通过CI的Git提交</w:t>
            </w:r>
          </w:p>
        </w:tc>
        <w:tc>
          <w:tcPr/>
          <w:p>
            <w:pPr>
              <w:pStyle w:val="Compact"/>
              <w:jc w:val="left"/>
            </w:pPr>
            <w:r>
              <w:t xml:space="preserve">特定时点状态可复现。</w:t>
            </w:r>
          </w:p>
        </w:tc>
        <w:tc>
          <w:tcPr/>
          <w:p>
            <w:pPr>
              <w:pStyle w:val="Compact"/>
              <w:jc w:val="left"/>
            </w:pPr>
            <w:r>
              <w:t xml:space="preserve">低：需标准化CI流水线与版本标签规范。</w:t>
            </w:r>
          </w:p>
        </w:tc>
        <w:tc>
          <w:tcPr/>
          <w:p>
            <w:pPr>
              <w:pStyle w:val="Compact"/>
              <w:jc w:val="left"/>
            </w:pPr>
            <w:r>
              <w:t xml:space="preserve">高频开发、特性分支。</w:t>
            </w:r>
          </w:p>
        </w:tc>
      </w:tr>
    </w:tbl>
    <w:p>
      <w:pPr>
        <w:pStyle w:val="BodyText"/>
      </w:pPr>
      <w:r>
        <w:rPr>
          <w:bCs/>
          <w:b/>
        </w:rPr>
        <w:t xml:space="preserve">案例转化路径</w:t>
      </w:r>
      <w:r>
        <w:t xml:space="preserve">：银行COBOL模块改造：1) 编制OpenAPI规范并实现契约测试（</w:t>
      </w:r>
      <w:r>
        <w:rPr>
          <w:bCs/>
          <w:b/>
        </w:rPr>
        <w:t xml:space="preserve">中封板</w:t>
      </w:r>
      <w:r>
        <w:t xml:space="preserve">）；2) 将程序与运行时打包为</w:t>
      </w:r>
      <w:r>
        <w:rPr>
          <w:bCs/>
          <w:b/>
        </w:rPr>
        <w:t xml:space="preserve">签名Docker镜像</w:t>
      </w:r>
      <w:r>
        <w:t xml:space="preserve">，并生成SBOM（</w:t>
      </w:r>
      <w:r>
        <w:rPr>
          <w:bCs/>
          <w:b/>
        </w:rPr>
        <w:t xml:space="preserve">强封板</w:t>
      </w:r>
      <w:r>
        <w:t xml:space="preserve">），从而产出"利息计算服务"资产。</w:t>
      </w:r>
    </w:p>
    <w:bookmarkStart w:id="36" w:name="X3a1a0d45952fe1da9456a2160ce0f93b72546f1"/>
    <w:p>
      <w:pPr>
        <w:pStyle w:val="Heading4"/>
      </w:pPr>
      <w:r>
        <w:t xml:space="preserve">4.2.1 封板检查清单（工程实践参考）</w:t>
      </w:r>
    </w:p>
    <w:p>
      <w:pPr>
        <w:pStyle w:val="FirstParagraph"/>
      </w:pPr>
      <w:r>
        <w:t xml:space="preserve">为提升可操作性，我们总结了强封板的典型检查项，其中</w:t>
      </w:r>
      <w:r>
        <w:rPr>
          <w:bCs/>
          <w:b/>
        </w:rPr>
        <w:t xml:space="preserve">经济封板</w:t>
      </w:r>
      <w:r>
        <w:t xml:space="preserve">是区别于常规流程的核心：</w:t>
      </w:r>
    </w:p>
    <w:p>
      <w:pPr>
        <w:numPr>
          <w:ilvl w:val="0"/>
          <w:numId w:val="1004"/>
        </w:numPr>
      </w:pPr>
      <w:r>
        <w:rPr>
          <w:bCs/>
          <w:b/>
        </w:rPr>
        <w:t xml:space="preserve">经济封板</w:t>
      </w:r>
      <w:r>
        <w:t xml:space="preserve">：</w:t>
      </w:r>
    </w:p>
    <w:p>
      <w:pPr>
        <w:numPr>
          <w:ilvl w:val="1"/>
          <w:numId w:val="1005"/>
        </w:numPr>
      </w:pPr>
      <w:r>
        <w:t xml:space="preserve">☐ 未来N年预估维护成本已计提</w:t>
      </w:r>
    </w:p>
    <w:p>
      <w:pPr>
        <w:numPr>
          <w:ilvl w:val="1"/>
          <w:numId w:val="1005"/>
        </w:numPr>
      </w:pPr>
      <w:r>
        <w:t xml:space="preserve">☐ 资产健康度基线建立</w:t>
      </w:r>
    </w:p>
    <w:p>
      <w:pPr>
        <w:numPr>
          <w:ilvl w:val="1"/>
          <w:numId w:val="1005"/>
        </w:numPr>
      </w:pPr>
      <w:r>
        <w:t xml:space="preserve">☐ 衰减预警阈值设定</w:t>
      </w:r>
    </w:p>
    <w:p>
      <w:pPr>
        <w:numPr>
          <w:ilvl w:val="0"/>
          <w:numId w:val="1004"/>
        </w:numPr>
      </w:pPr>
      <w:r>
        <w:rPr>
          <w:bCs/>
          <w:b/>
        </w:rPr>
        <w:t xml:space="preserve">技术封板</w:t>
      </w:r>
      <w:r>
        <w:t xml:space="preserve">：</w:t>
      </w:r>
    </w:p>
    <w:p>
      <w:pPr>
        <w:numPr>
          <w:ilvl w:val="1"/>
          <w:numId w:val="1006"/>
        </w:numPr>
      </w:pPr>
      <w:r>
        <w:t xml:space="preserve">☐ 代码版本锁定（Git tag + hash）</w:t>
      </w:r>
    </w:p>
    <w:p>
      <w:pPr>
        <w:numPr>
          <w:ilvl w:val="1"/>
          <w:numId w:val="1006"/>
        </w:numPr>
      </w:pPr>
      <w:r>
        <w:t xml:space="preserve">☐ 构建环境可重现（Dockerfile/构建脚本）</w:t>
      </w:r>
    </w:p>
    <w:p>
      <w:pPr>
        <w:numPr>
          <w:ilvl w:val="1"/>
          <w:numId w:val="1006"/>
        </w:numPr>
      </w:pPr>
      <w:r>
        <w:t xml:space="preserve">☐ 所有依赖明确（SBOM生成）</w:t>
      </w:r>
    </w:p>
    <w:p>
      <w:pPr>
        <w:numPr>
          <w:ilvl w:val="1"/>
          <w:numId w:val="1006"/>
        </w:numPr>
      </w:pPr>
      <w:r>
        <w:t xml:space="preserve">☐ 通过安全扫描（无高危漏洞）</w:t>
      </w:r>
    </w:p>
    <w:p>
      <w:pPr>
        <w:numPr>
          <w:ilvl w:val="0"/>
          <w:numId w:val="1004"/>
        </w:numPr>
      </w:pPr>
      <w:r>
        <w:rPr>
          <w:bCs/>
          <w:b/>
        </w:rPr>
        <w:t xml:space="preserve">责任封板</w:t>
      </w:r>
      <w:r>
        <w:t xml:space="preserve">：</w:t>
      </w:r>
    </w:p>
    <w:p>
      <w:pPr>
        <w:numPr>
          <w:ilvl w:val="1"/>
          <w:numId w:val="1007"/>
        </w:numPr>
      </w:pPr>
      <w:r>
        <w:t xml:space="preserve">☐ API契约文档化（OpenAPI/Swagger）</w:t>
      </w:r>
    </w:p>
    <w:p>
      <w:pPr>
        <w:numPr>
          <w:ilvl w:val="1"/>
          <w:numId w:val="1007"/>
        </w:numPr>
      </w:pPr>
      <w:r>
        <w:t xml:space="preserve">☐ 服务级别目标（SLO）定义</w:t>
      </w:r>
    </w:p>
    <w:p>
      <w:pPr>
        <w:numPr>
          <w:ilvl w:val="1"/>
          <w:numId w:val="1007"/>
        </w:numPr>
      </w:pPr>
      <w:r>
        <w:t xml:space="preserve">☐ 维护责任交接确认</w:t>
      </w:r>
    </w:p>
    <w:p>
      <w:pPr>
        <w:numPr>
          <w:ilvl w:val="1"/>
          <w:numId w:val="1007"/>
        </w:numPr>
      </w:pPr>
      <w:r>
        <w:t xml:space="preserve">☐ 知识文档归档</w:t>
      </w:r>
    </w:p>
    <w:bookmarkEnd w:id="36"/>
    <w:bookmarkEnd w:id="37"/>
    <w:bookmarkStart w:id="39" w:name="X69ce2b858b3ed409a5118f6ed68862eb6ddc25e"/>
    <w:p>
      <w:pPr>
        <w:pStyle w:val="Heading3"/>
      </w:pPr>
      <w:r>
        <w:t xml:space="preserve">4.3 "封板衰减"与"解封"：动态治理闭环</w:t>
      </w:r>
    </w:p>
    <w:p>
      <w:pPr>
        <w:pStyle w:val="FirstParagraph"/>
      </w:pPr>
      <w:r>
        <w:rPr>
          <w:bCs/>
          <w:b/>
        </w:rPr>
        <w:t xml:space="preserve">封板衰减</w:t>
      </w:r>
      <w:r>
        <w:t xml:space="preserve">：资产价值因技术过时（如依赖EOL）或需求变化而衰减，状态由"有效"向"风险预警"乃至"失效"迁移。</w:t>
      </w:r>
    </w:p>
    <w:p>
      <w:pPr>
        <w:pStyle w:val="BodyText"/>
      </w:pPr>
      <w:r>
        <w:rPr>
          <w:bCs/>
          <w:b/>
        </w:rPr>
        <w:t xml:space="preserve">解封（Unsealing）与再负债化</w:t>
      </w:r>
      <w:r>
        <w:t xml:space="preserve">：为应对紧急修复、微小功能调整或战略重构，对已封板资产进行修改，即触发</w:t>
      </w:r>
      <w:r>
        <w:t xml:space="preserve"> </w:t>
      </w:r>
      <w:r>
        <w:rPr>
          <w:bCs/>
          <w:b/>
        </w:rPr>
        <w:t xml:space="preserve">"解封"</w:t>
      </w:r>
      <w:r>
        <w:t xml:space="preserve">。此举使资产重新进入流变状态，维护义务与成本负债即刻恢复（</w:t>
      </w:r>
      <w:r>
        <w:rPr>
          <w:bCs/>
          <w:b/>
        </w:rPr>
        <w:t xml:space="preserve">再负债化</w:t>
      </w:r>
      <w:r>
        <w:t xml:space="preserve">），并产生待处理的</w:t>
      </w:r>
      <w:r>
        <w:t xml:space="preserve"> </w:t>
      </w:r>
      <w:r>
        <w:rPr>
          <w:bCs/>
          <w:b/>
        </w:rPr>
        <w:t xml:space="preserve">"解封债务"</w:t>
      </w:r>
      <w:r>
        <w:t xml:space="preserve">。为防止"解封"滥用导致治理失效，应设立明确的</w:t>
      </w:r>
      <w:r>
        <w:t xml:space="preserve"> </w:t>
      </w:r>
      <w:r>
        <w:rPr>
          <w:bCs/>
          <w:b/>
        </w:rPr>
        <w:t xml:space="preserve">"解封门槛"</w:t>
      </w:r>
      <w:r>
        <w:t xml:space="preserve"> </w:t>
      </w:r>
      <w:r>
        <w:t xml:space="preserve">，例如要求必须经过变更控制委员会（CCB）的审批，并为每笔"解封债务"设定严格的</w:t>
      </w:r>
      <w:r>
        <w:t xml:space="preserve"> </w:t>
      </w:r>
      <w:r>
        <w:rPr>
          <w:bCs/>
          <w:b/>
        </w:rPr>
        <w:t xml:space="preserve">"偿还期限"</w:t>
      </w:r>
      <w:r>
        <w:t xml:space="preserve"> </w:t>
      </w:r>
      <w:r>
        <w:t xml:space="preserve">（如必须在7天内完成"再封板"），确保系统不会长期暴露在"流变"风险中。该术语仅用于描述工程治理状态变化，不涉及安全合规违规判定。</w:t>
      </w:r>
      <w:r>
        <w:rPr>
          <w:bCs/>
          <w:b/>
        </w:rPr>
        <w:t xml:space="preserve">建议将此审计与CI/CD流水线集成</w:t>
      </w:r>
      <w:r>
        <w:t xml:space="preserve">，实现自动记录与跟踪。</w:t>
      </w:r>
    </w:p>
    <w:p>
      <w:pPr>
        <w:pStyle w:val="BodyText"/>
      </w:pPr>
      <w:r>
        <w:rPr>
          <w:bCs/>
          <w:b/>
        </w:rPr>
        <w:t xml:space="preserve">资产替换与升级</w:t>
      </w:r>
      <w:r>
        <w:t xml:space="preserve">：治理的更高形态并非永远维护单一资产。当通过"解封-修改-再封板"的成本高于</w:t>
      </w:r>
      <w:r>
        <w:rPr>
          <w:bCs/>
          <w:b/>
        </w:rPr>
        <w:t xml:space="preserve">培育一个拥有新能力的新产出物并替换旧资产</w:t>
      </w:r>
      <w:r>
        <w:t xml:space="preserve">时，应启动资产替换流程。新资产的封板，标志着旧资产负债的终结与新资产生命周期的开始。</w:t>
      </w:r>
    </w:p>
    <w:p>
      <w:pPr>
        <w:pStyle w:val="BodyText"/>
      </w:pPr>
      <w:r>
        <w:rPr>
          <w:bCs/>
          <w:b/>
        </w:rPr>
        <w:t xml:space="preserve">再封板</w:t>
      </w:r>
      <w:r>
        <w:t xml:space="preserve">：是对衰减或解封债务的响应，即通过重新构建、测试与部署，使资产回归有效封板状态，完成治理闭环。</w:t>
      </w:r>
    </w:p>
    <w:p>
      <w:pPr>
        <w:pStyle w:val="BodyText"/>
      </w:pPr>
      <w:r>
        <w:rPr>
          <w:bCs/>
          <w:b/>
        </w:rPr>
        <w:t xml:space="preserve">案例演进</w:t>
      </w:r>
      <w:r>
        <w:t xml:space="preserve">：银行服务镜像因基础OS EOL进入"预警"。团队评估后决定"再封板"（升级基础镜像）。若其间发生过热修复（解封），则需在再封板中一并清偿债务。</w:t>
      </w:r>
    </w:p>
    <w:bookmarkStart w:id="38" w:name="Xe7e738b2f15d92446d0ad09f04765e2dd22efca"/>
    <w:p>
      <w:pPr>
        <w:pStyle w:val="Heading4"/>
      </w:pPr>
      <w:r>
        <w:t xml:space="preserve">4.4 封板强度决策权衡：一个简易框架</w:t>
      </w:r>
    </w:p>
    <w:p>
      <w:pPr>
        <w:pStyle w:val="FirstParagraph"/>
      </w:pPr>
      <w:r>
        <w:t xml:space="preserve">为平衡"资产确定性"与"变更敏捷性"，可基于模块的两个关键维度进行封板强度决策：</w:t>
      </w:r>
    </w:p>
    <w:p>
      <w:pPr>
        <w:numPr>
          <w:ilvl w:val="0"/>
          <w:numId w:val="1008"/>
        </w:numPr>
      </w:pPr>
      <w:r>
        <w:rPr>
          <w:bCs/>
          <w:b/>
        </w:rPr>
        <w:t xml:space="preserve">业务稳定性</w:t>
      </w:r>
      <w:r>
        <w:t xml:space="preserve">（年功能变更频率，F）</w:t>
      </w:r>
    </w:p>
    <w:p>
      <w:pPr>
        <w:numPr>
          <w:ilvl w:val="0"/>
          <w:numId w:val="1008"/>
        </w:numPr>
      </w:pPr>
      <w:r>
        <w:rPr>
          <w:bCs/>
          <w:b/>
        </w:rPr>
        <w:t xml:space="preserve">故障影响度</w:t>
      </w:r>
      <w:r>
        <w:t xml:space="preserve">（失败成本，C）</w:t>
      </w:r>
    </w:p>
    <w:p>
      <w:pPr>
        <w:pStyle w:val="FirstParagraph"/>
      </w:pPr>
      <w:r>
        <w:rPr>
          <w:bCs/>
          <w:b/>
        </w:rPr>
        <w:t xml:space="preserve">建议决策逻辑如下</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业务稳定性 (F)</w:t>
            </w:r>
          </w:p>
        </w:tc>
        <w:tc>
          <w:tcPr/>
          <w:p>
            <w:pPr>
              <w:pStyle w:val="Compact"/>
              <w:jc w:val="left"/>
            </w:pPr>
            <w:r>
              <w:t xml:space="preserve">故障影响度 (C)</w:t>
            </w:r>
          </w:p>
        </w:tc>
        <w:tc>
          <w:tcPr/>
          <w:p>
            <w:pPr>
              <w:pStyle w:val="Compact"/>
              <w:jc w:val="left"/>
            </w:pPr>
            <w:r>
              <w:t xml:space="preserve">建议封板强度</w:t>
            </w:r>
          </w:p>
        </w:tc>
        <w:tc>
          <w:tcPr/>
          <w:p>
            <w:pPr>
              <w:pStyle w:val="Compact"/>
              <w:jc w:val="left"/>
            </w:pPr>
            <w:r>
              <w:t xml:space="preserve">治理侧重点</w:t>
            </w:r>
          </w:p>
        </w:tc>
      </w:tr>
      <w:tr>
        <w:tc>
          <w:tcPr/>
          <w:p>
            <w:pPr>
              <w:pStyle w:val="Compact"/>
              <w:jc w:val="left"/>
            </w:pPr>
            <w:r>
              <w:rPr>
                <w:bCs/>
                <w:b/>
              </w:rPr>
              <w:t xml:space="preserve">低</w:t>
            </w:r>
            <w:r>
              <w:t xml:space="preserve"> </w:t>
            </w:r>
            <w:r>
              <w:t xml:space="preserve">(F ≤ 2次/年)</w:t>
            </w:r>
          </w:p>
        </w:tc>
        <w:tc>
          <w:tcPr/>
          <w:p>
            <w:pPr>
              <w:pStyle w:val="Compact"/>
              <w:jc w:val="left"/>
            </w:pPr>
            <w:r>
              <w:rPr>
                <w:bCs/>
                <w:b/>
              </w:rPr>
              <w:t xml:space="preserve">高</w:t>
            </w:r>
            <w:r>
              <w:t xml:space="preserve"> </w:t>
            </w:r>
            <w:r>
              <w:t xml:space="preserve">(宕机损失大/合规风险高)</w:t>
            </w:r>
          </w:p>
        </w:tc>
        <w:tc>
          <w:tcPr/>
          <w:p>
            <w:pPr>
              <w:pStyle w:val="Compact"/>
              <w:jc w:val="left"/>
            </w:pPr>
            <w:r>
              <w:rPr>
                <w:bCs/>
                <w:b/>
              </w:rPr>
              <w:t xml:space="preserve">强封板</w:t>
            </w:r>
          </w:p>
        </w:tc>
        <w:tc>
          <w:tcPr/>
          <w:p>
            <w:pPr>
              <w:pStyle w:val="Compact"/>
              <w:jc w:val="left"/>
            </w:pPr>
            <w:r>
              <w:rPr>
                <w:bCs/>
                <w:b/>
              </w:rPr>
              <w:t xml:space="preserve">保障确定性与合规</w:t>
            </w:r>
          </w:p>
        </w:tc>
      </w:tr>
      <w:tr>
        <w:tc>
          <w:tcPr/>
          <w:p>
            <w:pPr>
              <w:pStyle w:val="Compact"/>
              <w:jc w:val="left"/>
            </w:pPr>
            <w:r>
              <w:rPr>
                <w:bCs/>
                <w:b/>
              </w:rPr>
              <w:t xml:space="preserve">中</w:t>
            </w:r>
            <w:r>
              <w:t xml:space="preserve"> </w:t>
            </w:r>
            <w:r>
              <w:t xml:space="preserve">(2 &lt; F ≤ 6次/年)</w:t>
            </w:r>
          </w:p>
        </w:tc>
        <w:tc>
          <w:tcPr/>
          <w:p>
            <w:pPr>
              <w:pStyle w:val="Compact"/>
              <w:jc w:val="left"/>
            </w:pPr>
            <w:r>
              <w:rPr>
                <w:bCs/>
                <w:b/>
              </w:rPr>
              <w:t xml:space="preserve">中</w:t>
            </w:r>
          </w:p>
        </w:tc>
        <w:tc>
          <w:tcPr/>
          <w:p>
            <w:pPr>
              <w:pStyle w:val="Compact"/>
              <w:jc w:val="left"/>
            </w:pPr>
            <w:r>
              <w:rPr>
                <w:bCs/>
                <w:b/>
              </w:rPr>
              <w:t xml:space="preserve">中封板</w:t>
            </w:r>
            <w:r>
              <w:t xml:space="preserve"> </w:t>
            </w:r>
            <w:r>
              <w:t xml:space="preserve">(API契约+SLA)</w:t>
            </w:r>
          </w:p>
        </w:tc>
        <w:tc>
          <w:tcPr/>
          <w:p>
            <w:pPr>
              <w:pStyle w:val="Compact"/>
              <w:jc w:val="left"/>
            </w:pPr>
            <w:r>
              <w:rPr>
                <w:bCs/>
                <w:b/>
              </w:rPr>
              <w:t xml:space="preserve">平衡兼容性与可控性</w:t>
            </w:r>
          </w:p>
        </w:tc>
      </w:tr>
      <w:tr>
        <w:tc>
          <w:tcPr/>
          <w:p>
            <w:pPr>
              <w:pStyle w:val="Compact"/>
              <w:jc w:val="left"/>
            </w:pPr>
            <w:r>
              <w:rPr>
                <w:bCs/>
                <w:b/>
              </w:rPr>
              <w:t xml:space="preserve">高</w:t>
            </w:r>
            <w:r>
              <w:t xml:space="preserve"> </w:t>
            </w:r>
            <w:r>
              <w:t xml:space="preserve">(F &gt; 6次/年)</w:t>
            </w:r>
          </w:p>
        </w:tc>
        <w:tc>
          <w:tcPr/>
          <w:p>
            <w:pPr>
              <w:pStyle w:val="Compact"/>
              <w:jc w:val="left"/>
            </w:pPr>
            <w:r>
              <w:rPr>
                <w:bCs/>
                <w:b/>
              </w:rPr>
              <w:t xml:space="preserve">低</w:t>
            </w:r>
          </w:p>
        </w:tc>
        <w:tc>
          <w:tcPr/>
          <w:p>
            <w:pPr>
              <w:pStyle w:val="Compact"/>
              <w:jc w:val="left"/>
            </w:pPr>
            <w:r>
              <w:rPr>
                <w:bCs/>
                <w:b/>
              </w:rPr>
              <w:t xml:space="preserve">弱封板</w:t>
            </w:r>
            <w:r>
              <w:t xml:space="preserve"> </w:t>
            </w:r>
            <w:r>
              <w:t xml:space="preserve">(或暂不封板)</w:t>
            </w:r>
          </w:p>
        </w:tc>
        <w:tc>
          <w:tcPr/>
          <w:p>
            <w:pPr>
              <w:pStyle w:val="Compact"/>
              <w:jc w:val="left"/>
            </w:pPr>
            <w:r>
              <w:rPr>
                <w:bCs/>
                <w:b/>
              </w:rPr>
              <w:t xml:space="preserve">保障开发部署敏捷性</w:t>
            </w:r>
          </w:p>
        </w:tc>
      </w:tr>
    </w:tbl>
    <w:p>
      <w:pPr>
        <w:pStyle w:val="BodyText"/>
      </w:pPr>
      <w:r>
        <w:rPr>
          <w:iCs/>
          <w:i/>
        </w:rPr>
        <w:t xml:space="preserve">注：阈值（2次/年，6次/年）可根据组织具体上下文调整。此框架参考了技术债权衡决策研究中对"变更频率"与"重构成本"的考量[9]。</w:t>
      </w:r>
    </w:p>
    <w:bookmarkEnd w:id="38"/>
    <w:bookmarkEnd w:id="39"/>
    <w:bookmarkEnd w:id="40"/>
    <w:bookmarkStart w:id="41" w:name="五-案例全生命周期映射与效益分析"/>
    <w:p>
      <w:pPr>
        <w:pStyle w:val="Heading2"/>
      </w:pPr>
      <w:r>
        <w:t xml:space="preserve">五、 案例全生命周期映射与效益分析</w:t>
      </w:r>
    </w:p>
    <w:p>
      <w:pPr>
        <w:pStyle w:val="FirstParagraph"/>
      </w:pPr>
      <w:r>
        <w:rPr>
          <w:bCs/>
          <w:b/>
        </w:rPr>
        <w:t xml:space="preserve">案例研究方法说明</w:t>
      </w:r>
      <w:r>
        <w:t xml:space="preserve">：本文的银行案例是一个"</w:t>
      </w:r>
      <w:r>
        <w:rPr>
          <w:bCs/>
          <w:b/>
        </w:rPr>
        <w:t xml:space="preserve">复合示范性案例</w:t>
      </w:r>
      <w:r>
        <w:t xml:space="preserve">"，其场景基于作者在金融科技领域的多年咨询实践提炼，数据则根据行业公开报告[1]中"大型银行核心系统年均维护成本约占初始投资150%-300%"的典型区间，结合对多位金融科技架构师的访谈，选取中位值进行</w:t>
      </w:r>
      <w:r>
        <w:rPr>
          <w:bCs/>
          <w:b/>
        </w:rPr>
        <w:t xml:space="preserve">保守推演生成</w:t>
      </w:r>
      <w:r>
        <w:t xml:space="preserve">。关键指标如"维护人力减少"参考了DevOps状态报告（DORA）中对容器化技术提升运维效率的统计范围[14]；"MTTR缩短"则基于不可变部署模式对故障恢复时间的典型改善数据[14]。</w:t>
      </w:r>
      <w:r>
        <w:rPr>
          <w:bCs/>
          <w:b/>
        </w:rPr>
        <w:t xml:space="preserve">本案例旨在系统展示理论框架各环节的输入、行动与逻辑输出，而非报告单一项目的审计结果。</w:t>
      </w:r>
      <w:r>
        <w:t xml:space="preserve"> </w:t>
      </w:r>
      <w:r>
        <w:t xml:space="preserve">这种研究方法在提出新治理框架的初期是常见且必要的。</w:t>
      </w:r>
    </w:p>
    <w:p>
      <w:pPr>
        <w:pStyle w:val="BodyText"/>
      </w:pPr>
      <w:r>
        <w:rPr>
          <w:bCs/>
          <w:b/>
        </w:rPr>
        <w:t xml:space="preserve">表5 复合示范性案例映射与效益推演</w:t>
      </w:r>
      <w:r>
        <w:br/>
      </w:r>
      <w:r>
        <w:rPr>
          <w:bCs/>
          <w:b/>
        </w:rPr>
        <w:t xml:space="preserve">Table 5 Composite demonstration case mapping and benefit derivation</w:t>
      </w:r>
      <w:r>
        <w:br/>
      </w:r>
      <w:r>
        <w:t xml:space="preserve">（数据来源：基于行业基准的复合模型推演，非单一项目实测）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理论阶段</w:t>
            </w:r>
          </w:p>
        </w:tc>
        <w:tc>
          <w:tcPr/>
          <w:p>
            <w:pPr>
              <w:pStyle w:val="Compact"/>
              <w:jc w:val="left"/>
            </w:pPr>
            <w:r>
              <w:t xml:space="preserve">银行COBOL模块状态</w:t>
            </w:r>
          </w:p>
        </w:tc>
        <w:tc>
          <w:tcPr/>
          <w:p>
            <w:pPr>
              <w:pStyle w:val="Compact"/>
              <w:jc w:val="left"/>
            </w:pPr>
            <w:r>
              <w:t xml:space="preserve">管理行动与封板策略</w:t>
            </w:r>
          </w:p>
        </w:tc>
        <w:tc>
          <w:tcPr/>
          <w:p>
            <w:pPr>
              <w:pStyle w:val="Compact"/>
              <w:jc w:val="left"/>
            </w:pPr>
            <w:r>
              <w:rPr>
                <w:bCs/>
                <w:b/>
              </w:rPr>
              <w:t xml:space="preserve">典型收益/风险改进指标（逻辑推演）</w:t>
            </w:r>
          </w:p>
        </w:tc>
      </w:tr>
      <w:tr>
        <w:tc>
          <w:tcPr/>
          <w:p>
            <w:pPr>
              <w:pStyle w:val="Compact"/>
              <w:jc w:val="left"/>
            </w:pPr>
            <w:r>
              <w:rPr>
                <w:bCs/>
                <w:b/>
              </w:rPr>
              <w:t xml:space="preserve">负债识别</w:t>
            </w:r>
          </w:p>
        </w:tc>
        <w:tc>
          <w:tcPr/>
          <w:p>
            <w:pPr>
              <w:pStyle w:val="Compact"/>
              <w:jc w:val="left"/>
            </w:pPr>
            <w:r>
              <w:t xml:space="preserve">遗产代码，专家退休，文档缺失，年维护成本&gt;100万元。</w:t>
            </w:r>
          </w:p>
        </w:tc>
        <w:tc>
          <w:tcPr/>
          <w:p>
            <w:pPr>
              <w:pStyle w:val="Compact"/>
              <w:jc w:val="left"/>
            </w:pPr>
            <w:r>
              <w:t xml:space="preserve">列入高风险清单，启动资产化项目。</w:t>
            </w:r>
          </w:p>
        </w:tc>
        <w:tc>
          <w:tcPr/>
          <w:p>
            <w:pPr>
              <w:pStyle w:val="Compact"/>
              <w:jc w:val="left"/>
            </w:pPr>
            <w:r>
              <w:t xml:space="preserve">识别出主要成本沉没点；风险量化评分：8.5/9（高风险）</w:t>
            </w:r>
          </w:p>
        </w:tc>
      </w:tr>
      <w:tr>
        <w:tc>
          <w:tcPr/>
          <w:p>
            <w:pPr>
              <w:pStyle w:val="Compact"/>
              <w:jc w:val="left"/>
            </w:pPr>
            <w:r>
              <w:rPr>
                <w:bCs/>
                <w:b/>
              </w:rPr>
              <w:t xml:space="preserve">资产转化</w:t>
            </w:r>
          </w:p>
        </w:tc>
        <w:tc>
          <w:tcPr/>
          <w:p>
            <w:pPr>
              <w:pStyle w:val="Compact"/>
              <w:jc w:val="left"/>
            </w:pPr>
            <w:r>
              <w:t xml:space="preserve">逻辑复杂但接口可标准化。</w:t>
            </w:r>
          </w:p>
        </w:tc>
        <w:tc>
          <w:tcPr/>
          <w:p>
            <w:pPr>
              <w:pStyle w:val="Compact"/>
              <w:jc w:val="left"/>
            </w:pPr>
            <w:r>
              <w:t xml:space="preserve">1. API契约化（中封板）；2. 容器化与签名（强封板）。</w:t>
            </w:r>
          </w:p>
        </w:tc>
        <w:tc>
          <w:tcPr/>
          <w:p>
            <w:pPr>
              <w:pStyle w:val="Compact"/>
              <w:jc w:val="left"/>
            </w:pPr>
            <w:r>
              <w:rPr>
                <w:bCs/>
                <w:b/>
              </w:rPr>
              <w:t xml:space="preserve">维护人力大幅减少（参考DORA报告Elite组典型改善幅度）</w:t>
            </w:r>
            <w:r>
              <w:t xml:space="preserve">；部署周期从周级缩短至分钟级；年度维护成本显著下降</w:t>
            </w:r>
          </w:p>
        </w:tc>
      </w:tr>
      <w:tr>
        <w:tc>
          <w:tcPr/>
          <w:p>
            <w:pPr>
              <w:pStyle w:val="Compact"/>
              <w:jc w:val="left"/>
            </w:pPr>
            <w:r>
              <w:rPr>
                <w:bCs/>
                <w:b/>
              </w:rPr>
              <w:t xml:space="preserve">衰减预警</w:t>
            </w:r>
          </w:p>
        </w:tc>
        <w:tc>
          <w:tcPr/>
          <w:p>
            <w:pPr>
              <w:pStyle w:val="Compact"/>
              <w:jc w:val="left"/>
            </w:pPr>
            <w:r>
              <w:t xml:space="preserve">依赖的OS版本EOL，安全扫描告警。</w:t>
            </w:r>
          </w:p>
        </w:tc>
        <w:tc>
          <w:tcPr/>
          <w:p>
            <w:pPr>
              <w:pStyle w:val="Compact"/>
              <w:jc w:val="left"/>
            </w:pPr>
            <w:r>
              <w:t xml:space="preserve">监控系统预警，启动再封板评估。</w:t>
            </w:r>
          </w:p>
        </w:tc>
        <w:tc>
          <w:tcPr/>
          <w:p>
            <w:pPr>
              <w:pStyle w:val="Compact"/>
              <w:jc w:val="left"/>
            </w:pPr>
            <w:r>
              <w:t xml:space="preserve">提前90天预警，规避高危漏洞风险；合规检查成本：预估20万（若未预警）→5万（提前处理）</w:t>
            </w:r>
          </w:p>
        </w:tc>
      </w:tr>
      <w:tr>
        <w:tc>
          <w:tcPr/>
          <w:p>
            <w:pPr>
              <w:pStyle w:val="Compact"/>
              <w:jc w:val="left"/>
            </w:pPr>
            <w:r>
              <w:rPr>
                <w:bCs/>
                <w:b/>
              </w:rPr>
              <w:t xml:space="preserve">解封事件</w:t>
            </w:r>
          </w:p>
        </w:tc>
        <w:tc>
          <w:tcPr/>
          <w:p>
            <w:pPr>
              <w:pStyle w:val="Compact"/>
              <w:jc w:val="left"/>
            </w:pPr>
            <w:r>
              <w:t xml:space="preserve">紧急合规调整，直接修改生产容器。</w:t>
            </w:r>
          </w:p>
        </w:tc>
        <w:tc>
          <w:tcPr/>
          <w:p>
            <w:pPr>
              <w:pStyle w:val="Compact"/>
              <w:jc w:val="left"/>
            </w:pPr>
            <w:r>
              <w:t xml:space="preserve">流水线自动记录"解封债务"。</w:t>
            </w:r>
          </w:p>
        </w:tc>
        <w:tc>
          <w:tcPr/>
          <w:p>
            <w:pPr>
              <w:pStyle w:val="Compact"/>
              <w:jc w:val="left"/>
            </w:pPr>
            <w:r>
              <w:t xml:space="preserve">使隐性技术债显性化：产生1项解封债务，需3人日清偿</w:t>
            </w:r>
          </w:p>
        </w:tc>
      </w:tr>
      <w:tr>
        <w:tc>
          <w:tcPr/>
          <w:p>
            <w:pPr>
              <w:pStyle w:val="Compact"/>
              <w:jc w:val="left"/>
            </w:pPr>
            <w:r>
              <w:rPr>
                <w:bCs/>
                <w:b/>
              </w:rPr>
              <w:t xml:space="preserve">债务偿还与再封板</w:t>
            </w:r>
          </w:p>
        </w:tc>
        <w:tc>
          <w:tcPr/>
          <w:p>
            <w:pPr>
              <w:pStyle w:val="Compact"/>
              <w:jc w:val="left"/>
            </w:pPr>
            <w:r>
              <w:t xml:space="preserve">配置漂移增加运维风险。</w:t>
            </w:r>
          </w:p>
        </w:tc>
        <w:tc>
          <w:tcPr/>
          <w:p>
            <w:pPr>
              <w:pStyle w:val="Compact"/>
              <w:jc w:val="left"/>
            </w:pPr>
            <w:r>
              <w:t xml:space="preserve">执行再封板：升级并重新部署。</w:t>
            </w:r>
          </w:p>
        </w:tc>
        <w:tc>
          <w:tcPr/>
          <w:p>
            <w:pPr>
              <w:pStyle w:val="Compact"/>
              <w:jc w:val="left"/>
            </w:pPr>
            <w:r>
              <w:rPr>
                <w:bCs/>
                <w:b/>
              </w:rPr>
              <w:t xml:space="preserve">MTTR显著缩短（参考DORA报告不可变部署模式典型改善）</w:t>
            </w:r>
            <w:r>
              <w:t xml:space="preserve">；资产健康度评分恢复至高位</w:t>
            </w:r>
          </w:p>
        </w:tc>
      </w:tr>
    </w:tbl>
    <w:p>
      <w:pPr>
        <w:pStyle w:val="BodyText"/>
      </w:pPr>
      <w:r>
        <w:rPr>
          <w:bCs/>
          <w:b/>
        </w:rPr>
        <w:t xml:space="preserve">敏感性分析说明</w:t>
      </w:r>
      <w:r>
        <w:t xml:space="preserve">：上述效益指标基于DORA《Accelerate》报告中Elite/High performer组的典型改善区间推演。即使在保守假设下（改善幅度下调20%），框架仍能带来显著的成本节约与风险可控性提升，表明本治理框架的效益具备一定的</w:t>
      </w:r>
      <w:r>
        <w:rPr>
          <w:bCs/>
          <w:b/>
        </w:rPr>
        <w:t xml:space="preserve">鲁棒性</w:t>
      </w:r>
      <w:r>
        <w:t xml:space="preserve">。</w:t>
      </w:r>
    </w:p>
    <w:p>
      <w:pPr>
        <w:pStyle w:val="BodyText"/>
      </w:pPr>
      <w:r>
        <w:rPr>
          <w:bCs/>
          <w:b/>
        </w:rPr>
        <w:t xml:space="preserve">权衡与讨论</w:t>
      </w:r>
      <w:r>
        <w:t xml:space="preserve">：需要指出，"封板"在提升确定性与降低长期成本的同时，可能引入"</w:t>
      </w:r>
      <w:r>
        <w:rPr>
          <w:bCs/>
          <w:b/>
        </w:rPr>
        <w:t xml:space="preserve">敏捷性摩擦</w:t>
      </w:r>
      <w:r>
        <w:t xml:space="preserve">"（Agility Friction）：对已封板资产的任何修改都需启动"解封-再封板"流程，增加了紧急响应的开销。因此，封板强度应与模块变更频率、业务关键性相匹配（参见表4及4.4节决策框架）。治理的精髓在于权衡，而非绝对化。</w:t>
      </w:r>
    </w:p>
    <w:p>
      <w:pPr>
        <w:pStyle w:val="BodyText"/>
      </w:pPr>
      <w:r>
        <w:rPr>
          <w:bCs/>
          <w:b/>
        </w:rPr>
        <w:t xml:space="preserve">决策场景对比</w:t>
      </w:r>
      <w:r>
        <w:t xml:space="preserve">：</w:t>
      </w:r>
    </w:p>
    <w:p>
      <w:pPr>
        <w:numPr>
          <w:ilvl w:val="0"/>
          <w:numId w:val="1009"/>
        </w:numPr>
      </w:pPr>
      <w:r>
        <w:rPr>
          <w:bCs/>
          <w:b/>
        </w:rPr>
        <w:t xml:space="preserve">改造前</w:t>
      </w:r>
      <w:r>
        <w:t xml:space="preserve">："是否重构COBOL模块？" → 因责任不清、成本未知，管理层决策"不动，凑合用"（</w:t>
      </w:r>
      <w:r>
        <w:rPr>
          <w:bCs/>
          <w:b/>
        </w:rPr>
        <w:t xml:space="preserve">风险隐匿</w:t>
      </w:r>
      <w:r>
        <w:t xml:space="preserve">）。</w:t>
      </w:r>
    </w:p>
    <w:p>
      <w:pPr>
        <w:numPr>
          <w:ilvl w:val="0"/>
          <w:numId w:val="1009"/>
        </w:numPr>
      </w:pPr>
      <w:r>
        <w:rPr>
          <w:bCs/>
          <w:b/>
        </w:rPr>
        <w:t xml:space="preserve">改造后</w:t>
      </w:r>
      <w:r>
        <w:t xml:space="preserve">："是否对'利息计算服务'资产进行再封板？" → 系统显示：升级成本15人日，预计新增维护负债周期3年，年化成本25万/年 → 管理层基于清晰数据决策（</w:t>
      </w:r>
      <w:r>
        <w:rPr>
          <w:bCs/>
          <w:b/>
        </w:rPr>
        <w:t xml:space="preserve">风险显性化</w:t>
      </w:r>
      <w:r>
        <w:t xml:space="preserve">）。</w:t>
      </w:r>
    </w:p>
    <w:bookmarkEnd w:id="41"/>
    <w:bookmarkStart w:id="45" w:name="六-实践启示与未来方向"/>
    <w:p>
      <w:pPr>
        <w:pStyle w:val="Heading2"/>
      </w:pPr>
      <w:r>
        <w:t xml:space="preserve">六、 实践启示与未来方向</w:t>
      </w:r>
    </w:p>
    <w:bookmarkStart w:id="42" w:name="Xd2338b7de9bd6d2da472cac68da77adb172bd9f"/>
    <w:p>
      <w:pPr>
        <w:pStyle w:val="Heading3"/>
      </w:pPr>
      <w:r>
        <w:t xml:space="preserve">6.1 管理启示：从技术到治理</w:t>
      </w:r>
    </w:p>
    <w:p>
      <w:pPr>
        <w:numPr>
          <w:ilvl w:val="0"/>
          <w:numId w:val="1010"/>
        </w:numPr>
      </w:pPr>
      <w:r>
        <w:rPr>
          <w:bCs/>
          <w:b/>
        </w:rPr>
        <w:t xml:space="preserve">度量体系重构</w:t>
      </w:r>
      <w:r>
        <w:t xml:space="preserve">：从"代码量"转向"资产健康度"（基于表2）与"封板成熟度"（基于表4）。</w:t>
      </w:r>
    </w:p>
    <w:p>
      <w:pPr>
        <w:numPr>
          <w:ilvl w:val="0"/>
          <w:numId w:val="1010"/>
        </w:numPr>
      </w:pPr>
      <w:r>
        <w:rPr>
          <w:bCs/>
          <w:b/>
        </w:rPr>
        <w:t xml:space="preserve">工程流程再造</w:t>
      </w:r>
      <w:r>
        <w:t xml:space="preserve">：CI/CD的核心输出应定义为"可信产出物"，内嵌签名、SBOM生成等强制门禁。</w:t>
      </w:r>
    </w:p>
    <w:p>
      <w:pPr>
        <w:numPr>
          <w:ilvl w:val="0"/>
          <w:numId w:val="1010"/>
        </w:numPr>
      </w:pPr>
      <w:r>
        <w:rPr>
          <w:bCs/>
          <w:b/>
        </w:rPr>
        <w:t xml:space="preserve">治理机制延伸</w:t>
      </w:r>
      <w:r>
        <w:t xml:space="preserve">：建立覆盖全生命周期的产出物资产管理制度，并建立内部"技术负债风险附录"。</w:t>
      </w:r>
    </w:p>
    <w:p>
      <w:pPr>
        <w:numPr>
          <w:ilvl w:val="0"/>
          <w:numId w:val="1010"/>
        </w:numPr>
      </w:pPr>
      <w:r>
        <w:rPr>
          <w:bCs/>
          <w:b/>
        </w:rPr>
        <w:t xml:space="preserve">管理层沟通策略</w:t>
      </w:r>
      <w:r>
        <w:t xml:space="preserve">：将"封板"诠释为"将不确定的运维成本转化为可控的资产投资"，将技术语言转化为预算与风险管理语言，争取资源支持。</w:t>
      </w:r>
    </w:p>
    <w:bookmarkEnd w:id="42"/>
    <w:bookmarkStart w:id="43" w:name="X017e91f81e774d7b0a195d3be2b5d3d434bb745"/>
    <w:p>
      <w:pPr>
        <w:pStyle w:val="Heading3"/>
      </w:pPr>
      <w:r>
        <w:t xml:space="preserve">6.2 落地路线图（五步法）</w:t>
      </w:r>
    </w:p>
    <w:p>
      <w:pPr>
        <w:pStyle w:val="FirstParagraph"/>
      </w:pPr>
      <w:r>
        <w:t xml:space="preserve">针对希望导入本框架的组织，建议按以下路线分阶段实施：</w:t>
      </w:r>
    </w:p>
    <w:p>
      <w:pPr>
        <w:pStyle w:val="SourceCode"/>
      </w:pPr>
      <w:r>
        <w:rPr>
          <w:rStyle w:val="VerbatimChar"/>
        </w:rPr>
        <w:t xml:space="preserve">Step 1: 识别高风险模块</w:t>
      </w:r>
      <w:r>
        <w:br/>
      </w:r>
      <w:r>
        <w:rPr>
          <w:rStyle w:val="VerbatimChar"/>
        </w:rPr>
        <w:t xml:space="preserve">  ├─ 运用表2评估存量代码EML风险</w:t>
      </w:r>
      <w:r>
        <w:br/>
      </w:r>
      <w:r>
        <w:rPr>
          <w:rStyle w:val="VerbatimChar"/>
        </w:rPr>
        <w:t xml:space="preserve">  └─ 输出：优先改造清单（按风险/价值排序）</w:t>
      </w:r>
      <w:r>
        <w:br/>
      </w:r>
      <w:r>
        <w:br/>
      </w:r>
      <w:r>
        <w:rPr>
          <w:rStyle w:val="VerbatimChar"/>
        </w:rPr>
        <w:t xml:space="preserve">Step 2: 选择封板强度</w:t>
      </w:r>
      <w:r>
        <w:br/>
      </w:r>
      <w:r>
        <w:rPr>
          <w:rStyle w:val="VerbatimChar"/>
        </w:rPr>
        <w:t xml:space="preserve">  ├─ 根据4.4节决策框架，匹配业务稳定性与故障影响度</w:t>
      </w:r>
      <w:r>
        <w:br/>
      </w:r>
      <w:r>
        <w:rPr>
          <w:rStyle w:val="VerbatimChar"/>
        </w:rPr>
        <w:t xml:space="preserve">  └─ 输出：模块-封板强度映射表</w:t>
      </w:r>
      <w:r>
        <w:br/>
      </w:r>
      <w:r>
        <w:br/>
      </w:r>
      <w:r>
        <w:rPr>
          <w:rStyle w:val="VerbatimChar"/>
        </w:rPr>
        <w:t xml:space="preserve">Step 3: 建设流水线门禁</w:t>
      </w:r>
      <w:r>
        <w:br/>
      </w:r>
      <w:r>
        <w:rPr>
          <w:rStyle w:val="VerbatimChar"/>
        </w:rPr>
        <w:t xml:space="preserve">  ├─ CI/CD集成：版本锁定、SBOM生成、签名、安全扫描</w:t>
      </w:r>
      <w:r>
        <w:br/>
      </w:r>
      <w:r>
        <w:rPr>
          <w:rStyle w:val="VerbatimChar"/>
        </w:rPr>
        <w:t xml:space="preserve">  └─ 输出：封板自动化流水线</w:t>
      </w:r>
      <w:r>
        <w:br/>
      </w:r>
      <w:r>
        <w:br/>
      </w:r>
      <w:r>
        <w:rPr>
          <w:rStyle w:val="VerbatimChar"/>
        </w:rPr>
        <w:t xml:space="preserve">Step 4: 设定衰减预警</w:t>
      </w:r>
      <w:r>
        <w:br/>
      </w:r>
      <w:r>
        <w:rPr>
          <w:rStyle w:val="VerbatimChar"/>
        </w:rPr>
        <w:t xml:space="preserve">  ├─ 监控依赖EOL、漏洞告警、SLO违约</w:t>
      </w:r>
      <w:r>
        <w:br/>
      </w:r>
      <w:r>
        <w:rPr>
          <w:rStyle w:val="VerbatimChar"/>
        </w:rPr>
        <w:t xml:space="preserve">  └─ 输出：资产健康度仪表盘</w:t>
      </w:r>
      <w:r>
        <w:br/>
      </w:r>
      <w:r>
        <w:br/>
      </w:r>
      <w:r>
        <w:rPr>
          <w:rStyle w:val="VerbatimChar"/>
        </w:rPr>
        <w:t xml:space="preserve">Step 5: 解封审批与再封板SLA</w:t>
      </w:r>
      <w:r>
        <w:br/>
      </w:r>
      <w:r>
        <w:rPr>
          <w:rStyle w:val="VerbatimChar"/>
        </w:rPr>
        <w:t xml:space="preserve">  ├─ 定义解封门槛（如CCB审批）与偿还期限（如7天内再封板）</w:t>
      </w:r>
      <w:r>
        <w:br/>
      </w:r>
      <w:r>
        <w:rPr>
          <w:rStyle w:val="VerbatimChar"/>
        </w:rPr>
        <w:t xml:space="preserve">  └─ 输出：治理闭环与审计记录</w:t>
      </w:r>
    </w:p>
    <w:bookmarkEnd w:id="43"/>
    <w:bookmarkStart w:id="44" w:name="X1a8ce6607bc5f8fe00e350b1924056a7eb26efc"/>
    <w:p>
      <w:pPr>
        <w:pStyle w:val="Heading3"/>
      </w:pPr>
      <w:r>
        <w:t xml:space="preserve">6.3 研究局限与未来方向</w:t>
      </w:r>
    </w:p>
    <w:p>
      <w:pPr>
        <w:pStyle w:val="FirstParagraph"/>
      </w:pPr>
      <w:r>
        <w:rPr>
          <w:bCs/>
          <w:b/>
        </w:rPr>
        <w:t xml:space="preserve">局限</w:t>
      </w:r>
      <w:r>
        <w:t xml:space="preserve">：评估框架的普适性需更多行业验证；"封板衰减"模型有待基于真实数据（如开源项目版本历史）的生存分析深化；对"敏捷性摩擦"的量化管理需进一步研究。</w:t>
      </w:r>
    </w:p>
    <w:p>
      <w:pPr>
        <w:pStyle w:val="BodyText"/>
      </w:pPr>
      <w:r>
        <w:rPr>
          <w:bCs/>
          <w:b/>
        </w:rPr>
        <w:t xml:space="preserve">未来方向</w:t>
      </w:r>
      <w:r>
        <w:t xml:space="preserve">：</w:t>
      </w:r>
    </w:p>
    <w:p>
      <w:pPr>
        <w:numPr>
          <w:ilvl w:val="0"/>
          <w:numId w:val="1011"/>
        </w:numPr>
      </w:pPr>
      <w:r>
        <w:rPr>
          <w:bCs/>
          <w:b/>
        </w:rPr>
        <w:t xml:space="preserve">智能化负债管理</w:t>
      </w:r>
      <w:r>
        <w:t xml:space="preserve">：利用代码分析、仓库活动等数据，构建负债风险预测与智能封板决策模型。</w:t>
      </w:r>
    </w:p>
    <w:p>
      <w:pPr>
        <w:numPr>
          <w:ilvl w:val="0"/>
          <w:numId w:val="1011"/>
        </w:numPr>
      </w:pPr>
      <w:r>
        <w:rPr>
          <w:bCs/>
          <w:b/>
        </w:rPr>
        <w:t xml:space="preserve">软件资产经济估值</w:t>
      </w:r>
      <w:r>
        <w:t xml:space="preserve">：探索结合复用度、稳定性、替代成本的产出物经济价值评估框架。</w:t>
      </w:r>
    </w:p>
    <w:p>
      <w:pPr>
        <w:numPr>
          <w:ilvl w:val="0"/>
          <w:numId w:val="1011"/>
        </w:numPr>
      </w:pPr>
      <w:r>
        <w:rPr>
          <w:bCs/>
          <w:b/>
        </w:rPr>
        <w:t xml:space="preserve">本土化实践集成</w:t>
      </w:r>
      <w:r>
        <w:t xml:space="preserve">：研究与国内领先的DevOps平台、信创软件资产管理解决方案的深度融合路径，推动理论落地。</w:t>
      </w:r>
    </w:p>
    <w:bookmarkEnd w:id="44"/>
    <w:bookmarkEnd w:id="45"/>
    <w:bookmarkStart w:id="46" w:name="七-结论"/>
    <w:p>
      <w:pPr>
        <w:pStyle w:val="Heading2"/>
      </w:pPr>
      <w:r>
        <w:t xml:space="preserve">七、 结论</w:t>
      </w:r>
    </w:p>
    <w:p>
      <w:pPr>
        <w:pStyle w:val="FirstParagraph"/>
      </w:pPr>
      <w:r>
        <w:t xml:space="preserve">银行COBOL核心模块的资产化重生之旅，完整展示了"存在性负债→封板→产出物资产→衰减与再封板"的治理闭环。这一案例表明，</w:t>
      </w:r>
      <w:r>
        <w:rPr>
          <w:bCs/>
          <w:b/>
        </w:rPr>
        <w:t xml:space="preserve">软件工程的价值锚点应从"代码生产"转向"资产化交付"</w:t>
      </w:r>
      <w:r>
        <w:t xml:space="preserve">。</w:t>
      </w:r>
    </w:p>
    <w:p>
      <w:pPr>
        <w:pStyle w:val="BodyText"/>
      </w:pPr>
      <w:r>
        <w:t xml:space="preserve">本文提出的框架——</w:t>
      </w:r>
      <w:r>
        <w:rPr>
          <w:bCs/>
          <w:b/>
        </w:rPr>
        <w:t xml:space="preserve">在工程治理意义上，持续演进的代码更接近负债载体，而封板后的产出物才构成可治理资产</w:t>
      </w:r>
      <w:r>
        <w:t xml:space="preserve">，不仅为破解软件维护成本困局提供了新的分析工具，更具强烈的现实意义：在中国软件业</w:t>
      </w:r>
      <w:r>
        <w:rPr>
          <w:bCs/>
          <w:b/>
        </w:rPr>
        <w:t xml:space="preserve">人员高流动</w:t>
      </w:r>
      <w:r>
        <w:t xml:space="preserve">的市场上，它是构建组织级研发韧性的工程基石；在</w:t>
      </w:r>
      <w:r>
        <w:rPr>
          <w:bCs/>
          <w:b/>
        </w:rPr>
        <w:t xml:space="preserve">信创</w:t>
      </w:r>
      <w:r>
        <w:t xml:space="preserve">国家战略下，它是构筑安全可信软件供应链的治理抓手。推动从"代码本位"到"产出物资产本位"的转型，是产业回归工程本质、迈向高质量发展的理性选择。</w:t>
      </w:r>
    </w:p>
    <w:p>
      <w:pPr>
        <w:pStyle w:val="BodyText"/>
      </w:pPr>
      <w:r>
        <w:rPr>
          <w:bCs/>
          <w:b/>
        </w:rPr>
        <w:t xml:space="preserve">需要再次强调的是，本文并非否定软件代码作为无形资产的经济价值，而是揭示：唯有通过"封板"等显性治理手段，剥离其附着的不确定性维护负债，其真正的资产属性才能得以稳固呈现和可靠计量。</w:t>
      </w:r>
    </w:p>
    <w:p>
      <w:pPr>
        <w:pStyle w:val="BodyText"/>
      </w:pPr>
      <w:r>
        <w:rPr>
          <w:bCs/>
          <w:b/>
        </w:rPr>
        <w:t xml:space="preserve">（本框架同样适用于制造业、能源、政务等领域的复杂遗留系统现代化与国产化软件资产治理。）</w:t>
      </w:r>
    </w:p>
    <w:p>
      <w:r>
        <w:pict>
          <v:rect style="width:0;height:1.5pt" o:hralign="center" o:hrstd="t" o:hr="t"/>
        </w:pict>
      </w:r>
    </w:p>
    <w:bookmarkEnd w:id="46"/>
    <w:bookmarkStart w:id="49" w:name="参考文献"/>
    <w:p>
      <w:pPr>
        <w:pStyle w:val="Heading2"/>
      </w:pPr>
      <w:r>
        <w:t xml:space="preserve">参考文献</w:t>
      </w:r>
    </w:p>
    <w:p>
      <w:pPr>
        <w:pStyle w:val="FirstParagraph"/>
      </w:pPr>
      <w:r>
        <w:t xml:space="preserve">[1] 中国软件行业协会. 中国软件产业发展报告（2023）[R]. 北京：中国软件行业协会, 2023.</w:t>
      </w:r>
      <w:r>
        <w:br/>
      </w:r>
      <w:r>
        <w:t xml:space="preserve">[2] 国家金融监督管理总局. 关于2022年度银行保险机构信息科技风险管理情况的通报[Z]. 2023.</w:t>
      </w:r>
      <w:r>
        <w:br/>
      </w:r>
      <w:r>
        <w:t xml:space="preserve">[3] Cunningham W. The WyCash Portfolio Management System[C]//OOPSLA'92 Experience Report. 1992.</w:t>
      </w:r>
      <w:r>
        <w:br/>
      </w:r>
      <w:r>
        <w:t xml:space="preserve">[4] 中华人民共和国财政部. 企业会计准则第13号——或有事项[S]. 2006.</w:t>
      </w:r>
      <w:r>
        <w:br/>
      </w:r>
      <w:r>
        <w:t xml:space="preserve">[5] Eghbal N. Working in Public: The Making and Maintenance of Open Source Software[M]. Stripe Press, 2020.</w:t>
      </w:r>
      <w:r>
        <w:br/>
      </w:r>
      <w:r>
        <w:t xml:space="preserve">[6] Bader M, Chintamaneni P K. Software Bill of Materials: Survey and Perspectives[J]. IEEE Security &amp; Privacy, 2022, 20(4): 86-93. DOI: 10.1109/MSEC.2022.3141690</w:t>
      </w:r>
      <w:r>
        <w:br/>
      </w:r>
      <w:r>
        <w:t xml:space="preserve">[7] Google. SLSA: Supply-chain Levels for Software Artifacts v1.0[EB/OL].</w:t>
      </w:r>
      <w:r>
        <w:t xml:space="preserve"> </w:t>
      </w:r>
      <w:hyperlink r:id="rId47">
        <w:r>
          <w:rPr>
            <w:rStyle w:val="Hyperlink"/>
          </w:rPr>
          <w:t xml:space="preserve">https://slsa.dev/spec/v1.0</w:t>
        </w:r>
      </w:hyperlink>
      <w:r>
        <w:t xml:space="preserve">, 2023.</w:t>
      </w:r>
      <w:r>
        <w:br/>
      </w:r>
      <w:r>
        <w:t xml:space="preserve">[8] Li Z, Avgeriou P, Liang P. A systematic mapping study on technical debt and its management[J]. Journal of Systems and Software, 2015, 101: 193-220.</w:t>
      </w:r>
      <w:r>
        <w:br/>
      </w:r>
      <w:r>
        <w:t xml:space="preserve">[9] Besker T, Martini A, Lokuge R E, et al. Embracing technical debt, from a startup company perspective[C]//2018 IEEE International Conference on Software Maintenance and Evolution (ICSME). IEEE, 2018: 415-425.</w:t>
      </w:r>
      <w:r>
        <w:br/>
      </w:r>
      <w:r>
        <w:t xml:space="preserve">[10] Xiao L, Cai Y, Kazman R. Design rule spaces: a new form of architecture insight[C]//Proceedings of the 36th International Conference on Software Engineering. 2014: 967-977.</w:t>
      </w:r>
      <w:r>
        <w:br/>
      </w:r>
      <w:r>
        <w:t xml:space="preserve">[11] 全国信息安全标准化技术委员会. 网络安全标准实践指南—软件供应链安全管理要求（正式稿）[Z]. 2024.</w:t>
      </w:r>
      <w:r>
        <w:br/>
      </w:r>
      <w:r>
        <w:t xml:space="preserve">[12] Boehm, B. W., &amp; Papaccio, P. N. (1988). Understanding and controlling software costs.</w:t>
      </w:r>
      <w:r>
        <w:t xml:space="preserve"> </w:t>
      </w:r>
      <w:r>
        <w:rPr>
          <w:iCs/>
          <w:i/>
        </w:rPr>
        <w:t xml:space="preserve">IEEE Transactions on Software Engineering</w:t>
      </w:r>
      <w:r>
        <w:t xml:space="preserve">, 14(10), 1462-1477.</w:t>
      </w:r>
      <w:r>
        <w:br/>
      </w:r>
      <w:r>
        <w:t xml:space="preserve">[13] Ampatzoglou, A., et al. (2019). The financial aspect of managing technical debt: A systematic literature review.</w:t>
      </w:r>
      <w:r>
        <w:t xml:space="preserve"> </w:t>
      </w:r>
      <w:r>
        <w:rPr>
          <w:iCs/>
          <w:i/>
        </w:rPr>
        <w:t xml:space="preserve">Information and Software Technology</w:t>
      </w:r>
      <w:r>
        <w:t xml:space="preserve">, 114, 1-18.</w:t>
      </w:r>
      <w:r>
        <w:br/>
      </w:r>
      <w:r>
        <w:t xml:space="preserve">[14] Forsgren N, Humble J, Kim G. Accelerate: The Science of Lean Software and DevOps[M]. IT Revolution Press, 2018.</w:t>
      </w:r>
    </w:p>
    <w:p>
      <w:r>
        <w:pict>
          <v:rect style="width:0;height:1.5pt" o:hralign="center" o:hrstd="t" o:hr="t"/>
        </w:pict>
      </w:r>
    </w:p>
    <w:p>
      <w:pPr>
        <w:pStyle w:val="FirstParagraph"/>
      </w:pPr>
      <w:r>
        <w:rPr>
          <w:bCs/>
          <w:b/>
        </w:rPr>
        <w:t xml:space="preserve">致谢</w:t>
      </w:r>
      <w:r>
        <w:t xml:space="preserve">：感谢审稿专家及主编提出的宝贵意见。</w:t>
      </w:r>
    </w:p>
    <w:p>
      <w:pPr>
        <w:pStyle w:val="BodyText"/>
      </w:pPr>
      <w:r>
        <w:rPr>
          <w:bCs/>
          <w:b/>
        </w:rPr>
        <w:t xml:space="preserve">作者简介</w:t>
      </w:r>
      <w:r>
        <w:t xml:space="preserve">：付毅（1973—），男，无职称，无学位，川北医学院后勤管理处。E-mail:</w:t>
      </w:r>
      <w:r>
        <w:t xml:space="preserve"> </w:t>
      </w:r>
      <w:hyperlink r:id="rId48">
        <w:r>
          <w:rPr>
            <w:rStyle w:val="Hyperlink"/>
          </w:rPr>
          <w:t xml:space="preserve">fuyi@nsmc.edu.cn</w:t>
        </w:r>
      </w:hyperlink>
    </w:p>
    <w:p>
      <w:pPr>
        <w:pStyle w:val="BodyText"/>
      </w:pPr>
      <w:r>
        <w:rPr>
          <w:bCs/>
          <w:b/>
        </w:rPr>
        <w:t xml:space="preserve">Biography</w:t>
      </w:r>
      <w:r>
        <w:t xml:space="preserve">: FU Yi (1973—), male, no professional title, no degree, Logistics Management Office, North Sichuan Medical College. E-mail:</w:t>
      </w:r>
      <w:r>
        <w:t xml:space="preserve"> </w:t>
      </w:r>
      <w:hyperlink r:id="rId48">
        <w:r>
          <w:rPr>
            <w:rStyle w:val="Hyperlink"/>
          </w:rPr>
          <w:t xml:space="preserve">fuyi@nsmc.edu.cn</w:t>
        </w:r>
      </w:hyperlink>
    </w:p>
    <w:p>
      <w:pPr>
        <w:pStyle w:val="BodyText"/>
      </w:pPr>
      <w:r>
        <w:rPr>
          <w:bCs/>
          <w:b/>
        </w:rPr>
        <w:t xml:space="preserve">通讯作者/Corresponding author</w:t>
      </w:r>
      <w:r>
        <w:t xml:space="preserve">：付毅，E-mail:</w:t>
      </w:r>
      <w:r>
        <w:t xml:space="preserve"> </w:t>
      </w:r>
      <w:hyperlink r:id="rId48">
        <w:r>
          <w:rPr>
            <w:rStyle w:val="Hyperlink"/>
          </w:rPr>
          <w:t xml:space="preserve">fuyi@nsmc.edu.cn</w:t>
        </w:r>
      </w:hyperlink>
      <w:r>
        <w:br/>
      </w:r>
      <w:r>
        <w:rPr>
          <w:bCs/>
          <w:b/>
        </w:rPr>
        <w:t xml:space="preserve">联系电话/Tel</w:t>
      </w:r>
      <w:r>
        <w:t xml:space="preserve">：17781158558</w:t>
      </w:r>
      <w:r>
        <w:br/>
      </w:r>
      <w:r>
        <w:rPr>
          <w:bCs/>
          <w:b/>
        </w:rPr>
        <w:t xml:space="preserve">传真/Fax</w:t>
      </w:r>
      <w:r>
        <w:t xml:space="preserve">：无 / None</w:t>
      </w:r>
      <w:r>
        <w:br/>
      </w:r>
      <w:r>
        <w:rPr>
          <w:bCs/>
          <w:b/>
        </w:rPr>
        <w:t xml:space="preserve">基金项目/Funding</w:t>
      </w:r>
      <w:r>
        <w:t xml:space="preserve">：无 / None</w:t>
      </w:r>
      <w:r>
        <w:br/>
      </w:r>
      <w:r>
        <w:rPr>
          <w:bCs/>
          <w:b/>
        </w:rPr>
        <w:t xml:space="preserve">地址/Address</w:t>
      </w:r>
      <w:r>
        <w:t xml:space="preserve">：四川省南充市顺庆区大学城，637000 / University Town, Shunqing District, Nanchong, Sichuan 637000, China</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本文"负债"均指管理会计语境，非《企业会计准则》下的法定负债。</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slsa.dev/spec/v1.0" TargetMode="External" /><Relationship Type="http://schemas.openxmlformats.org/officeDocument/2006/relationships/hyperlink" Id="rId48" Target="mailto:fuyi@nsmc.edu.cn" TargetMode="External" /></Relationships>
</file>

<file path=word/_rels/footnotes.xml.rels><?xml version="1.0" encoding="UTF-8"?><Relationships xmlns="http://schemas.openxmlformats.org/package/2006/relationships"><Relationship Type="http://schemas.openxmlformats.org/officeDocument/2006/relationships/hyperlink" Id="rId47" Target="https://slsa.dev/spec/v1.0" TargetMode="External" /><Relationship Type="http://schemas.openxmlformats.org/officeDocument/2006/relationships/hyperlink" Id="rId48" Target="mailto:fuyi@nsmc.edu.c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2026-02-08T09:44:33Z</dcterms:created>
  <dcterms:modified xsi:type="dcterms:W3CDTF">2026-02-08T09:44:33Z</dcterms:modified>
</cp:coreProperties>
</file>

<file path=docProps/custom.xml><?xml version="1.0" encoding="utf-8"?>
<Properties xmlns="http://schemas.openxmlformats.org/officeDocument/2006/custom-properties" xmlns:vt="http://schemas.openxmlformats.org/officeDocument/2006/docPropsVTypes"/>
</file>