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9F5C00">
      <w:pPr>
        <w:pStyle w:val="2"/>
        <w:rPr>
          <w:rFonts w:hint="eastAsia"/>
        </w:rPr>
      </w:pPr>
      <w:bookmarkStart w:id="0" w:name="可执行规范驱动的软件治理ai-辅助开发中的责任锚定与交付重构"/>
      <w:bookmarkStart w:id="37" w:name="_GoBack"/>
      <w:bookmarkEnd w:id="37"/>
      <w:r>
        <w:rPr>
          <w:rFonts w:hint="eastAsia"/>
        </w:rPr>
        <w:t>【中文标题】</w:t>
      </w:r>
    </w:p>
    <w:p w14:paraId="14F1DF51">
      <w:pPr>
        <w:pStyle w:val="2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可执行规范驱动的软件治理：AI 辅助开发中的责任锚定与交付重构</w:t>
      </w:r>
    </w:p>
    <w:p w14:paraId="589BBEB2">
      <w:pPr>
        <w:pStyle w:val="2"/>
        <w:rPr>
          <w:rFonts w:hint="eastAsia"/>
        </w:rPr>
      </w:pPr>
    </w:p>
    <w:p w14:paraId="2BA2F19C">
      <w:pPr>
        <w:pStyle w:val="2"/>
        <w:rPr>
          <w:rFonts w:hint="eastAsia"/>
        </w:rPr>
      </w:pPr>
      <w:r>
        <w:rPr>
          <w:rFonts w:hint="eastAsia"/>
        </w:rPr>
        <w:t>【英文标题】</w:t>
      </w:r>
    </w:p>
    <w:p w14:paraId="78706FFF">
      <w:pPr>
        <w:pStyle w:val="2"/>
        <w:rPr>
          <w:rFonts w:hint="eastAsia"/>
        </w:rPr>
      </w:pPr>
      <w:r>
        <w:rPr>
          <w:rFonts w:hint="eastAsia"/>
        </w:rPr>
        <w:t>Executable Specification-Driven Software Governance: Accountability Anchoring and Delivery Reconstruction in AI-Assisted Development</w:t>
      </w:r>
    </w:p>
    <w:p w14:paraId="444CFC77">
      <w:pPr>
        <w:pStyle w:val="2"/>
        <w:rPr>
          <w:rFonts w:hint="eastAsia"/>
        </w:rPr>
      </w:pPr>
    </w:p>
    <w:p w14:paraId="28A9A8BA">
      <w:pPr>
        <w:pStyle w:val="2"/>
        <w:rPr>
          <w:rFonts w:hint="eastAsia"/>
        </w:rPr>
      </w:pPr>
      <w:r>
        <w:rPr>
          <w:rFonts w:hint="eastAsia"/>
        </w:rPr>
        <w:t>【作者】</w:t>
      </w:r>
    </w:p>
    <w:p w14:paraId="58BB9B66">
      <w:pPr>
        <w:pStyle w:val="2"/>
        <w:rPr>
          <w:rFonts w:hint="eastAsia"/>
        </w:rPr>
      </w:pPr>
      <w:r>
        <w:rPr>
          <w:rFonts w:hint="eastAsia"/>
        </w:rPr>
        <w:t>付毅</w:t>
      </w:r>
    </w:p>
    <w:p w14:paraId="7AB2E687">
      <w:pPr>
        <w:pStyle w:val="2"/>
        <w:rPr>
          <w:rFonts w:hint="eastAsia"/>
        </w:rPr>
      </w:pPr>
      <w:r>
        <w:rPr>
          <w:rFonts w:hint="eastAsia"/>
        </w:rPr>
        <w:t>（川北医学院后勤管理处，四川 南充 637000）</w:t>
      </w:r>
    </w:p>
    <w:p w14:paraId="2770D926">
      <w:pPr>
        <w:pStyle w:val="2"/>
        <w:rPr>
          <w:rFonts w:hint="eastAsia"/>
        </w:rPr>
      </w:pPr>
    </w:p>
    <w:p w14:paraId="6AB98447">
      <w:pPr>
        <w:pStyle w:val="2"/>
        <w:rPr>
          <w:rFonts w:hint="eastAsia"/>
        </w:rPr>
      </w:pPr>
      <w:r>
        <w:rPr>
          <w:rFonts w:hint="eastAsia"/>
        </w:rPr>
        <w:t>【通讯邮箱】</w:t>
      </w:r>
    </w:p>
    <w:p w14:paraId="5DB5E8BE">
      <w:pPr>
        <w:pStyle w:val="2"/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"mailto:fuyi@nsmc.edu.cn" </w:instrText>
      </w:r>
      <w:r>
        <w:rPr>
          <w:rFonts w:hint="eastAsia"/>
        </w:rPr>
        <w:fldChar w:fldCharType="separate"/>
      </w:r>
      <w:r>
        <w:rPr>
          <w:rStyle w:val="20"/>
          <w:rFonts w:hint="eastAsia"/>
        </w:rPr>
        <w:t>fuyi@nsmc.edu.cn</w:t>
      </w:r>
      <w:r>
        <w:rPr>
          <w:rFonts w:hint="eastAsia"/>
        </w:rPr>
        <w:fldChar w:fldCharType="end"/>
      </w:r>
    </w:p>
    <w:p w14:paraId="6F85F301">
      <w:pPr>
        <w:pStyle w:val="3"/>
      </w:pPr>
    </w:p>
    <w:p w14:paraId="0A1261BE">
      <w:pPr>
        <w:pStyle w:val="2"/>
      </w:pPr>
      <w:r>
        <w:t>可执行规范驱动的软件治理：AI 辅助开发中的责任锚定与交付重构</w:t>
      </w:r>
    </w:p>
    <w:p w14:paraId="69CEB2B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0646665">
      <w:pPr>
        <w:pStyle w:val="4"/>
      </w:pPr>
      <w:bookmarkStart w:id="1" w:name="摘要"/>
      <w:r>
        <w:t>摘要</w:t>
      </w:r>
    </w:p>
    <w:p w14:paraId="3E3F7055">
      <w:pPr>
        <w:pStyle w:val="23"/>
      </w:pPr>
      <w:r>
        <w:t>大语言模型在软件开发中的应用显著降低了代码生成成本，但也放大了传统代码审查的带宽瓶颈与责任不可追溯问题。为应对“高产出—低审查”不匹配带来的质量与合规风险，本文提出一种</w:t>
      </w:r>
      <w:r>
        <w:rPr>
          <w:b/>
          <w:bCs/>
        </w:rPr>
        <w:t>可执行规范驱动的软件治理框架</w:t>
      </w:r>
      <w:r>
        <w:t>，由</w:t>
      </w:r>
      <w:r>
        <w:rPr>
          <w:b/>
          <w:bCs/>
        </w:rPr>
        <w:t>输出驱动开发（ODD）</w:t>
      </w:r>
      <w:r>
        <w:t>与</w:t>
      </w:r>
      <w:r>
        <w:rPr>
          <w:b/>
          <w:bCs/>
        </w:rPr>
        <w:t>验收控制系统（ACS）</w:t>
      </w:r>
      <w:r>
        <w:t>构成。该框架将规范转化为机器可验证的约束（契约），在交付端形成“工件—契约—验收”的责任锚定链路，并支持例外可审计与证据可追溯。我们在某大型企业级项目中进行了落地实践，结果显示审查负荷降低约 40%，同时减少了 AI 生成代码引发的回归风险。本文系统化给出方法目标、流程结构与实践要点，并讨论适用边界与实施成本。</w:t>
      </w:r>
    </w:p>
    <w:p w14:paraId="62F4366A">
      <w:pPr>
        <w:pStyle w:val="3"/>
      </w:pPr>
      <w:r>
        <w:rPr>
          <w:b/>
          <w:bCs/>
        </w:rPr>
        <w:t>关键词</w:t>
      </w:r>
      <w:r>
        <w:t>：软件治理；AI 辅助编程；可执行规范；验收控制系统（ACS）；输出驱动开发（ODD）</w:t>
      </w:r>
    </w:p>
    <w:p w14:paraId="52CA44A9">
      <w:pPr>
        <w:pStyle w:val="3"/>
      </w:pPr>
      <w:r>
        <w:rPr>
          <w:rFonts w:hint="eastAsia"/>
        </w:rPr>
        <w:t>英文关键词：software governance; AI-assisted programming; executable specification; Acceptance Control System (ACS); Output-Driven Development (ODD)</w:t>
      </w:r>
    </w:p>
    <w:p w14:paraId="6ADFB6C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C7A5F7C">
      <w:pPr>
        <w:pStyle w:val="4"/>
      </w:pPr>
      <w:bookmarkStart w:id="2" w:name="X9e0e48bd65310e5622b496d9e969f57a0000021"/>
      <w:r>
        <w:t>1 引言</w:t>
      </w:r>
    </w:p>
    <w:p w14:paraId="65DD549A">
      <w:pPr>
        <w:pStyle w:val="23"/>
      </w:pPr>
      <w:r>
        <w:t>AI 辅助编程显著提升开发产出，但并未同比提升审查能力，导致“审查积压”“低质量合入”“责任难定位”等问题。传统代码审查依赖人工理解与经验判断，在高频生成场景下容易退化为“只看结果”的形式性审批，进而推高回归风险与合规成本。</w:t>
      </w:r>
    </w:p>
    <w:p w14:paraId="0A6C8840">
      <w:pPr>
        <w:pStyle w:val="3"/>
      </w:pPr>
      <w:r>
        <w:t>本文从工程实践视角出发，提出以</w:t>
      </w:r>
      <w:r>
        <w:rPr>
          <w:b/>
          <w:bCs/>
        </w:rPr>
        <w:t>可执行规范</w:t>
      </w:r>
      <w:r>
        <w:t>为中心的治理路径，把“是否符合要求”转化为可验证约束，把“是否放行”转化为可审计验收事件，从而在效率与责任之间取得可操作的平衡。</w:t>
      </w:r>
    </w:p>
    <w:p w14:paraId="639B50AE">
      <w:pPr>
        <w:pStyle w:val="3"/>
      </w:pPr>
      <w:r>
        <w:rPr>
          <w:b/>
          <w:bCs/>
        </w:rPr>
        <w:t>贡献</w:t>
      </w:r>
      <w:r>
        <w:t>如下：</w:t>
      </w:r>
    </w:p>
    <w:p w14:paraId="776E523A">
      <w:pPr>
        <w:numPr>
          <w:ilvl w:val="0"/>
          <w:numId w:val="1"/>
        </w:numPr>
      </w:pPr>
      <w:r>
        <w:t>提出 ODD+ACS 的可执行规范治理框架与设计目标；</w:t>
      </w:r>
    </w:p>
    <w:p w14:paraId="14A686AA">
      <w:pPr>
        <w:numPr>
          <w:ilvl w:val="0"/>
          <w:numId w:val="1"/>
        </w:numPr>
      </w:pPr>
      <w:r>
        <w:t>给出“工件—契约—验收”三元链路、例外处理与记录结构；</w:t>
      </w:r>
    </w:p>
    <w:p w14:paraId="5B7455AC">
      <w:pPr>
        <w:numPr>
          <w:ilvl w:val="0"/>
          <w:numId w:val="1"/>
        </w:numPr>
      </w:pPr>
      <w:r>
        <w:t>结合企业级项目实践，呈现可量化的降负荷与风险控制效果，并总结实施成本与边界条件。</w:t>
      </w:r>
    </w:p>
    <w:p w14:paraId="7751F55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41314A6">
      <w:pPr>
        <w:pStyle w:val="4"/>
      </w:pPr>
      <w:bookmarkStart w:id="3" w:name="X46f9462b6b1afacf7b26836323dffbd71b9de84"/>
      <w:r>
        <w:t>2 相关工作与问题界定</w:t>
      </w:r>
    </w:p>
    <w:p w14:paraId="5D6F4215">
      <w:pPr>
        <w:pStyle w:val="5"/>
      </w:pPr>
      <w:bookmarkStart w:id="4" w:name="X26182dc0eb25a20f8d0e3d08f4e9b5001dacc04"/>
      <w:r>
        <w:t>2.1 代码审查的带宽瓶颈</w:t>
      </w:r>
    </w:p>
    <w:p w14:paraId="25F80955">
      <w:pPr>
        <w:pStyle w:val="23"/>
      </w:pPr>
      <w:r>
        <w:t>代码审查在传统流程中承担质量把关与知识传播功能，但在 AI 生成的高频变更中，人工审查难以保持覆盖率与深度，容易形成“积压—压缩—漏检”的恶性循环。</w:t>
      </w:r>
    </w:p>
    <w:bookmarkEnd w:id="4"/>
    <w:p w14:paraId="28979107">
      <w:pPr>
        <w:pStyle w:val="5"/>
      </w:pPr>
      <w:bookmarkStart w:id="5" w:name="X2d62b282ddea858e82bef66965c1e72c5789995"/>
      <w:r>
        <w:t>2.2 质量门禁与政策即代码</w:t>
      </w:r>
    </w:p>
    <w:p w14:paraId="21B6A6B6">
      <w:pPr>
        <w:pStyle w:val="23"/>
      </w:pPr>
      <w:r>
        <w:t>质量门禁、policy-as-code 等机制提升了自动化控制能力，但往往缺少明确的“验收责任锚”，难以回答“谁在何授权下放行了哪个版本”的可追溯问题。</w:t>
      </w:r>
    </w:p>
    <w:bookmarkEnd w:id="5"/>
    <w:p w14:paraId="09A38F3B">
      <w:pPr>
        <w:pStyle w:val="5"/>
      </w:pPr>
      <w:bookmarkStart w:id="6" w:name="X4003fe829354763bd3db3f663101a36a7bc4623"/>
      <w:r>
        <w:t>2.3 责任追溯与治理记录</w:t>
      </w:r>
    </w:p>
    <w:p w14:paraId="1D5ABB0B">
      <w:pPr>
        <w:pStyle w:val="23"/>
      </w:pPr>
      <w:r>
        <w:t>现有流程更多关注“是否通过测试/扫描”，而缺少统一的验收记录结构，导致审计与复盘难以直接回到“验收当时的标准与证据”。</w:t>
      </w:r>
    </w:p>
    <w:bookmarkEnd w:id="6"/>
    <w:p w14:paraId="540FD540">
      <w:pPr>
        <w:pStyle w:val="5"/>
      </w:pPr>
      <w:bookmarkStart w:id="7" w:name="X3e61412b150ba265ce8b125b44d127a00556427"/>
      <w:r>
        <w:t>2.4 问题界定</w:t>
      </w:r>
    </w:p>
    <w:p w14:paraId="6E17ADBF">
      <w:pPr>
        <w:pStyle w:val="23"/>
      </w:pPr>
      <w:r>
        <w:t>本文聚焦两个工程问题：</w:t>
      </w:r>
      <w:r>
        <w:br w:type="textWrapping"/>
      </w:r>
      <w:r>
        <w:rPr>
          <w:b/>
          <w:bCs/>
        </w:rPr>
        <w:t>(Q1)</w:t>
      </w:r>
      <w:r>
        <w:t xml:space="preserve"> 在 AI 生成代码高频变更下，如何降低审查负荷而不牺牲可追溯性？</w:t>
      </w:r>
      <w:r>
        <w:br w:type="textWrapping"/>
      </w:r>
      <w:r>
        <w:rPr>
          <w:b/>
          <w:bCs/>
        </w:rPr>
        <w:t>(Q2)</w:t>
      </w:r>
      <w:r>
        <w:t xml:space="preserve"> 如何将验收标准转化为可验证约束，并形成可审计的放行记录？</w:t>
      </w:r>
    </w:p>
    <w:p w14:paraId="6FA9463D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4906AA03">
      <w:pPr>
        <w:pStyle w:val="4"/>
      </w:pPr>
      <w:bookmarkStart w:id="8" w:name="X328405a55b6cea68543993d7cfa80dcbab11a0e"/>
      <w:r>
        <w:t>3 方法概述：ODD 与 ACS</w:t>
      </w:r>
    </w:p>
    <w:p w14:paraId="5A590F77">
      <w:pPr>
        <w:pStyle w:val="5"/>
      </w:pPr>
      <w:bookmarkStart w:id="9" w:name="X6909213a9d20e47de37290e7a5ada7bede73212"/>
      <w:r>
        <w:t>3.1 设计目标</w:t>
      </w:r>
    </w:p>
    <w:p w14:paraId="35D64C54">
      <w:pPr>
        <w:pStyle w:val="23"/>
      </w:pPr>
      <w:r>
        <w:t>本框架强调以下工程目标：</w:t>
      </w:r>
    </w:p>
    <w:p w14:paraId="77E28A9B">
      <w:pPr>
        <w:numPr>
          <w:ilvl w:val="0"/>
          <w:numId w:val="2"/>
        </w:numPr>
      </w:pPr>
      <w:r>
        <w:rPr>
          <w:b/>
          <w:bCs/>
        </w:rPr>
        <w:t>可验证</w:t>
      </w:r>
      <w:r>
        <w:t>：规范可被机器执行与自动校验；</w:t>
      </w:r>
    </w:p>
    <w:p w14:paraId="7E49BD19">
      <w:pPr>
        <w:numPr>
          <w:ilvl w:val="0"/>
          <w:numId w:val="2"/>
        </w:numPr>
      </w:pPr>
      <w:r>
        <w:rPr>
          <w:b/>
          <w:bCs/>
        </w:rPr>
        <w:t>可追溯</w:t>
      </w:r>
      <w:r>
        <w:t>：验收记录可定位到具体工件与证据；</w:t>
      </w:r>
    </w:p>
    <w:p w14:paraId="48A16429">
      <w:pPr>
        <w:numPr>
          <w:ilvl w:val="0"/>
          <w:numId w:val="2"/>
        </w:numPr>
      </w:pPr>
      <w:r>
        <w:rPr>
          <w:b/>
          <w:bCs/>
        </w:rPr>
        <w:t>可度量</w:t>
      </w:r>
      <w:r>
        <w:t>：审查负荷与风险控制效果可量化；</w:t>
      </w:r>
    </w:p>
    <w:p w14:paraId="538F500E">
      <w:pPr>
        <w:numPr>
          <w:ilvl w:val="0"/>
          <w:numId w:val="2"/>
        </w:numPr>
      </w:pPr>
      <w:r>
        <w:rPr>
          <w:b/>
          <w:bCs/>
        </w:rPr>
        <w:t>可集成</w:t>
      </w:r>
      <w:r>
        <w:t>：与既有 CI/CD 和门禁机制低成本耦合。</w:t>
      </w:r>
    </w:p>
    <w:bookmarkEnd w:id="9"/>
    <w:p w14:paraId="274294CB">
      <w:pPr>
        <w:pStyle w:val="5"/>
      </w:pPr>
      <w:bookmarkStart w:id="10" w:name="X3fc793389856f76185117e522f0557116059468"/>
      <w:r>
        <w:t>3.2 输出驱动开发（ODD）</w:t>
      </w:r>
    </w:p>
    <w:p w14:paraId="6AFCA2CA">
      <w:pPr>
        <w:pStyle w:val="23"/>
      </w:pPr>
      <w:r>
        <w:t>ODD 强调以“交付结果”而非“实现过程”为核心：</w:t>
      </w:r>
    </w:p>
    <w:p w14:paraId="349956E2">
      <w:pPr>
        <w:numPr>
          <w:ilvl w:val="0"/>
          <w:numId w:val="3"/>
        </w:numPr>
      </w:pPr>
      <w:r>
        <w:rPr>
          <w:b/>
          <w:bCs/>
        </w:rPr>
        <w:t>过程导向</w:t>
      </w:r>
      <w:r>
        <w:t>：关心“怎么写”。</w:t>
      </w:r>
    </w:p>
    <w:p w14:paraId="33644A32">
      <w:pPr>
        <w:numPr>
          <w:ilvl w:val="0"/>
          <w:numId w:val="3"/>
        </w:numPr>
      </w:pPr>
      <w:r>
        <w:rPr>
          <w:b/>
          <w:bCs/>
        </w:rPr>
        <w:t>结果导向</w:t>
      </w:r>
      <w:r>
        <w:t>：关心“交付了什么、是否满足可执行规范”。</w:t>
      </w:r>
    </w:p>
    <w:p w14:paraId="14F2FBB1">
      <w:pPr>
        <w:pStyle w:val="23"/>
      </w:pPr>
      <w:r>
        <w:t>在 ODD 视角下，审查目标从“理解实现”转向“核验结果与证据”。</w:t>
      </w:r>
    </w:p>
    <w:bookmarkEnd w:id="10"/>
    <w:p w14:paraId="37540B84">
      <w:pPr>
        <w:pStyle w:val="5"/>
      </w:pPr>
      <w:bookmarkStart w:id="11" w:name="X04c77f2e9c933f471a1664bb90eecf8bc6eca19"/>
      <w:r>
        <w:t>3.3 验收控制系统（ACS）</w:t>
      </w:r>
    </w:p>
    <w:p w14:paraId="1362E475">
      <w:pPr>
        <w:pStyle w:val="23"/>
      </w:pPr>
      <w:r>
        <w:t>ACS 是面向交付端的治理流水线，核心目标是把验收转换为</w:t>
      </w:r>
      <w:r>
        <w:rPr>
          <w:b/>
          <w:bCs/>
        </w:rPr>
        <w:t>可执行规范 + 可审计记录</w:t>
      </w:r>
      <w:r>
        <w:t>的闭环。</w:t>
      </w:r>
    </w:p>
    <w:p w14:paraId="4A8D5674">
      <w:pPr>
        <w:pStyle w:val="3"/>
      </w:pPr>
      <w:r>
        <w:rPr>
          <w:b/>
          <w:bCs/>
        </w:rPr>
        <w:t>核心概念</w:t>
      </w:r>
      <w:r>
        <w:t>：</w:t>
      </w:r>
    </w:p>
    <w:p w14:paraId="06FFC25A">
      <w:pPr>
        <w:numPr>
          <w:ilvl w:val="0"/>
          <w:numId w:val="3"/>
        </w:numPr>
      </w:pPr>
      <w:r>
        <w:rPr>
          <w:b/>
          <w:bCs/>
        </w:rPr>
        <w:t>工件（Artifact）</w:t>
      </w:r>
      <w:r>
        <w:t>：可交付对象集合（代码、测试、文档、SBOM 等）。</w:t>
      </w:r>
    </w:p>
    <w:p w14:paraId="0FB0238C">
      <w:pPr>
        <w:numPr>
          <w:ilvl w:val="0"/>
          <w:numId w:val="3"/>
        </w:numPr>
      </w:pPr>
      <w:r>
        <w:rPr>
          <w:b/>
          <w:bCs/>
        </w:rPr>
        <w:t>契约（Contract）</w:t>
      </w:r>
      <w:r>
        <w:t>：机器可验证的约束集合（语法/行为/安全/合规）。</w:t>
      </w:r>
    </w:p>
    <w:p w14:paraId="46AC8897">
      <w:pPr>
        <w:numPr>
          <w:ilvl w:val="0"/>
          <w:numId w:val="3"/>
        </w:numPr>
      </w:pPr>
      <w:r>
        <w:rPr>
          <w:b/>
          <w:bCs/>
        </w:rPr>
        <w:t>验收记录（Acceptance Record）</w:t>
      </w:r>
      <w:r>
        <w:t>：对“工件—契约—证据”的签署性记录。</w:t>
      </w:r>
    </w:p>
    <w:bookmarkEnd w:id="11"/>
    <w:p w14:paraId="07B59B08">
      <w:pPr>
        <w:pStyle w:val="5"/>
      </w:pPr>
      <w:bookmarkStart w:id="12" w:name="Xc91f42a55cc6a9038e38462c157efb0958fc448"/>
      <w:r>
        <w:t>3.4 角色与责任</w:t>
      </w:r>
    </w:p>
    <w:p w14:paraId="601BD865">
      <w:pPr>
        <w:numPr>
          <w:ilvl w:val="0"/>
          <w:numId w:val="3"/>
        </w:numPr>
      </w:pPr>
      <w:r>
        <w:rPr>
          <w:b/>
          <w:bCs/>
        </w:rPr>
        <w:t>契约负责人</w:t>
      </w:r>
      <w:r>
        <w:t>：制定/更新契约并维护版本记录；</w:t>
      </w:r>
    </w:p>
    <w:p w14:paraId="02155049">
      <w:pPr>
        <w:numPr>
          <w:ilvl w:val="0"/>
          <w:numId w:val="3"/>
        </w:numPr>
      </w:pPr>
      <w:r>
        <w:rPr>
          <w:b/>
          <w:bCs/>
        </w:rPr>
        <w:t>验收签署人</w:t>
      </w:r>
      <w:r>
        <w:t>：基于证据做出放行或例外决策；</w:t>
      </w:r>
    </w:p>
    <w:p w14:paraId="51752A33">
      <w:pPr>
        <w:numPr>
          <w:ilvl w:val="0"/>
          <w:numId w:val="3"/>
        </w:numPr>
      </w:pPr>
      <w:r>
        <w:rPr>
          <w:b/>
          <w:bCs/>
        </w:rPr>
        <w:t>运行负责人</w:t>
      </w:r>
      <w:r>
        <w:t>：对上线后的监控与回滚负责。</w:t>
      </w:r>
    </w:p>
    <w:p w14:paraId="5B83B943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2"/>
    <w:p w14:paraId="33D7EC29">
      <w:pPr>
        <w:pStyle w:val="4"/>
      </w:pPr>
      <w:bookmarkStart w:id="13" w:name="X3e9189a9cf921aac6fab2cdf11fc4e998adb8f4"/>
      <w:r>
        <w:t>4 系统架构与流程</w:t>
      </w:r>
    </w:p>
    <w:p w14:paraId="2A143B18">
      <w:pPr>
        <w:pStyle w:val="5"/>
      </w:pPr>
      <w:bookmarkStart w:id="14" w:name="Xb98cdfaa2e820da2d7b5c895351ebf0ea8af4e9"/>
      <w:r>
        <w:t>4.1 工件包组织</w:t>
      </w:r>
    </w:p>
    <w:p w14:paraId="6CF48E13">
      <w:pPr>
        <w:pStyle w:val="23"/>
      </w:pPr>
      <w:r>
        <w:t>工件包至少包含：源代码、测试用例、关键设计说明、依赖清单（SBOM）与变更说明。建议采用统一结构与版本化标识，便于跨团队复用与审计。</w:t>
      </w:r>
    </w:p>
    <w:bookmarkEnd w:id="14"/>
    <w:p w14:paraId="7C57CDB8">
      <w:pPr>
        <w:pStyle w:val="5"/>
      </w:pPr>
      <w:bookmarkStart w:id="15" w:name="X4b0df2708bd77dbd6282629c355506b99e56977"/>
      <w:r>
        <w:t>4.2 契约建模与版本治理</w:t>
      </w:r>
    </w:p>
    <w:p w14:paraId="367DC5CB">
      <w:pPr>
        <w:pStyle w:val="23"/>
      </w:pPr>
      <w:r>
        <w:t>契约由三类约束组成：</w:t>
      </w:r>
    </w:p>
    <w:p w14:paraId="3123458A">
      <w:pPr>
        <w:numPr>
          <w:ilvl w:val="0"/>
          <w:numId w:val="3"/>
        </w:numPr>
      </w:pPr>
      <w:r>
        <w:rPr>
          <w:b/>
          <w:bCs/>
        </w:rPr>
        <w:t>语法契约</w:t>
      </w:r>
      <w:r>
        <w:t>：静态检查与编码规范约束；</w:t>
      </w:r>
    </w:p>
    <w:p w14:paraId="23AE5B76">
      <w:pPr>
        <w:numPr>
          <w:ilvl w:val="0"/>
          <w:numId w:val="3"/>
        </w:numPr>
      </w:pPr>
      <w:r>
        <w:rPr>
          <w:b/>
          <w:bCs/>
        </w:rPr>
        <w:t>行为契约</w:t>
      </w:r>
      <w:r>
        <w:t>：关键用例、回归与不变量测试；</w:t>
      </w:r>
    </w:p>
    <w:p w14:paraId="5ADAA577">
      <w:pPr>
        <w:numPr>
          <w:ilvl w:val="0"/>
          <w:numId w:val="3"/>
        </w:numPr>
      </w:pPr>
      <w:r>
        <w:rPr>
          <w:b/>
          <w:bCs/>
        </w:rPr>
        <w:t>安全契约</w:t>
      </w:r>
      <w:r>
        <w:t>：SAST/SCA 扫描与高危阈值。</w:t>
      </w:r>
    </w:p>
    <w:p w14:paraId="4FEEF53B">
      <w:pPr>
        <w:pStyle w:val="23"/>
      </w:pPr>
      <w:r>
        <w:t>契约应具备</w:t>
      </w:r>
      <w:r>
        <w:rPr>
          <w:b/>
          <w:bCs/>
        </w:rPr>
        <w:t>版本号、责任人、适用范围与变更记录</w:t>
      </w:r>
      <w:r>
        <w:t>，防止“标准漂移”。</w:t>
      </w:r>
    </w:p>
    <w:bookmarkEnd w:id="15"/>
    <w:p w14:paraId="7A6FD761">
      <w:pPr>
        <w:pStyle w:val="5"/>
      </w:pPr>
      <w:bookmarkStart w:id="16" w:name="Xaeb64be2b000c31077f8e8d1548380270ddd6b0"/>
      <w:r>
        <w:t>4.3 证据生成与验收记录</w:t>
      </w:r>
    </w:p>
    <w:p w14:paraId="5BB6DA45">
      <w:pPr>
        <w:pStyle w:val="23"/>
      </w:pPr>
      <w:r>
        <w:t>流水线自动生成证据包摘要（测试、扫描、覆盖率等），并在通过契约后生成验收记录。验收记录保留以下关键信息：</w:t>
      </w:r>
    </w:p>
    <w:p w14:paraId="4E812C02">
      <w:pPr>
        <w:numPr>
          <w:ilvl w:val="0"/>
          <w:numId w:val="4"/>
        </w:numPr>
      </w:pPr>
      <w:r>
        <w:t>工件标识与摘要；</w:t>
      </w:r>
    </w:p>
    <w:p w14:paraId="7424923C">
      <w:pPr>
        <w:numPr>
          <w:ilvl w:val="0"/>
          <w:numId w:val="4"/>
        </w:numPr>
      </w:pPr>
      <w:r>
        <w:t>契约版本与摘要；</w:t>
      </w:r>
    </w:p>
    <w:p w14:paraId="5F4F9D53">
      <w:pPr>
        <w:numPr>
          <w:ilvl w:val="0"/>
          <w:numId w:val="4"/>
        </w:numPr>
      </w:pPr>
      <w:r>
        <w:t>证据包摘要；</w:t>
      </w:r>
    </w:p>
    <w:p w14:paraId="1D9E8036">
      <w:pPr>
        <w:numPr>
          <w:ilvl w:val="0"/>
          <w:numId w:val="4"/>
        </w:numPr>
      </w:pPr>
      <w:r>
        <w:t>验收时间与授权角色。</w:t>
      </w:r>
    </w:p>
    <w:bookmarkEnd w:id="16"/>
    <w:p w14:paraId="33132CD8">
      <w:pPr>
        <w:pStyle w:val="5"/>
      </w:pPr>
      <w:bookmarkStart w:id="17" w:name="X4956750faf6cb0f8e1532279d2453e933022ac1"/>
      <w:r>
        <w:t>4.4 例外处理</w:t>
      </w:r>
    </w:p>
    <w:p w14:paraId="51BE7281">
      <w:pPr>
        <w:pStyle w:val="23"/>
      </w:pPr>
      <w:r>
        <w:t>当受限于紧急修复或时窗，允许“例外验收”，但必须具备：</w:t>
      </w:r>
    </w:p>
    <w:p w14:paraId="6CC8A6B5">
      <w:pPr>
        <w:numPr>
          <w:ilvl w:val="0"/>
          <w:numId w:val="3"/>
        </w:numPr>
      </w:pPr>
      <w:r>
        <w:t>例外原因；</w:t>
      </w:r>
    </w:p>
    <w:p w14:paraId="20338B9C">
      <w:pPr>
        <w:numPr>
          <w:ilvl w:val="0"/>
          <w:numId w:val="3"/>
        </w:numPr>
      </w:pPr>
      <w:r>
        <w:t>有效期（TTL）；</w:t>
      </w:r>
    </w:p>
    <w:p w14:paraId="61AC69B0">
      <w:pPr>
        <w:numPr>
          <w:ilvl w:val="0"/>
          <w:numId w:val="3"/>
        </w:numPr>
      </w:pPr>
      <w:r>
        <w:t>补救义务与复盘要求。</w:t>
      </w:r>
    </w:p>
    <w:bookmarkEnd w:id="17"/>
    <w:p w14:paraId="350A063E">
      <w:pPr>
        <w:pStyle w:val="5"/>
      </w:pPr>
      <w:bookmarkStart w:id="18" w:name="Xd4b181d3ce339496dfe2c677e67b5fa9ee34a5e"/>
      <w:r>
        <w:t>4.5 与 CI/CD 的集成方式</w:t>
      </w:r>
    </w:p>
    <w:p w14:paraId="5EB16052">
      <w:pPr>
        <w:pStyle w:val="23"/>
      </w:pPr>
      <w:r>
        <w:t>ACS 可作为流水线末端的治理层：</w:t>
      </w:r>
    </w:p>
    <w:p w14:paraId="4DFD8661">
      <w:pPr>
        <w:numPr>
          <w:ilvl w:val="0"/>
          <w:numId w:val="3"/>
        </w:numPr>
      </w:pPr>
      <w:r>
        <w:t>CI 负责生成证据包；</w:t>
      </w:r>
    </w:p>
    <w:p w14:paraId="5DB864C5">
      <w:pPr>
        <w:numPr>
          <w:ilvl w:val="0"/>
          <w:numId w:val="3"/>
        </w:numPr>
      </w:pPr>
      <w:r>
        <w:t>CD 负责分发工件；</w:t>
      </w:r>
    </w:p>
    <w:p w14:paraId="44334BFC">
      <w:pPr>
        <w:numPr>
          <w:ilvl w:val="0"/>
          <w:numId w:val="3"/>
        </w:numPr>
      </w:pPr>
      <w:r>
        <w:t>ACS 负责验收记录与责任锚定。</w:t>
      </w:r>
    </w:p>
    <w:p w14:paraId="43559538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8"/>
    <w:p w14:paraId="149BD32F">
      <w:pPr>
        <w:pStyle w:val="4"/>
      </w:pPr>
      <w:bookmarkStart w:id="19" w:name="X76f6bc8376a6c67ca082e3f8519a0de8807e10d"/>
      <w:r>
        <w:t>5 实践案例与效果</w:t>
      </w:r>
    </w:p>
    <w:p w14:paraId="42DF2582">
      <w:pPr>
        <w:pStyle w:val="5"/>
      </w:pPr>
      <w:bookmarkStart w:id="20" w:name="X20e60b42da3fe642028e09c1c53bfb1fee9764f"/>
      <w:r>
        <w:t>5.1 场景</w:t>
      </w:r>
    </w:p>
    <w:p w14:paraId="75871403">
      <w:pPr>
        <w:pStyle w:val="23"/>
      </w:pPr>
      <w:r>
        <w:t>在某金融科技企业的核心交易系统重构中，AI 生成代码带来高频变更与高风险回归问题。系统对可靠性与合规性要求高，传统审查难以保持覆盖率。</w:t>
      </w:r>
    </w:p>
    <w:bookmarkEnd w:id="20"/>
    <w:p w14:paraId="1B0B95F7">
      <w:pPr>
        <w:pStyle w:val="5"/>
      </w:pPr>
      <w:bookmarkStart w:id="21" w:name="Xc8adfc0e2871c4db62050739faac0b4ab62018b"/>
      <w:r>
        <w:t>5.2 实施设置与数据来源（脱敏口径）</w:t>
      </w:r>
    </w:p>
    <w:p w14:paraId="5068A98A">
      <w:pPr>
        <w:pStyle w:val="23"/>
      </w:pPr>
      <w:r>
        <w:t>本文以某金融科技企业核心交易系统重构为实践背景。出于商业与合规要求，案例数据采用</w:t>
      </w:r>
      <w:r>
        <w:rPr>
          <w:b/>
          <w:bCs/>
        </w:rPr>
        <w:t>脱敏后的汇总统计口径</w:t>
      </w:r>
      <w:r>
        <w:t>呈现（不披露业务标识、客户信息、交易数据与具体系统细节），重点用于说明方法的可落地性与指标口径。</w:t>
      </w:r>
    </w:p>
    <w:p w14:paraId="04F86BA9">
      <w:pPr>
        <w:pStyle w:val="3"/>
      </w:pPr>
      <w:r>
        <w:t>为支持复核与同行比较，本文明确以下口径：</w:t>
      </w:r>
    </w:p>
    <w:p w14:paraId="63E67255">
      <w:pPr>
        <w:numPr>
          <w:ilvl w:val="0"/>
          <w:numId w:val="3"/>
        </w:numPr>
      </w:pPr>
      <w:r>
        <w:rPr>
          <w:b/>
          <w:bCs/>
        </w:rPr>
        <w:t>观察窗口</w:t>
      </w:r>
      <w:r>
        <w:t>：以连续迭代周期为观察单位（按周统计），对比引入 ACS 前后的多个迭代窗口。</w:t>
      </w:r>
    </w:p>
    <w:p w14:paraId="164A2E87">
      <w:pPr>
        <w:numPr>
          <w:ilvl w:val="0"/>
          <w:numId w:val="3"/>
        </w:numPr>
      </w:pPr>
      <w:r>
        <w:rPr>
          <w:b/>
          <w:bCs/>
        </w:rPr>
        <w:t>变更规模</w:t>
      </w:r>
      <w:r>
        <w:t>：以 PR/变更为统计单位，记录每周变更数量及其分布（例如常规变更/紧急修复）。</w:t>
      </w:r>
    </w:p>
    <w:p w14:paraId="2B6B10CD">
      <w:pPr>
        <w:numPr>
          <w:ilvl w:val="0"/>
          <w:numId w:val="3"/>
        </w:numPr>
      </w:pPr>
      <w:r>
        <w:rPr>
          <w:b/>
          <w:bCs/>
        </w:rPr>
        <w:t>AI 参与比例</w:t>
      </w:r>
      <w:r>
        <w:t>：按变更记录与提交说明估计 AI 参与程度（生成/改写/补全），并在统计上以“参与/未参与”或分档方式呈现。</w:t>
      </w:r>
    </w:p>
    <w:p w14:paraId="50654315">
      <w:pPr>
        <w:numPr>
          <w:ilvl w:val="0"/>
          <w:numId w:val="3"/>
        </w:numPr>
      </w:pPr>
      <w:r>
        <w:rPr>
          <w:b/>
          <w:bCs/>
        </w:rPr>
        <w:t>对照基线</w:t>
      </w:r>
      <w:r>
        <w:t>：采用同系统历史周期（引入 ACS 前）作为基线，对关键指标进行前后对比。</w:t>
      </w:r>
    </w:p>
    <w:p w14:paraId="6F803E61">
      <w:pPr>
        <w:numPr>
          <w:ilvl w:val="0"/>
          <w:numId w:val="3"/>
        </w:numPr>
      </w:pPr>
      <w:r>
        <w:rPr>
          <w:b/>
          <w:bCs/>
        </w:rPr>
        <w:t>风险等级</w:t>
      </w:r>
      <w:r>
        <w:t>：按业务影响与合规要求将系统定为高风险场景，并据此采用更严格的契约与例外控制策略。</w:t>
      </w:r>
    </w:p>
    <w:p w14:paraId="311BB7A3">
      <w:pPr>
        <w:pStyle w:val="13"/>
      </w:pPr>
      <w:r>
        <w:t>注：若期刊要求提供更精确数值，可在不泄露敏感信息的前提下补充区间数据（例如 PR/周、审查工时变化区间等）。</w:t>
      </w:r>
    </w:p>
    <w:bookmarkEnd w:id="21"/>
    <w:p w14:paraId="7E102100">
      <w:pPr>
        <w:pStyle w:val="5"/>
      </w:pPr>
      <w:bookmarkStart w:id="22" w:name="X361f082f4455132465b1ac042763353f99aa46f"/>
      <w:r>
        <w:t>5.3 实施要点</w:t>
      </w:r>
    </w:p>
    <w:p w14:paraId="250A7196">
      <w:pPr>
        <w:pStyle w:val="23"/>
      </w:pPr>
      <w:r>
        <w:t xml:space="preserve">定义“行为指纹契约”：以历史输入输出对构建回归约束，要求新实现与既有行为一致；同时对关键风险路径配置更严格的安全契约与例外限制。 </w:t>
      </w:r>
    </w:p>
    <w:bookmarkEnd w:id="22"/>
    <w:p w14:paraId="133E8AAE">
      <w:pPr>
        <w:pStyle w:val="5"/>
      </w:pPr>
      <w:bookmarkStart w:id="23" w:name="Xb9e81ae92ba45e2e2c9e4f8cf2c21c9189f6fab"/>
      <w:r>
        <w:t>5.4 评估指标与口径</w:t>
      </w:r>
    </w:p>
    <w:p w14:paraId="028159D3">
      <w:pPr>
        <w:pStyle w:val="23"/>
      </w:pPr>
      <w:r>
        <w:t xml:space="preserve">为避免“指标口径漂移”，建议给出计算方式： </w:t>
      </w:r>
    </w:p>
    <w:p w14:paraId="72AAC7E2">
      <w:pPr>
        <w:numPr>
          <w:ilvl w:val="0"/>
          <w:numId w:val="3"/>
        </w:numPr>
      </w:pPr>
      <w:r>
        <w:rPr>
          <w:b/>
          <w:bCs/>
        </w:rPr>
        <w:t>审查负荷</w:t>
      </w:r>
      <w:r>
        <w:t xml:space="preserve">： </w:t>
      </w:r>
    </w:p>
    <w:p w14:paraId="3CB846F7">
      <w:pPr>
        <w:numPr>
          <w:ilvl w:val="1"/>
          <w:numId w:val="3"/>
        </w:numPr>
      </w:pPr>
      <w:r>
        <w:t xml:space="preserve">人均审查工时 = 审查总工时 / 审查人员数； </w:t>
      </w:r>
    </w:p>
    <w:p w14:paraId="10F3427F">
      <w:pPr>
        <w:numPr>
          <w:ilvl w:val="1"/>
          <w:numId w:val="3"/>
        </w:numPr>
      </w:pPr>
      <w:r>
        <w:t xml:space="preserve">审查积压量 = 未完成审查 PR 数量。 </w:t>
      </w:r>
    </w:p>
    <w:p w14:paraId="2E6FD7A2">
      <w:pPr>
        <w:numPr>
          <w:ilvl w:val="0"/>
          <w:numId w:val="3"/>
        </w:numPr>
      </w:pPr>
      <w:r>
        <w:rPr>
          <w:b/>
          <w:bCs/>
        </w:rPr>
        <w:t>回归风险</w:t>
      </w:r>
      <w:r>
        <w:t xml:space="preserve">： </w:t>
      </w:r>
    </w:p>
    <w:p w14:paraId="46222780">
      <w:pPr>
        <w:numPr>
          <w:ilvl w:val="1"/>
          <w:numId w:val="3"/>
        </w:numPr>
      </w:pPr>
      <w:r>
        <w:t xml:space="preserve">回归缺陷数（按严重级别统计）； </w:t>
      </w:r>
    </w:p>
    <w:p w14:paraId="25E6BA68">
      <w:pPr>
        <w:numPr>
          <w:ilvl w:val="1"/>
          <w:numId w:val="3"/>
        </w:numPr>
      </w:pPr>
      <w:r>
        <w:t xml:space="preserve">线上故障率（故障数 / 运行周期）。 </w:t>
      </w:r>
    </w:p>
    <w:p w14:paraId="7E1A7C38">
      <w:pPr>
        <w:numPr>
          <w:ilvl w:val="0"/>
          <w:numId w:val="3"/>
        </w:numPr>
      </w:pPr>
      <w:r>
        <w:rPr>
          <w:b/>
          <w:bCs/>
        </w:rPr>
        <w:t>可追溯性</w:t>
      </w:r>
      <w:r>
        <w:t xml:space="preserve">： </w:t>
      </w:r>
    </w:p>
    <w:p w14:paraId="05E2994C">
      <w:pPr>
        <w:numPr>
          <w:ilvl w:val="1"/>
          <w:numId w:val="3"/>
        </w:numPr>
      </w:pPr>
      <w:r>
        <w:t xml:space="preserve">问题定位时间（从告警到定位的平均时长）； </w:t>
      </w:r>
    </w:p>
    <w:p w14:paraId="18E5330A">
      <w:pPr>
        <w:numPr>
          <w:ilvl w:val="1"/>
          <w:numId w:val="3"/>
        </w:numPr>
      </w:pPr>
      <w:r>
        <w:t xml:space="preserve">验收记录覆盖率 = 生成验收记录的变更数 / 总变更数。 </w:t>
      </w:r>
    </w:p>
    <w:bookmarkEnd w:id="23"/>
    <w:p w14:paraId="7707B180">
      <w:pPr>
        <w:pStyle w:val="5"/>
      </w:pPr>
      <w:bookmarkStart w:id="24" w:name="X9c635efbe214fc413ff0ea3f2d34c312588586e"/>
      <w:r>
        <w:t>5.5 结果</w:t>
      </w:r>
    </w:p>
    <w:p w14:paraId="60E7FCE0">
      <w:pPr>
        <w:numPr>
          <w:ilvl w:val="0"/>
          <w:numId w:val="3"/>
        </w:numPr>
      </w:pPr>
      <w:r>
        <w:rPr>
          <w:b/>
          <w:bCs/>
        </w:rPr>
        <w:t>审查负荷下降</w:t>
      </w:r>
      <w:r>
        <w:t xml:space="preserve">：审查工时降低约 40%； </w:t>
      </w:r>
    </w:p>
    <w:p w14:paraId="4E206DC1">
      <w:pPr>
        <w:numPr>
          <w:ilvl w:val="0"/>
          <w:numId w:val="3"/>
        </w:numPr>
      </w:pPr>
      <w:r>
        <w:rPr>
          <w:b/>
          <w:bCs/>
        </w:rPr>
        <w:t>回归控制</w:t>
      </w:r>
      <w:r>
        <w:t xml:space="preserve">：重构期内未出现由 AI 代码引发的线上回归； </w:t>
      </w:r>
    </w:p>
    <w:p w14:paraId="087438DA">
      <w:pPr>
        <w:numPr>
          <w:ilvl w:val="0"/>
          <w:numId w:val="3"/>
        </w:numPr>
      </w:pPr>
      <w:r>
        <w:rPr>
          <w:b/>
          <w:bCs/>
        </w:rPr>
        <w:t>可追溯性提升</w:t>
      </w:r>
      <w:r>
        <w:t xml:space="preserve">：能够通过验收记录快速定位契约缺失与例外放行原因。 </w:t>
      </w:r>
    </w:p>
    <w:bookmarkEnd w:id="24"/>
    <w:p w14:paraId="6DAD943B">
      <w:pPr>
        <w:pStyle w:val="5"/>
      </w:pPr>
      <w:bookmarkStart w:id="25" w:name="X8d90f97c3b19eca20d9a596edf9e4118edb3ffd"/>
      <w:r>
        <w:t>5.6 经验总结</w:t>
      </w:r>
    </w:p>
    <w:p w14:paraId="0D170CA7">
      <w:pPr>
        <w:pStyle w:val="23"/>
      </w:pPr>
      <w:r>
        <w:t>契约覆盖率是效果核心变量；验收记录为复盘提供“事实基座”，能显著降低责任争议成本。</w:t>
      </w:r>
    </w:p>
    <w:p w14:paraId="754CB4FB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5"/>
    <w:p w14:paraId="71C20827">
      <w:pPr>
        <w:pStyle w:val="4"/>
      </w:pPr>
      <w:bookmarkStart w:id="26" w:name="Xa1d137a2328808ae51a08f07fb2a8db7680d4ba"/>
      <w:r>
        <w:t>6 讨论</w:t>
      </w:r>
    </w:p>
    <w:p w14:paraId="079C4E75">
      <w:pPr>
        <w:pStyle w:val="5"/>
      </w:pPr>
      <w:bookmarkStart w:id="27" w:name="X2a70bada9363f85bbed7ff4b2ea09be27971cb0"/>
      <w:r>
        <w:t>6.1 适用范围</w:t>
      </w:r>
    </w:p>
    <w:p w14:paraId="5B8E75EE">
      <w:pPr>
        <w:pStyle w:val="23"/>
      </w:pPr>
      <w:r>
        <w:t>适用于高频变更、审查压力大、合规要求高的系统；对纯探索型原型开发收益较有限。</w:t>
      </w:r>
    </w:p>
    <w:bookmarkEnd w:id="27"/>
    <w:p w14:paraId="3F94626B">
      <w:pPr>
        <w:pStyle w:val="5"/>
      </w:pPr>
      <w:bookmarkStart w:id="28" w:name="Xf6fa2fdc6e60bba7d9e5cd758d937c93033759c"/>
      <w:r>
        <w:t>6.2 实施成本</w:t>
      </w:r>
    </w:p>
    <w:p w14:paraId="145118EE">
      <w:pPr>
        <w:pStyle w:val="23"/>
      </w:pPr>
      <w:r>
        <w:t>成本主要来自契约维护、证据生成与验收记录存储。实际部署中可通过“分级契约 + 自动化证据”降低负担。</w:t>
      </w:r>
    </w:p>
    <w:bookmarkEnd w:id="28"/>
    <w:p w14:paraId="79A2FEB8">
      <w:pPr>
        <w:pStyle w:val="5"/>
      </w:pPr>
      <w:bookmarkStart w:id="29" w:name="Xb36359cf66efa2715bc0b6b10e3a412899d25ab"/>
      <w:r>
        <w:t>6.3 与传统审查关系</w:t>
      </w:r>
    </w:p>
    <w:p w14:paraId="33486A4B">
      <w:pPr>
        <w:pStyle w:val="23"/>
      </w:pPr>
      <w:r>
        <w:t>ACS 不取代代码审查，而是把审查重心从“逐行理解”转向“契约覆盖与风险核验”。</w:t>
      </w:r>
    </w:p>
    <w:bookmarkEnd w:id="29"/>
    <w:p w14:paraId="679066BB">
      <w:pPr>
        <w:pStyle w:val="5"/>
      </w:pPr>
      <w:bookmarkStart w:id="30" w:name="X50f2502b84a4f3a382c2a75033835e0d47ffba4"/>
      <w:r>
        <w:t>6.4 威胁与限制</w:t>
      </w:r>
    </w:p>
    <w:p w14:paraId="2EFFFC71">
      <w:pPr>
        <w:numPr>
          <w:ilvl w:val="0"/>
          <w:numId w:val="5"/>
        </w:numPr>
      </w:pPr>
      <w:r>
        <w:t>案例为单一行业实践，外推需谨慎；</w:t>
      </w:r>
    </w:p>
    <w:p w14:paraId="4E920CB2">
      <w:pPr>
        <w:numPr>
          <w:ilvl w:val="0"/>
          <w:numId w:val="5"/>
        </w:numPr>
      </w:pPr>
      <w:r>
        <w:t>契约质量依赖领域专家参与；</w:t>
      </w:r>
    </w:p>
    <w:p w14:paraId="7963BA94">
      <w:pPr>
        <w:numPr>
          <w:ilvl w:val="0"/>
          <w:numId w:val="5"/>
        </w:numPr>
      </w:pPr>
      <w:r>
        <w:t>例外机制若滥用会削弱治理效果。</w:t>
      </w:r>
    </w:p>
    <w:p w14:paraId="59F333F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30"/>
    <w:p w14:paraId="26D0BF89">
      <w:pPr>
        <w:pStyle w:val="4"/>
      </w:pPr>
      <w:bookmarkStart w:id="31" w:name="X8b91fdeb84bfdbb6974d5b9d5d7dd6d0fa804da"/>
      <w:r>
        <w:t>7 结论与未来工作</w:t>
      </w:r>
    </w:p>
    <w:p w14:paraId="164A640A">
      <w:pPr>
        <w:pStyle w:val="23"/>
      </w:pPr>
      <w:r>
        <w:t>本文提出并验证了“可执行规范驱动”的软件治理框架，通过 ODD+ACS 将验收过程结构化、可验证、可审计，缓解 AI 时代的审查瓶颈并提升责任可追溯性。未来工作包括：</w:t>
      </w:r>
    </w:p>
    <w:p w14:paraId="42F99348">
      <w:pPr>
        <w:numPr>
          <w:ilvl w:val="0"/>
          <w:numId w:val="3"/>
        </w:numPr>
      </w:pPr>
      <w:r>
        <w:t>更细粒度的契约语言设计；</w:t>
      </w:r>
    </w:p>
    <w:p w14:paraId="5965C022">
      <w:pPr>
        <w:numPr>
          <w:ilvl w:val="0"/>
          <w:numId w:val="3"/>
        </w:numPr>
      </w:pPr>
      <w:r>
        <w:t>跨团队的契约复用与治理协同；</w:t>
      </w:r>
    </w:p>
    <w:p w14:paraId="502F6921">
      <w:pPr>
        <w:numPr>
          <w:ilvl w:val="0"/>
          <w:numId w:val="3"/>
        </w:numPr>
      </w:pPr>
      <w:r>
        <w:t>与持续合规审计的更深度集成；</w:t>
      </w:r>
    </w:p>
    <w:p w14:paraId="12E1FF0F">
      <w:pPr>
        <w:numPr>
          <w:ilvl w:val="0"/>
          <w:numId w:val="3"/>
        </w:numPr>
      </w:pPr>
      <w:r>
        <w:t>多行业、多项目的对比评估。</w:t>
      </w:r>
    </w:p>
    <w:p w14:paraId="6589BD43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p w14:paraId="48FBC39D">
      <w:pPr>
        <w:pStyle w:val="4"/>
      </w:pPr>
      <w:bookmarkStart w:id="32" w:name="Xb1db2e35a74a27c5ad7431d183b493ad4a99f54"/>
      <w:r>
        <w:t>8 附录（示例模板）</w:t>
      </w:r>
    </w:p>
    <w:p w14:paraId="113FB229">
      <w:pPr>
        <w:pStyle w:val="5"/>
      </w:pPr>
      <w:bookmarkStart w:id="33" w:name="X463f87c2bb6f52c8977d377e3ffcc80b8ce37b5"/>
      <w:r>
        <w:t>8.1 契约样例（示意）</w:t>
      </w:r>
    </w:p>
    <w:p w14:paraId="1807AA5C">
      <w:pPr>
        <w:numPr>
          <w:ilvl w:val="0"/>
          <w:numId w:val="3"/>
        </w:numPr>
      </w:pPr>
      <w:r>
        <w:rPr>
          <w:b/>
          <w:bCs/>
        </w:rPr>
        <w:t>语法契约</w:t>
      </w:r>
      <w:r>
        <w:t xml:space="preserve">：规则集 ID、阈值、允许例外条件； </w:t>
      </w:r>
    </w:p>
    <w:p w14:paraId="0AC0FA4B">
      <w:pPr>
        <w:numPr>
          <w:ilvl w:val="0"/>
          <w:numId w:val="3"/>
        </w:numPr>
      </w:pPr>
      <w:r>
        <w:rPr>
          <w:b/>
          <w:bCs/>
        </w:rPr>
        <w:t>行为契约</w:t>
      </w:r>
      <w:r>
        <w:t xml:space="preserve">：关键用例集合 ID、覆盖率阈值、回归基线版本； </w:t>
      </w:r>
    </w:p>
    <w:p w14:paraId="0AA40B49">
      <w:pPr>
        <w:numPr>
          <w:ilvl w:val="0"/>
          <w:numId w:val="3"/>
        </w:numPr>
      </w:pPr>
      <w:r>
        <w:rPr>
          <w:b/>
          <w:bCs/>
        </w:rPr>
        <w:t>安全契约</w:t>
      </w:r>
      <w:r>
        <w:t xml:space="preserve">：SAST/SCA 策略 ID、高危阈值、豁免窗口（如有）。 </w:t>
      </w:r>
    </w:p>
    <w:p w14:paraId="0250EB9C">
      <w:pPr>
        <w:pStyle w:val="13"/>
      </w:pPr>
      <w:r>
        <w:t xml:space="preserve">仅为示意，实际以团队工具配置为准。 </w:t>
      </w:r>
    </w:p>
    <w:bookmarkEnd w:id="33"/>
    <w:p w14:paraId="00933B50">
      <w:pPr>
        <w:pStyle w:val="5"/>
      </w:pPr>
      <w:bookmarkStart w:id="34" w:name="X50e11f5c4642a1c9f9c0364c21e62550b33bcfa"/>
      <w:r>
        <w:t>8.2 验收记录字段（示意）</w:t>
      </w:r>
    </w:p>
    <w:p w14:paraId="474B9A27">
      <w:pPr>
        <w:numPr>
          <w:ilvl w:val="0"/>
          <w:numId w:val="3"/>
        </w:numPr>
      </w:pPr>
      <w:r>
        <w:t xml:space="preserve">acceptance_id </w:t>
      </w:r>
    </w:p>
    <w:p w14:paraId="31BAB63A">
      <w:pPr>
        <w:numPr>
          <w:ilvl w:val="0"/>
          <w:numId w:val="3"/>
        </w:numPr>
      </w:pPr>
      <w:r>
        <w:t xml:space="preserve">timestamp </w:t>
      </w:r>
    </w:p>
    <w:p w14:paraId="256570F9">
      <w:pPr>
        <w:numPr>
          <w:ilvl w:val="0"/>
          <w:numId w:val="3"/>
        </w:numPr>
      </w:pPr>
      <w:r>
        <w:t xml:space="preserve">artifact_id / version / digest </w:t>
      </w:r>
    </w:p>
    <w:p w14:paraId="6D4AB798">
      <w:pPr>
        <w:numPr>
          <w:ilvl w:val="0"/>
          <w:numId w:val="3"/>
        </w:numPr>
      </w:pPr>
      <w:r>
        <w:t xml:space="preserve">contract_set_id / version / digest </w:t>
      </w:r>
    </w:p>
    <w:p w14:paraId="70452EEF">
      <w:pPr>
        <w:numPr>
          <w:ilvl w:val="0"/>
          <w:numId w:val="3"/>
        </w:numPr>
      </w:pPr>
      <w:r>
        <w:t xml:space="preserve">evidence_bundle_digest </w:t>
      </w:r>
    </w:p>
    <w:p w14:paraId="5AD8A5F2">
      <w:pPr>
        <w:numPr>
          <w:ilvl w:val="0"/>
          <w:numId w:val="3"/>
        </w:numPr>
      </w:pPr>
      <w:r>
        <w:t xml:space="preserve">decision（accept / reject / exception） </w:t>
      </w:r>
    </w:p>
    <w:p w14:paraId="5D6493E7">
      <w:pPr>
        <w:numPr>
          <w:ilvl w:val="0"/>
          <w:numId w:val="3"/>
        </w:numPr>
      </w:pPr>
      <w:r>
        <w:t xml:space="preserve">signer_role / signer_identity </w:t>
      </w:r>
    </w:p>
    <w:p w14:paraId="420D79B3">
      <w:pPr>
        <w:numPr>
          <w:ilvl w:val="0"/>
          <w:numId w:val="3"/>
        </w:numPr>
      </w:pPr>
      <w:r>
        <w:t xml:space="preserve">exception_reason / ttl / remediation </w:t>
      </w:r>
    </w:p>
    <w:bookmarkEnd w:id="34"/>
    <w:p w14:paraId="075DB4EC">
      <w:pPr>
        <w:pStyle w:val="5"/>
      </w:pPr>
      <w:bookmarkStart w:id="35" w:name="Xdff6f2e5c77af3f1fd44a45030f86acd708065b"/>
      <w:r>
        <w:t>8.3 指标口径填报模板（示意）</w:t>
      </w:r>
    </w:p>
    <w:p w14:paraId="1370FC6D">
      <w:pPr>
        <w:numPr>
          <w:ilvl w:val="0"/>
          <w:numId w:val="3"/>
        </w:numPr>
      </w:pPr>
      <w:r>
        <w:t xml:space="preserve">审查负荷： </w:t>
      </w:r>
    </w:p>
    <w:p w14:paraId="30CC1786">
      <w:pPr>
        <w:numPr>
          <w:ilvl w:val="0"/>
          <w:numId w:val="3"/>
        </w:numPr>
      </w:pPr>
      <w:r>
        <w:t xml:space="preserve">回归风险： </w:t>
      </w:r>
    </w:p>
    <w:p w14:paraId="3193C2AB">
      <w:pPr>
        <w:numPr>
          <w:ilvl w:val="0"/>
          <w:numId w:val="3"/>
        </w:numPr>
      </w:pPr>
      <w:r>
        <w:t xml:space="preserve">可追溯性： </w:t>
      </w:r>
    </w:p>
    <w:p w14:paraId="1D52466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5"/>
    <w:p w14:paraId="41CEBBB5">
      <w:pPr>
        <w:pStyle w:val="4"/>
      </w:pPr>
      <w:bookmarkStart w:id="36" w:name="X233dd7791d3137a9f564cdd32979eebe0a15cf8"/>
      <w:r>
        <w:t>9 参考文献</w:t>
      </w:r>
    </w:p>
    <w:p w14:paraId="441D90A3">
      <w:pPr>
        <w:pStyle w:val="3"/>
        <w:rPr>
          <w:rFonts w:hint="eastAsia"/>
        </w:rPr>
      </w:pPr>
      <w:r>
        <w:rPr>
          <w:rFonts w:hint="eastAsia"/>
        </w:rPr>
        <w:t>[1] Bacchelli A, Bird C. Expectations, outcomes, and challenges of modern code review[C]//Proceedings of the 35th International Conference on Software Engineering. 2013: 712-721.</w:t>
      </w:r>
    </w:p>
    <w:p w14:paraId="3ED7E663">
      <w:pPr>
        <w:pStyle w:val="3"/>
        <w:rPr>
          <w:rFonts w:hint="eastAsia"/>
        </w:rPr>
      </w:pPr>
      <w:r>
        <w:rPr>
          <w:rFonts w:hint="eastAsia"/>
        </w:rPr>
        <w:t>[2] Rigby P C, Bird C. Convergent contemporary software peer review practices[C]//Proceedings of the 2013 9th Joint Meeting on Foundations of Software Engineering. 2013: 202-212.</w:t>
      </w:r>
    </w:p>
    <w:p w14:paraId="34D32B12">
      <w:pPr>
        <w:pStyle w:val="3"/>
        <w:rPr>
          <w:rFonts w:hint="eastAsia"/>
        </w:rPr>
      </w:pPr>
      <w:r>
        <w:rPr>
          <w:rFonts w:hint="eastAsia"/>
        </w:rPr>
        <w:t>[3] Forsgren N, Humble J, Kim G. Accelerate: The Science of Lean Software and DevOps[M]. IT Revolution Press, 2018.</w:t>
      </w:r>
    </w:p>
    <w:p w14:paraId="7EF5D114">
      <w:pPr>
        <w:pStyle w:val="3"/>
        <w:rPr>
          <w:rFonts w:hint="eastAsia"/>
        </w:rPr>
      </w:pPr>
      <w:r>
        <w:rPr>
          <w:rFonts w:hint="eastAsia"/>
        </w:rPr>
        <w:t>[4] Humble J, Farley D. Continuous Delivery: Reliable Software Releases through Build, Test, and Deployment Automation[M]. Addison-Wesley, 2010.</w:t>
      </w:r>
    </w:p>
    <w:p w14:paraId="7DB0CD10">
      <w:pPr>
        <w:pStyle w:val="3"/>
        <w:rPr>
          <w:rFonts w:hint="eastAsia"/>
        </w:rPr>
      </w:pPr>
      <w:r>
        <w:rPr>
          <w:rFonts w:hint="eastAsia"/>
        </w:rPr>
        <w:t>[5] Souppaya M, Scarfone K, Dodson D. Secure Software Development Framework (SSDF) Version 1.1: Recommendations for Mitigating the Risk of Software Vulnerabilities[R]. NIST SP 800-218, 2022.</w:t>
      </w:r>
    </w:p>
    <w:p w14:paraId="5716E96F">
      <w:pPr>
        <w:pStyle w:val="3"/>
        <w:rPr>
          <w:rFonts w:hint="eastAsia"/>
        </w:rPr>
      </w:pPr>
      <w:r>
        <w:rPr>
          <w:rFonts w:hint="eastAsia"/>
        </w:rPr>
        <w:t>[6] OpenSSF. Supply-chain Levels for Software Artifacts (SLSA) v1.0[EB/OL]. 2023.</w:t>
      </w:r>
    </w:p>
    <w:p w14:paraId="5030053C">
      <w:pPr>
        <w:pStyle w:val="3"/>
        <w:rPr>
          <w:rFonts w:hint="eastAsia"/>
        </w:rPr>
      </w:pPr>
      <w:r>
        <w:rPr>
          <w:rFonts w:hint="eastAsia"/>
        </w:rPr>
        <w:t>[7] Torres-Arias S, Afzali H, Kuppusamy T K, et al. in-toto: Providing farm-to-table guarantees for bits and bytes[C]//USENIX Security. 2019.</w:t>
      </w:r>
    </w:p>
    <w:p w14:paraId="0139073F">
      <w:pPr>
        <w:pStyle w:val="3"/>
        <w:rPr>
          <w:rFonts w:hint="eastAsia"/>
        </w:rPr>
      </w:pPr>
      <w:r>
        <w:rPr>
          <w:rFonts w:hint="eastAsia"/>
        </w:rPr>
        <w:t>[8] Newman Z, Meyers J S, Torres-Arias S. Sigstore: Software signing for everybody[C]//ACM CCS. 2022.</w:t>
      </w:r>
    </w:p>
    <w:p w14:paraId="13F6DD73">
      <w:pPr>
        <w:pStyle w:val="3"/>
        <w:rPr>
          <w:rFonts w:hint="eastAsia"/>
        </w:rPr>
      </w:pPr>
      <w:r>
        <w:rPr>
          <w:rFonts w:hint="eastAsia"/>
        </w:rPr>
        <w:t>[9] Bader M, Chintamaneni P K. Software Bill of Materials: Survey and Perspectives[J]. IEEE Security &amp; Privacy, 2022, 20(4): 86-93.</w:t>
      </w:r>
    </w:p>
    <w:p w14:paraId="0127885E">
      <w:pPr>
        <w:pStyle w:val="3"/>
        <w:rPr>
          <w:rFonts w:hint="eastAsia"/>
        </w:rPr>
      </w:pPr>
      <w:r>
        <w:rPr>
          <w:rFonts w:hint="eastAsia"/>
        </w:rPr>
        <w:t>[10] Diakopoulos N. Accountability in algorithmic decision making[J]. Communications of the ACM, 2016, 59(2): 56-62.</w:t>
      </w:r>
    </w:p>
    <w:p w14:paraId="0038D0F5">
      <w:pPr>
        <w:pStyle w:val="3"/>
        <w:rPr>
          <w:rFonts w:hint="eastAsia"/>
        </w:rPr>
      </w:pPr>
      <w:r>
        <w:rPr>
          <w:rFonts w:hint="eastAsia"/>
        </w:rPr>
        <w:t>[11] Raji I D, Smart A, White R N, et al. Closing the AI accountability gap: Defining an end-to-end framework for internal algorithmic auditing[C]//FAT*. 2020.</w:t>
      </w:r>
    </w:p>
    <w:p w14:paraId="357001D8">
      <w:pPr>
        <w:pStyle w:val="3"/>
        <w:rPr>
          <w:rFonts w:hint="eastAsia"/>
        </w:rPr>
      </w:pPr>
      <w:r>
        <w:rPr>
          <w:rFonts w:hint="eastAsia"/>
        </w:rPr>
        <w:t>[12] ISO/IEC 27001. Information security management systems — Requirements[S]. 2022.</w:t>
      </w:r>
    </w:p>
    <w:p w14:paraId="6C72CDAD">
      <w:pPr>
        <w:pStyle w:val="3"/>
        <w:rPr>
          <w:rFonts w:hint="eastAsia"/>
        </w:rPr>
      </w:pPr>
      <w:r>
        <w:rPr>
          <w:rFonts w:hint="eastAsia"/>
        </w:rPr>
        <w:t>[13] Cunningham W. The WyCash portfolio management system[C]//OOPSLA Experience Report. 1992.</w:t>
      </w:r>
    </w:p>
    <w:p w14:paraId="10498D1A">
      <w:pPr>
        <w:pStyle w:val="3"/>
        <w:rPr>
          <w:rFonts w:hint="eastAsia"/>
        </w:rPr>
      </w:pPr>
      <w:r>
        <w:rPr>
          <w:rFonts w:hint="eastAsia"/>
        </w:rPr>
        <w:t>[14] Li Z, Avgeriou P, Liang P. A systematic mapping study on technical debt and its management[J]. Journal of Systems and Software, 2015, 101: 193-220.</w:t>
      </w:r>
    </w:p>
    <w:p w14:paraId="02F07C4D">
      <w:pPr>
        <w:pStyle w:val="3"/>
        <w:rPr>
          <w:rFonts w:hint="eastAsia"/>
        </w:rPr>
      </w:pPr>
      <w:r>
        <w:rPr>
          <w:rFonts w:hint="eastAsia"/>
        </w:rPr>
        <w:t>[15] Chen M, Tworek J, Jun H, et al. Evaluating large language models trained on code[J]. arXiv preprint arXiv:2107.03374, 2021.</w:t>
      </w:r>
    </w:p>
    <w:p w14:paraId="09CBE5A2">
      <w:pPr>
        <w:pStyle w:val="3"/>
        <w:rPr>
          <w:rFonts w:hint="eastAsia"/>
        </w:rPr>
      </w:pPr>
      <w:r>
        <w:rPr>
          <w:rFonts w:hint="eastAsia"/>
        </w:rPr>
        <w:t>[16] Svyatkovskiy A, Deng S K, Fu S, et al. IntelliCode compose: Code generation using transformer[C]//Proceedings of the 28th ACM Joint Meeting on European Software Engineering Conference and Symposium on the Foundations of Software Engineering. New York: ACM, 2020: 1433-1443.</w:t>
      </w:r>
    </w:p>
    <w:p w14:paraId="4A0A11D8">
      <w:pPr>
        <w:pStyle w:val="3"/>
        <w:rPr>
          <w:rFonts w:hint="eastAsia"/>
        </w:rPr>
      </w:pPr>
      <w:r>
        <w:rPr>
          <w:rFonts w:hint="eastAsia"/>
        </w:rPr>
        <w:t>[17] Barke S, James M B, Polikarpova N. Grounded copilot: How programmers interact with code-generating models[J]. Proceedings of the ACM on Programming Languages, 2023, 7(OOPSLA1): 85-111.</w:t>
      </w:r>
    </w:p>
    <w:p w14:paraId="6AC21B6E">
      <w:pPr>
        <w:pStyle w:val="3"/>
        <w:rPr>
          <w:rFonts w:hint="eastAsia"/>
        </w:rPr>
      </w:pPr>
      <w:r>
        <w:rPr>
          <w:rFonts w:hint="eastAsia"/>
        </w:rPr>
        <w:t>[18] Imai S. Is GitHub Copilot a substitute for human pair-programming? An empirical study[C]//Proceedings of the ACM/IEEE 44th International Conference on Software Engineering: Companion Proceedings. New York: ACM, 2022: 319-321.</w:t>
      </w:r>
    </w:p>
    <w:p w14:paraId="11DBBBF8">
      <w:pPr>
        <w:pStyle w:val="3"/>
        <w:rPr>
          <w:rFonts w:hint="eastAsia"/>
        </w:rPr>
      </w:pPr>
      <w:r>
        <w:rPr>
          <w:rFonts w:hint="eastAsia"/>
        </w:rPr>
        <w:t>[19] Meyer B. Applying "design by contract"[J]. Computer, 1992, 25(10): 40-51.</w:t>
      </w:r>
    </w:p>
    <w:p w14:paraId="5EFAFE9E">
      <w:pPr>
        <w:pStyle w:val="3"/>
        <w:rPr>
          <w:rFonts w:hint="eastAsia"/>
        </w:rPr>
      </w:pPr>
      <w:r>
        <w:rPr>
          <w:rFonts w:hint="eastAsia"/>
        </w:rPr>
        <w:t>[20] Liskov B H, Wing J M. A behavioral notion of subtyping[J]. ACM Transactions on Programming Languages and Systems, 1994, 16(6): 1811-1841.</w:t>
      </w:r>
    </w:p>
    <w:p w14:paraId="54C9A13C">
      <w:pPr>
        <w:pStyle w:val="3"/>
        <w:rPr>
          <w:rFonts w:hint="eastAsia"/>
        </w:rPr>
      </w:pPr>
      <w:r>
        <w:rPr>
          <w:rFonts w:hint="eastAsia"/>
        </w:rPr>
        <w:t>[21] Parnin C, Treude C, Grammel L, et al. Evaluating and improving the usability of Copilot[C]//Proceedings of the 44th International Conference on Software Engineering: Software Engineering in Practice. New York: ACM, 2022: 159-160.</w:t>
      </w:r>
    </w:p>
    <w:p w14:paraId="75B4BCA5">
      <w:pPr>
        <w:pStyle w:val="3"/>
        <w:rPr>
          <w:rFonts w:hint="eastAsia"/>
        </w:rPr>
      </w:pPr>
      <w:r>
        <w:rPr>
          <w:rFonts w:hint="eastAsia"/>
        </w:rPr>
        <w:t>[22] Ladisa P, Plate H, Martinez M, et al. SoK: Taxonomy of attacks on open-source software supply chains[C]//2023 IEEE Symposium on Security and Privacy (SP). San Francisco: IEEE, 2023: 1509-1526.</w:t>
      </w:r>
    </w:p>
    <w:p w14:paraId="6E3FD8C5">
      <w:pPr>
        <w:pStyle w:val="3"/>
        <w:rPr>
          <w:rFonts w:hint="eastAsia"/>
        </w:rPr>
      </w:pPr>
      <w:r>
        <w:rPr>
          <w:rFonts w:hint="eastAsia"/>
        </w:rPr>
        <w:t>[23] Wyss G, van Heijningen C. Secure software development framework[R]. NIST Special Publication 800-218, National Institute of Standards and Technology, 2022.</w:t>
      </w:r>
    </w:p>
    <w:p w14:paraId="243162FD">
      <w:pPr>
        <w:pStyle w:val="3"/>
        <w:rPr>
          <w:rFonts w:hint="eastAsia"/>
        </w:rPr>
      </w:pPr>
      <w:r>
        <w:rPr>
          <w:rFonts w:hint="eastAsia"/>
        </w:rPr>
        <w:t>[24] OpenSSF. Software Bill of Materials (SBOM) Everywhere[EB/OL]. https://openssf.org/community/sbom-everywhere/, 2023.</w:t>
      </w:r>
    </w:p>
    <w:p w14:paraId="0A8D4D92">
      <w:pPr>
        <w:pStyle w:val="3"/>
        <w:rPr>
          <w:rFonts w:hint="eastAsia"/>
        </w:rPr>
      </w:pPr>
      <w:r>
        <w:rPr>
          <w:rFonts w:hint="eastAsia"/>
        </w:rPr>
        <w:t>[25] Fu Y. ODD Output-Driven Development - A Novel Methodology for AI-Assisted Development (v1.0)[DB/OL]. Zenodo, 2026. https://doi.org/10.5281/zenodo.18207648.</w:t>
      </w:r>
    </w:p>
    <w:p w14:paraId="2E4B15CF">
      <w:pPr>
        <w:pStyle w:val="3"/>
        <w:rPr>
          <w:rFonts w:hint="eastAsia"/>
        </w:rPr>
      </w:pPr>
      <w:r>
        <w:rPr>
          <w:rFonts w:hint="eastAsia"/>
        </w:rPr>
        <w:t>[26] Thongtanunam P, McIntosh S, Hassan A E, et al. Review participation in modern code review: An empirical study of the Android, Qt, and OpenStack projects[J]. Empirical Software Engineering, 2017, 22(2): 768-817.</w:t>
      </w:r>
    </w:p>
    <w:p w14:paraId="0CB40519">
      <w:pPr>
        <w:pStyle w:val="3"/>
        <w:rPr>
          <w:rFonts w:hint="eastAsia"/>
        </w:rPr>
      </w:pPr>
      <w:r>
        <w:rPr>
          <w:rFonts w:hint="eastAsia"/>
        </w:rPr>
        <w:t>[27] Gousios G, Zaidman A, Storey M A, et al. Work practices and challenges in pull-based development: The integrator's perspective[C]//Proceedings of the 37th International Conference on Software Engineering. Piscataway: IEEE, 2015: 358-368.</w:t>
      </w:r>
    </w:p>
    <w:p w14:paraId="30029A21">
      <w:pPr>
        <w:pStyle w:val="3"/>
        <w:rPr>
          <w:rFonts w:hint="eastAsia"/>
        </w:rPr>
      </w:pPr>
      <w:r>
        <w:rPr>
          <w:rFonts w:hint="eastAsia"/>
        </w:rPr>
        <w:t>[28] Sadowski C, Söderberg E, Church L, et al. Modern code review: A case study at Google[C]//Proceedings of the 40th International Conference on Software Engineering: Software Engineering in Practice. New York: ACM, 2018: 181-190.</w:t>
      </w:r>
    </w:p>
    <w:p w14:paraId="7F9348BB">
      <w:pPr>
        <w:pStyle w:val="3"/>
        <w:rPr>
          <w:rFonts w:hint="eastAsia"/>
        </w:rPr>
      </w:pPr>
      <w:r>
        <w:rPr>
          <w:rFonts w:hint="eastAsia"/>
        </w:rPr>
        <w:t>[29] Wessel M, Serebrenik A, Wiese I, et al. Quality attributes of GitHub Actions workflows: A study on the definition, commonness and popularity[J]. Empirical Software Engineering, 2023, 28(3): 68.</w:t>
      </w:r>
    </w:p>
    <w:p w14:paraId="6359BCA2">
      <w:pPr>
        <w:pStyle w:val="3"/>
      </w:pPr>
      <w:r>
        <w:rPr>
          <w:rFonts w:hint="eastAsia"/>
        </w:rPr>
        <w:t>[30] 陈振宇, 王千祥, 毛晓光, 等. 代码审查研究综述[J]. 软件学报, 2022, 33(1): 238-267.</w:t>
      </w:r>
    </w:p>
    <w:bookmarkEnd w:id="0"/>
    <w:bookmarkEnd w:id="3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61990E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2026-02-10T16:51:00Z</dcterms:created>
  <dc:creator>知天命的程序老炮</dc:creator>
  <cp:lastModifiedBy>知天命的程序老炮</cp:lastModifiedBy>
  <dcterms:modified xsi:type="dcterms:W3CDTF">2026-02-10T17:00:24Z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ICV">
    <vt:lpwstr>5BCDE3836F384818ABC0250A48A3A314_12</vt:lpwstr>
  </property>
</Properties>
</file>