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DB38" w14:textId="3FC024EB" w:rsidR="00E14577" w:rsidRDefault="00A40BA0">
      <w:r>
        <w:rPr>
          <w:noProof/>
        </w:rPr>
        <w:pict w14:anchorId="5BF08569">
          <v:shape id="Picture 1" o:spid="_x0000_s2050" type="#_x0000_t75" alt="Institute of Technology, Nirma University | NAAC A+ Grade" style="position:absolute;margin-left:427pt;margin-top:-216.05pt;width:127.35pt;height:66.9pt;z-index:251662336;visibility:visible;mso-wrap-style:square;mso-position-horizontal-relative:text;mso-position-vertical-relative:text;mso-width-relative:page;mso-height-relative:page">
            <v:imagedata r:id="rId10" o:title="Institute of Technology, Nirma University | NAAC A+ Grade" croptop="1497f" cropbottom="1450f" cropleft="629f" cropright="780f"/>
          </v:shape>
        </w:pict>
      </w:r>
      <w:r w:rsidR="00E14577" w:rsidRPr="00465AC6">
        <w:rPr>
          <w:noProof/>
        </w:rPr>
        <w:drawing>
          <wp:anchor distT="0" distB="0" distL="114300" distR="114300" simplePos="0" relativeHeight="251659264" behindDoc="1" locked="1" layoutInCell="1" allowOverlap="1" wp14:anchorId="46857C72" wp14:editId="17B847D5">
            <wp:simplePos x="0" y="0"/>
            <wp:positionH relativeFrom="column">
              <wp:posOffset>-731520</wp:posOffset>
            </wp:positionH>
            <wp:positionV relativeFrom="paragraph">
              <wp:posOffset>-2749550</wp:posOffset>
            </wp:positionV>
            <wp:extent cx="7772400" cy="10058400"/>
            <wp:effectExtent l="0" t="0" r="0" b="0"/>
            <wp:wrapNone/>
            <wp:docPr id="1" name="Picture 1" descr="Hand holding blood 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and holding blood sample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96" r="2429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577" w:rsidRPr="00465AC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542CD0E8" wp14:editId="56573FA7">
                <wp:simplePos x="0" y="0"/>
                <wp:positionH relativeFrom="column">
                  <wp:posOffset>-731520</wp:posOffset>
                </wp:positionH>
                <wp:positionV relativeFrom="paragraph">
                  <wp:posOffset>273050</wp:posOffset>
                </wp:positionV>
                <wp:extent cx="6702425" cy="4023360"/>
                <wp:effectExtent l="0" t="0" r="3175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425" cy="402336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5E465" id="Rectangle 2" o:spid="_x0000_s1026" alt="&quot;&quot;" style="position:absolute;margin-left:-57.6pt;margin-top:21.5pt;width:527.75pt;height:316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" fillcolor="#fde700 [3206]" stroked="f" strokeweight="1pt"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A73656" w14:paraId="4C0CADA3" w14:textId="77777777" w:rsidTr="00931508">
        <w:trPr>
          <w:trHeight w:val="2106"/>
        </w:trPr>
        <w:tc>
          <w:tcPr>
            <w:tcW w:w="6011" w:type="dxa"/>
            <w:gridSpan w:val="2"/>
            <w:tcMar>
              <w:top w:w="576" w:type="dxa"/>
              <w:left w:w="115" w:type="dxa"/>
              <w:right w:w="115" w:type="dxa"/>
            </w:tcMar>
          </w:tcPr>
          <w:p w14:paraId="6632B49B" w14:textId="4131787F" w:rsidR="00A73656" w:rsidRDefault="00A40BA0" w:rsidP="00931508">
            <w:pPr>
              <w:pStyle w:val="Title"/>
            </w:pPr>
            <w:r>
              <w:t>HEALTHCARE DASHBOARD</w:t>
            </w:r>
          </w:p>
        </w:tc>
        <w:tc>
          <w:tcPr>
            <w:tcW w:w="3005" w:type="dxa"/>
            <w:tcMar>
              <w:top w:w="576" w:type="dxa"/>
            </w:tcMar>
          </w:tcPr>
          <w:p w14:paraId="4247802A" w14:textId="239900CB" w:rsidR="00A73656" w:rsidRDefault="00A73656" w:rsidP="00F85F7C">
            <w:pPr>
              <w:spacing w:after="200"/>
            </w:pPr>
          </w:p>
        </w:tc>
      </w:tr>
      <w:tr w:rsidR="00A73656" w14:paraId="48540F2C" w14:textId="77777777" w:rsidTr="00931508">
        <w:trPr>
          <w:trHeight w:val="891"/>
        </w:trPr>
        <w:tc>
          <w:tcPr>
            <w:tcW w:w="6011" w:type="dxa"/>
            <w:gridSpan w:val="2"/>
            <w:tcMar>
              <w:top w:w="1080" w:type="dxa"/>
              <w:left w:w="115" w:type="dxa"/>
              <w:right w:w="115" w:type="dxa"/>
            </w:tcMar>
          </w:tcPr>
          <w:p w14:paraId="27A7CA0A" w14:textId="1580DB7B" w:rsidR="00A73656" w:rsidRDefault="00A40BA0" w:rsidP="00931508">
            <w:pPr>
              <w:pStyle w:val="Bold"/>
            </w:pPr>
            <w:r>
              <w:t>Data Analysis and Visualization [</w:t>
            </w:r>
            <w:r w:rsidRPr="00A40BA0">
              <w:t>3CS103ME24</w:t>
            </w:r>
            <w:r>
              <w:t>]</w:t>
            </w:r>
          </w:p>
        </w:tc>
        <w:tc>
          <w:tcPr>
            <w:tcW w:w="3005" w:type="dxa"/>
            <w:tcMar>
              <w:top w:w="1080" w:type="dxa"/>
              <w:left w:w="115" w:type="dxa"/>
              <w:right w:w="115" w:type="dxa"/>
            </w:tcMar>
          </w:tcPr>
          <w:p w14:paraId="6AFEB434" w14:textId="77777777" w:rsidR="00A73656" w:rsidRDefault="00A73656" w:rsidP="00931508">
            <w:pPr>
              <w:spacing w:after="200"/>
            </w:pPr>
          </w:p>
        </w:tc>
      </w:tr>
      <w:tr w:rsidR="00A73656" w:rsidRPr="00C96056" w14:paraId="5D65518A" w14:textId="77777777" w:rsidTr="00F85F7C">
        <w:trPr>
          <w:trHeight w:val="2207"/>
        </w:trPr>
        <w:tc>
          <w:tcPr>
            <w:tcW w:w="3005" w:type="dxa"/>
          </w:tcPr>
          <w:p w14:paraId="6070E92A" w14:textId="1C27805C" w:rsidR="00A73656" w:rsidRDefault="00A40BA0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Prepared By:</w:t>
            </w:r>
          </w:p>
          <w:p w14:paraId="66ADDA94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36A7564E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4CA6AF73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31A5A2B3" w14:textId="77777777" w:rsidR="00DB7B3F" w:rsidRPr="007B7736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  <w:tc>
          <w:tcPr>
            <w:tcW w:w="3006" w:type="dxa"/>
          </w:tcPr>
          <w:p w14:paraId="3A5F714A" w14:textId="138230D8" w:rsidR="00A73656" w:rsidRPr="007B7736" w:rsidRDefault="00A40BA0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Deep Joshi</w:t>
            </w:r>
          </w:p>
          <w:p w14:paraId="7A89E990" w14:textId="1586F37B" w:rsidR="00A73656" w:rsidRPr="007B7736" w:rsidRDefault="00A40BA0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24BCE152</w:t>
            </w:r>
            <w:r w:rsidR="00A73656" w:rsidRPr="007B7736">
              <w:rPr>
                <w:sz w:val="24"/>
              </w:rPr>
              <w:t>  </w:t>
            </w:r>
          </w:p>
        </w:tc>
        <w:tc>
          <w:tcPr>
            <w:tcW w:w="3005" w:type="dxa"/>
          </w:tcPr>
          <w:p w14:paraId="17D236AC" w14:textId="344D8DF1" w:rsidR="00A73656" w:rsidRPr="007B7736" w:rsidRDefault="00A40BA0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proofErr w:type="spellStart"/>
            <w:r>
              <w:rPr>
                <w:sz w:val="24"/>
              </w:rPr>
              <w:t>Ziyankhan</w:t>
            </w:r>
            <w:proofErr w:type="spellEnd"/>
            <w:r>
              <w:rPr>
                <w:sz w:val="24"/>
              </w:rPr>
              <w:t xml:space="preserve"> Pathan</w:t>
            </w:r>
          </w:p>
          <w:p w14:paraId="7688139C" w14:textId="6AC3B60C" w:rsidR="00A73656" w:rsidRPr="007B7736" w:rsidRDefault="00A40BA0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24BCE146</w:t>
            </w:r>
          </w:p>
        </w:tc>
      </w:tr>
      <w:tr w:rsidR="00A73656" w:rsidRPr="00C96056" w14:paraId="0205B7A6" w14:textId="77777777" w:rsidTr="00F85F7C">
        <w:trPr>
          <w:trHeight w:val="1607"/>
        </w:trPr>
        <w:tc>
          <w:tcPr>
            <w:tcW w:w="9016" w:type="dxa"/>
            <w:gridSpan w:val="3"/>
          </w:tcPr>
          <w:p w14:paraId="12F5FD5E" w14:textId="4B935439" w:rsidR="00A73656" w:rsidRPr="00C96056" w:rsidRDefault="00A73656" w:rsidP="00F85F7C">
            <w:pPr>
              <w:pStyle w:val="Heading1"/>
              <w:framePr w:hSpace="0" w:wrap="auto" w:vAnchor="margin" w:hAnchor="text" w:yAlign="inline"/>
            </w:pPr>
          </w:p>
        </w:tc>
      </w:tr>
    </w:tbl>
    <w:p w14:paraId="30630D22" w14:textId="77777777" w:rsidR="00E14577" w:rsidRDefault="00E14577">
      <w:pPr>
        <w:spacing w:before="0" w:after="160" w:line="278" w:lineRule="auto"/>
      </w:pPr>
    </w:p>
    <w:p w14:paraId="62FBA32C" w14:textId="77777777" w:rsidR="00A73656" w:rsidRDefault="00A73656" w:rsidP="00D41196">
      <w:pPr>
        <w:pStyle w:val="Heading2"/>
        <w:sectPr w:rsidR="00A73656" w:rsidSect="00A7365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4320" w:right="1152" w:bottom="720" w:left="1152" w:header="432" w:footer="144" w:gutter="0"/>
          <w:cols w:space="720"/>
          <w:docGrid w:linePitch="360"/>
        </w:sectPr>
      </w:pPr>
    </w:p>
    <w:p w14:paraId="6AAFCD50" w14:textId="77777777" w:rsidR="00E14577" w:rsidRPr="0022526A" w:rsidRDefault="00E14577" w:rsidP="00D41196">
      <w:pPr>
        <w:pStyle w:val="Heading2"/>
        <w:rPr>
          <w:sz w:val="28"/>
          <w:szCs w:val="28"/>
        </w:rPr>
      </w:pPr>
      <w:r w:rsidRPr="0022526A">
        <w:rPr>
          <w:sz w:val="28"/>
          <w:szCs w:val="28"/>
        </w:rPr>
        <w:lastRenderedPageBreak/>
        <w:t>Executive summary</w:t>
      </w:r>
    </w:p>
    <w:p w14:paraId="14D19237" w14:textId="77777777" w:rsidR="00A40BA0" w:rsidRPr="00A40BA0" w:rsidRDefault="00A40BA0" w:rsidP="00A40BA0">
      <w:pPr>
        <w:rPr>
          <w:sz w:val="28"/>
          <w:szCs w:val="28"/>
        </w:rPr>
      </w:pPr>
      <w:r w:rsidRPr="00A40BA0">
        <w:rPr>
          <w:sz w:val="28"/>
          <w:szCs w:val="28"/>
        </w:rPr>
        <w:t xml:space="preserve">Modern hospital systems face a dual mandate: providing clinical care while managing throughput bottlenecks and financial attrition. This report details the design, implementation, and analytical findings of a 4-dashboard command suite designed to unify operational flow, clinical quality, revenue cycles, and payer claim adjudication into an actionable executive tool. </w:t>
      </w:r>
    </w:p>
    <w:p w14:paraId="46E30C17" w14:textId="77777777" w:rsidR="00A40BA0" w:rsidRPr="00A40BA0" w:rsidRDefault="00A40BA0" w:rsidP="00A40BA0">
      <w:pPr>
        <w:rPr>
          <w:sz w:val="28"/>
          <w:szCs w:val="28"/>
        </w:rPr>
      </w:pPr>
      <w:r w:rsidRPr="00A40BA0">
        <w:rPr>
          <w:sz w:val="28"/>
          <w:szCs w:val="28"/>
        </w:rPr>
        <w:t xml:space="preserve">Through an upfront feature engineering pipeline in Python, </w:t>
      </w:r>
      <w:r w:rsidRPr="00A40BA0">
        <w:rPr>
          <w:b/>
          <w:bCs/>
          <w:sz w:val="28"/>
          <w:szCs w:val="28"/>
        </w:rPr>
        <w:t>13,214 patient encounters</w:t>
      </w:r>
      <w:r w:rsidRPr="00A40BA0">
        <w:rPr>
          <w:sz w:val="28"/>
          <w:szCs w:val="28"/>
        </w:rPr>
        <w:t xml:space="preserve"> were transformed to support direct drag-and-drop visualizations in Tableau without sacrificing performance or adding workbook calculation overhead. The platform identifies critical operational bottlenecks, maps comorbidity-acuity risks, details cost structures across an </w:t>
      </w:r>
      <w:r w:rsidRPr="00A40BA0">
        <w:rPr>
          <w:b/>
          <w:bCs/>
          <w:sz w:val="28"/>
          <w:szCs w:val="28"/>
        </w:rPr>
        <w:t>$18M+ billed revenue portfolio</w:t>
      </w:r>
      <w:r w:rsidRPr="00A40BA0">
        <w:rPr>
          <w:sz w:val="28"/>
          <w:szCs w:val="28"/>
        </w:rPr>
        <w:t xml:space="preserve">, and pinpoints </w:t>
      </w:r>
      <w:r w:rsidRPr="00A40BA0">
        <w:rPr>
          <w:b/>
          <w:bCs/>
          <w:sz w:val="28"/>
          <w:szCs w:val="28"/>
        </w:rPr>
        <w:t>$39.16M in denied claim risk</w:t>
      </w:r>
      <w:r w:rsidRPr="00A40BA0">
        <w:rPr>
          <w:sz w:val="28"/>
          <w:szCs w:val="28"/>
        </w:rPr>
        <w:t xml:space="preserve"> driven primarily by front-desk administrative errors. </w:t>
      </w:r>
    </w:p>
    <w:p w14:paraId="5AA2C112" w14:textId="4FC4C509" w:rsidR="00E14577" w:rsidRPr="0022526A" w:rsidRDefault="00A40BA0" w:rsidP="00D41196">
      <w:pPr>
        <w:pStyle w:val="Heading2"/>
        <w:rPr>
          <w:sz w:val="28"/>
          <w:szCs w:val="28"/>
        </w:rPr>
      </w:pPr>
      <w:r w:rsidRPr="0022526A">
        <w:rPr>
          <w:sz w:val="28"/>
          <w:szCs w:val="28"/>
        </w:rPr>
        <w:t>Table of Contents</w:t>
      </w:r>
    </w:p>
    <w:p w14:paraId="6DC96BAF" w14:textId="75F6F4EC" w:rsidR="00A40BA0" w:rsidRPr="0022526A" w:rsidRDefault="0022526A" w:rsidP="002252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2526A">
        <w:rPr>
          <w:sz w:val="28"/>
          <w:szCs w:val="28"/>
        </w:rPr>
        <w:t>Dashboard 1: Executive Hospital Operations &amp; Patient Flow Command Center</w:t>
      </w:r>
    </w:p>
    <w:p w14:paraId="7584A4C6" w14:textId="0B07BEBE" w:rsidR="0022526A" w:rsidRPr="0022526A" w:rsidRDefault="0022526A" w:rsidP="002252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2526A">
        <w:rPr>
          <w:sz w:val="28"/>
          <w:szCs w:val="28"/>
        </w:rPr>
        <w:t>Dashboard 2: Clinical Acuity, Quality of Care &amp; Patient Safety Monitor</w:t>
      </w:r>
    </w:p>
    <w:p w14:paraId="19A59B1E" w14:textId="1373071F" w:rsidR="0022526A" w:rsidRPr="0022526A" w:rsidRDefault="0022526A" w:rsidP="002252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2526A">
        <w:rPr>
          <w:sz w:val="28"/>
          <w:szCs w:val="28"/>
        </w:rPr>
        <w:t>Dashboard 3: Hospital Revenue Cycle &amp; Departmental Financial Suite</w:t>
      </w:r>
    </w:p>
    <w:p w14:paraId="4416F3E1" w14:textId="410E349F" w:rsidR="003C44A7" w:rsidRPr="0022526A" w:rsidRDefault="0022526A" w:rsidP="002252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2526A">
        <w:rPr>
          <w:sz w:val="28"/>
          <w:szCs w:val="28"/>
        </w:rPr>
        <w:t>Dashboard 4: Payer Performance, Claim Adjudication &amp; Denial Root Causes</w:t>
      </w:r>
    </w:p>
    <w:p w14:paraId="36AB9E95" w14:textId="3830B84B" w:rsidR="0022526A" w:rsidRPr="0022526A" w:rsidRDefault="0022526A">
      <w:pPr>
        <w:spacing w:before="0" w:after="160" w:line="278" w:lineRule="auto"/>
        <w:rPr>
          <w:sz w:val="28"/>
          <w:szCs w:val="28"/>
        </w:rPr>
      </w:pPr>
      <w:r w:rsidRPr="0022526A">
        <w:rPr>
          <w:sz w:val="28"/>
          <w:szCs w:val="28"/>
        </w:rPr>
        <w:br w:type="page"/>
      </w:r>
    </w:p>
    <w:p w14:paraId="54B54F50" w14:textId="4CE67F73" w:rsidR="0022526A" w:rsidRDefault="0022526A" w:rsidP="0022526A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Dashboard 1: </w:t>
      </w:r>
      <w:r w:rsidRPr="0022526A">
        <w:rPr>
          <w:sz w:val="28"/>
          <w:szCs w:val="28"/>
        </w:rPr>
        <w:t>Executive Hospital Operations &amp; Patient Flow Command Center</w:t>
      </w:r>
    </w:p>
    <w:p w14:paraId="27DCA0A9" w14:textId="77777777" w:rsidR="0022526A" w:rsidRDefault="0022526A">
      <w:pPr>
        <w:spacing w:before="0" w:after="160" w:line="278" w:lineRule="auto"/>
        <w:rPr>
          <w:sz w:val="28"/>
          <w:szCs w:val="28"/>
        </w:rPr>
      </w:pPr>
      <w:r w:rsidRPr="0022526A">
        <w:rPr>
          <w:sz w:val="28"/>
          <w:szCs w:val="28"/>
        </w:rPr>
        <w:drawing>
          <wp:inline distT="0" distB="0" distL="0" distR="0" wp14:anchorId="13F5C61E" wp14:editId="2519FEDB">
            <wp:extent cx="6309360" cy="3948430"/>
            <wp:effectExtent l="0" t="0" r="0" b="0"/>
            <wp:docPr id="1478232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20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A2F8" w14:textId="7ECC1624" w:rsidR="0022526A" w:rsidRDefault="0022526A" w:rsidP="0022526A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Objective</w:t>
      </w:r>
    </w:p>
    <w:p w14:paraId="4FE0B73F" w14:textId="4C28658B" w:rsidR="0022526A" w:rsidRPr="0022526A" w:rsidRDefault="0022526A" w:rsidP="0022526A">
      <w:pPr>
        <w:rPr>
          <w:sz w:val="28"/>
          <w:szCs w:val="28"/>
        </w:rPr>
      </w:pPr>
      <w:r w:rsidRPr="0022526A">
        <w:rPr>
          <w:sz w:val="28"/>
          <w:szCs w:val="28"/>
        </w:rPr>
        <w:t>Monitor bed utilization, peak arrival times, and departmental throughput for resource planning.</w:t>
      </w:r>
    </w:p>
    <w:p w14:paraId="6B8D998A" w14:textId="7EFAA4BF" w:rsidR="008F170B" w:rsidRDefault="008F170B" w:rsidP="008F170B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Key Visualizations</w:t>
      </w:r>
    </w:p>
    <w:p w14:paraId="07045D11" w14:textId="7756AFB9" w:rsidR="008F170B" w:rsidRPr="0022526A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Overall KPI (Key Performance Indicator) </w:t>
      </w:r>
      <w:r w:rsidRPr="008F170B">
        <w:rPr>
          <w:b/>
          <w:bCs/>
          <w:sz w:val="28"/>
          <w:szCs w:val="28"/>
        </w:rPr>
        <w:t>Table</w:t>
      </w:r>
    </w:p>
    <w:p w14:paraId="2EC3B2D7" w14:textId="77777777" w:rsid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Patient Arrival </w:t>
      </w:r>
      <w:r w:rsidRPr="008F170B">
        <w:rPr>
          <w:b/>
          <w:bCs/>
          <w:sz w:val="28"/>
          <w:szCs w:val="28"/>
        </w:rPr>
        <w:t>Heatmap</w:t>
      </w:r>
    </w:p>
    <w:p w14:paraId="27D00DA0" w14:textId="77777777" w:rsidR="008F170B" w:rsidRP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Patient Encounter </w:t>
      </w:r>
      <w:r w:rsidRPr="008F170B">
        <w:rPr>
          <w:b/>
          <w:bCs/>
          <w:sz w:val="28"/>
          <w:szCs w:val="28"/>
        </w:rPr>
        <w:t>Donut Chart</w:t>
      </w:r>
    </w:p>
    <w:p w14:paraId="6F70A48C" w14:textId="77777777" w:rsidR="008F170B" w:rsidRP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Department Workload </w:t>
      </w:r>
      <w:r>
        <w:rPr>
          <w:b/>
          <w:bCs/>
          <w:sz w:val="28"/>
          <w:szCs w:val="28"/>
        </w:rPr>
        <w:t>Scatter + Bar Plot</w:t>
      </w:r>
    </w:p>
    <w:p w14:paraId="1C367B0E" w14:textId="77777777" w:rsidR="008F170B" w:rsidRDefault="008F170B" w:rsidP="008F170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Patient Urgency </w:t>
      </w:r>
      <w:proofErr w:type="spellStart"/>
      <w:r>
        <w:rPr>
          <w:b/>
          <w:bCs/>
          <w:sz w:val="28"/>
          <w:szCs w:val="28"/>
        </w:rPr>
        <w:t>Treemap</w:t>
      </w:r>
      <w:proofErr w:type="spellEnd"/>
    </w:p>
    <w:p w14:paraId="4765A937" w14:textId="77777777" w:rsidR="008F170B" w:rsidRDefault="008F170B">
      <w:pPr>
        <w:spacing w:before="0"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DD4326A" w14:textId="070E67D7" w:rsidR="008F170B" w:rsidRDefault="008F170B" w:rsidP="008F170B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Dashboard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: </w:t>
      </w:r>
      <w:r w:rsidRPr="008F170B">
        <w:rPr>
          <w:sz w:val="28"/>
          <w:szCs w:val="28"/>
        </w:rPr>
        <w:t>Clinical Acuity, Quality of Care &amp; Patient Safety Monitor</w:t>
      </w:r>
    </w:p>
    <w:p w14:paraId="0E03AB6D" w14:textId="7C693846" w:rsidR="008F170B" w:rsidRDefault="008F170B" w:rsidP="008F170B">
      <w:pPr>
        <w:pStyle w:val="Heading2"/>
        <w:rPr>
          <w:sz w:val="28"/>
          <w:szCs w:val="28"/>
        </w:rPr>
      </w:pPr>
      <w:r w:rsidRPr="008F170B">
        <w:rPr>
          <w:sz w:val="28"/>
          <w:szCs w:val="28"/>
        </w:rPr>
        <w:drawing>
          <wp:inline distT="0" distB="0" distL="0" distR="0" wp14:anchorId="6BA0D40E" wp14:editId="6FFF1F00">
            <wp:extent cx="6309360" cy="3953510"/>
            <wp:effectExtent l="0" t="0" r="0" b="8890"/>
            <wp:docPr id="8349746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4660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8510" w14:textId="0990AB2E" w:rsidR="008F170B" w:rsidRDefault="008F170B" w:rsidP="008F170B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Objective</w:t>
      </w:r>
    </w:p>
    <w:p w14:paraId="6F0912C6" w14:textId="77777777" w:rsidR="008F170B" w:rsidRDefault="008F170B" w:rsidP="008F170B">
      <w:pPr>
        <w:pStyle w:val="Heading2"/>
        <w:rPr>
          <w:rFonts w:asciiTheme="minorHAnsi" w:hAnsiTheme="minorHAnsi"/>
          <w:b w:val="0"/>
          <w:bCs w:val="0"/>
          <w:noProof w:val="0"/>
          <w:sz w:val="28"/>
          <w:szCs w:val="28"/>
        </w:rPr>
      </w:pPr>
      <w:r w:rsidRPr="008F170B">
        <w:rPr>
          <w:rFonts w:asciiTheme="minorHAnsi" w:hAnsiTheme="minorHAnsi"/>
          <w:b w:val="0"/>
          <w:bCs w:val="0"/>
          <w:noProof w:val="0"/>
          <w:sz w:val="28"/>
          <w:szCs w:val="28"/>
        </w:rPr>
        <w:t xml:space="preserve">Track patient safety indicators, 30-day readmissions, mortality, and length-of-stay outliers. </w:t>
      </w:r>
    </w:p>
    <w:p w14:paraId="09EE17BC" w14:textId="2F9E82B4" w:rsidR="008F170B" w:rsidRDefault="008F170B" w:rsidP="008F170B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Key Visualizations</w:t>
      </w:r>
    </w:p>
    <w:p w14:paraId="0E113202" w14:textId="31A6DDDC" w:rsidR="008F170B" w:rsidRPr="0022526A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Patient Disposition </w:t>
      </w:r>
      <w:r>
        <w:rPr>
          <w:sz w:val="28"/>
          <w:szCs w:val="28"/>
        </w:rPr>
        <w:t xml:space="preserve">KPI (Key Performance Indicator) </w:t>
      </w:r>
      <w:r w:rsidRPr="008F170B">
        <w:rPr>
          <w:b/>
          <w:bCs/>
          <w:sz w:val="28"/>
          <w:szCs w:val="28"/>
        </w:rPr>
        <w:t>Table</w:t>
      </w:r>
    </w:p>
    <w:p w14:paraId="44B83EBC" w14:textId="38F84F65" w:rsid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Clinical Risk </w:t>
      </w:r>
      <w:proofErr w:type="gramStart"/>
      <w:r>
        <w:rPr>
          <w:sz w:val="28"/>
          <w:szCs w:val="28"/>
        </w:rPr>
        <w:t>( News</w:t>
      </w:r>
      <w:proofErr w:type="gramEnd"/>
      <w:r>
        <w:rPr>
          <w:sz w:val="28"/>
          <w:szCs w:val="28"/>
        </w:rPr>
        <w:t xml:space="preserve"> Acuity vs Comorbidity Index) </w:t>
      </w:r>
      <w:r>
        <w:rPr>
          <w:b/>
          <w:bCs/>
          <w:sz w:val="28"/>
          <w:szCs w:val="28"/>
        </w:rPr>
        <w:t>Circle Plot+ Regression</w:t>
      </w:r>
    </w:p>
    <w:p w14:paraId="6B4B7B20" w14:textId="7D7441DD" w:rsidR="008F170B" w:rsidRP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Clinical Readmission </w:t>
      </w:r>
      <w:r>
        <w:rPr>
          <w:b/>
          <w:bCs/>
          <w:sz w:val="28"/>
          <w:szCs w:val="28"/>
        </w:rPr>
        <w:t>Dual Axis Bar Plot</w:t>
      </w:r>
    </w:p>
    <w:p w14:paraId="49BF69BE" w14:textId="2BB757E4" w:rsidR="008F170B" w:rsidRP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Length of Stay vs Disposition Status </w:t>
      </w:r>
      <w:r>
        <w:rPr>
          <w:b/>
          <w:bCs/>
          <w:sz w:val="28"/>
          <w:szCs w:val="28"/>
        </w:rPr>
        <w:t>Scatter + Boxplot</w:t>
      </w:r>
    </w:p>
    <w:p w14:paraId="6A8BE45D" w14:textId="77777777" w:rsid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Department Wise Risk Matrix </w:t>
      </w:r>
      <w:r>
        <w:rPr>
          <w:b/>
          <w:bCs/>
          <w:sz w:val="28"/>
          <w:szCs w:val="28"/>
        </w:rPr>
        <w:t>Heatmap</w:t>
      </w:r>
    </w:p>
    <w:p w14:paraId="7ADF7DC6" w14:textId="77777777" w:rsidR="008F170B" w:rsidRDefault="008F170B">
      <w:pPr>
        <w:spacing w:before="0"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E91009" w14:textId="4FB952C4" w:rsidR="008F170B" w:rsidRDefault="008F170B" w:rsidP="008F170B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Dashboard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: </w:t>
      </w:r>
      <w:r w:rsidRPr="008F170B">
        <w:rPr>
          <w:sz w:val="28"/>
          <w:szCs w:val="28"/>
        </w:rPr>
        <w:t>Hospital Revenue Cycle &amp; Departmental Financial Suite</w:t>
      </w:r>
    </w:p>
    <w:p w14:paraId="0A1913E5" w14:textId="03B30895" w:rsidR="008F170B" w:rsidRDefault="008F170B" w:rsidP="008F170B">
      <w:pPr>
        <w:pStyle w:val="Heading2"/>
        <w:rPr>
          <w:sz w:val="28"/>
          <w:szCs w:val="28"/>
        </w:rPr>
      </w:pPr>
      <w:r w:rsidRPr="008F170B">
        <w:rPr>
          <w:sz w:val="28"/>
          <w:szCs w:val="28"/>
        </w:rPr>
        <w:drawing>
          <wp:inline distT="0" distB="0" distL="0" distR="0" wp14:anchorId="065CF8AD" wp14:editId="700B3B2D">
            <wp:extent cx="6309360" cy="3918585"/>
            <wp:effectExtent l="0" t="0" r="0" b="5715"/>
            <wp:docPr id="89326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65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FDF2" w14:textId="77777777" w:rsidR="008F170B" w:rsidRDefault="008F170B" w:rsidP="008F170B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Objective</w:t>
      </w:r>
    </w:p>
    <w:p w14:paraId="1647313E" w14:textId="687A78B5" w:rsidR="008F170B" w:rsidRDefault="008F170B" w:rsidP="008F170B">
      <w:pPr>
        <w:pStyle w:val="Heading2"/>
        <w:rPr>
          <w:rFonts w:asciiTheme="minorHAnsi" w:hAnsiTheme="minorHAnsi"/>
          <w:b w:val="0"/>
          <w:bCs w:val="0"/>
          <w:noProof w:val="0"/>
          <w:sz w:val="28"/>
          <w:szCs w:val="28"/>
        </w:rPr>
      </w:pPr>
      <w:r w:rsidRPr="008F170B">
        <w:rPr>
          <w:rFonts w:asciiTheme="minorHAnsi" w:hAnsiTheme="minorHAnsi"/>
          <w:b w:val="0"/>
          <w:bCs w:val="0"/>
          <w:noProof w:val="0"/>
          <w:sz w:val="28"/>
          <w:szCs w:val="28"/>
        </w:rPr>
        <w:t xml:space="preserve">Analyze financial attrition from gross billing down to net cash collection while monitoring patient out-of-pocket toxicity. </w:t>
      </w:r>
    </w:p>
    <w:p w14:paraId="4438C29B" w14:textId="77777777" w:rsidR="008F170B" w:rsidRDefault="008F170B" w:rsidP="008F170B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Key Visualizations</w:t>
      </w:r>
    </w:p>
    <w:p w14:paraId="508E9F28" w14:textId="1A7D2DE7" w:rsidR="008F170B" w:rsidRPr="0022526A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Revenue </w:t>
      </w:r>
      <w:r>
        <w:rPr>
          <w:sz w:val="28"/>
          <w:szCs w:val="28"/>
        </w:rPr>
        <w:t xml:space="preserve">KPI (Key Performance Indicator) </w:t>
      </w:r>
      <w:r w:rsidRPr="008F170B">
        <w:rPr>
          <w:b/>
          <w:bCs/>
          <w:sz w:val="28"/>
          <w:szCs w:val="28"/>
        </w:rPr>
        <w:t>Table</w:t>
      </w:r>
    </w:p>
    <w:p w14:paraId="15A369C2" w14:textId="77777777" w:rsidR="008F170B" w:rsidRP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Multi Class Department Revenue </w:t>
      </w:r>
      <w:r>
        <w:rPr>
          <w:b/>
          <w:bCs/>
          <w:sz w:val="28"/>
          <w:szCs w:val="28"/>
        </w:rPr>
        <w:t>Bar Chart</w:t>
      </w:r>
    </w:p>
    <w:p w14:paraId="3D868F50" w14:textId="77777777" w:rsidR="008F170B" w:rsidRP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Adjudication Waterfall </w:t>
      </w:r>
      <w:r>
        <w:rPr>
          <w:b/>
          <w:bCs/>
          <w:sz w:val="28"/>
          <w:szCs w:val="28"/>
        </w:rPr>
        <w:t>Bar Chart</w:t>
      </w:r>
    </w:p>
    <w:p w14:paraId="7C3E4B98" w14:textId="77777777" w:rsidR="008F170B" w:rsidRPr="008F170B" w:rsidRDefault="008F170B" w:rsidP="008F17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Financial Toxicity </w:t>
      </w:r>
      <w:r>
        <w:rPr>
          <w:b/>
          <w:bCs/>
          <w:sz w:val="28"/>
          <w:szCs w:val="28"/>
        </w:rPr>
        <w:t>Scatter + Average Plot</w:t>
      </w:r>
    </w:p>
    <w:p w14:paraId="2A6D4651" w14:textId="77777777" w:rsidR="008F170B" w:rsidRDefault="008F170B" w:rsidP="008F170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Revenue </w:t>
      </w:r>
      <w:r>
        <w:rPr>
          <w:b/>
          <w:bCs/>
          <w:sz w:val="28"/>
          <w:szCs w:val="28"/>
        </w:rPr>
        <w:t>Pareto Plot with Bar Chart and Average Reference Line</w:t>
      </w:r>
    </w:p>
    <w:p w14:paraId="5F527FF3" w14:textId="77777777" w:rsidR="008F170B" w:rsidRDefault="008F170B">
      <w:pPr>
        <w:spacing w:before="0"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B223577" w14:textId="4D8F8763" w:rsidR="00290222" w:rsidRDefault="00290222" w:rsidP="00290222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Dashboard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: </w:t>
      </w:r>
      <w:r w:rsidRPr="00290222">
        <w:rPr>
          <w:sz w:val="28"/>
          <w:szCs w:val="28"/>
        </w:rPr>
        <w:t>Payer Performance, Claim Adjudication &amp; Denial Root Causes</w:t>
      </w:r>
    </w:p>
    <w:p w14:paraId="4A69F7F0" w14:textId="7090219E" w:rsidR="00290222" w:rsidRDefault="00290222" w:rsidP="00290222">
      <w:pPr>
        <w:pStyle w:val="Heading2"/>
        <w:rPr>
          <w:sz w:val="28"/>
          <w:szCs w:val="28"/>
        </w:rPr>
      </w:pPr>
      <w:r w:rsidRPr="00290222">
        <w:rPr>
          <w:sz w:val="28"/>
          <w:szCs w:val="28"/>
        </w:rPr>
        <w:drawing>
          <wp:inline distT="0" distB="0" distL="0" distR="0" wp14:anchorId="64669A44" wp14:editId="37393243">
            <wp:extent cx="6309360" cy="3918585"/>
            <wp:effectExtent l="0" t="0" r="0" b="5715"/>
            <wp:docPr id="1061533487" name="Picture 1" descr="A screenshot of a dat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3487" name="Picture 1" descr="A screenshot of a data dashboar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86A1" w14:textId="77777777" w:rsidR="00290222" w:rsidRDefault="00290222" w:rsidP="00290222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Objective</w:t>
      </w:r>
    </w:p>
    <w:p w14:paraId="2B8EC387" w14:textId="6824255C" w:rsidR="00290222" w:rsidRDefault="00290222" w:rsidP="00290222">
      <w:pPr>
        <w:pStyle w:val="Heading2"/>
        <w:rPr>
          <w:rFonts w:asciiTheme="minorHAnsi" w:hAnsiTheme="minorHAnsi"/>
          <w:b w:val="0"/>
          <w:bCs w:val="0"/>
          <w:noProof w:val="0"/>
          <w:sz w:val="28"/>
          <w:szCs w:val="28"/>
        </w:rPr>
      </w:pPr>
      <w:r w:rsidRPr="00290222">
        <w:rPr>
          <w:rFonts w:asciiTheme="minorHAnsi" w:hAnsiTheme="minorHAnsi"/>
          <w:b w:val="0"/>
          <w:bCs w:val="0"/>
          <w:noProof w:val="0"/>
          <w:sz w:val="28"/>
          <w:szCs w:val="28"/>
        </w:rPr>
        <w:t>Audit payer performance, pinpoint claim rejection rates, and isolate administrative root causes for denial recovery</w:t>
      </w:r>
    </w:p>
    <w:p w14:paraId="1EEFE13F" w14:textId="77777777" w:rsidR="00290222" w:rsidRDefault="00290222" w:rsidP="00290222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Key Visualizations</w:t>
      </w:r>
    </w:p>
    <w:p w14:paraId="73A0E123" w14:textId="0A07328E" w:rsidR="00290222" w:rsidRPr="0022526A" w:rsidRDefault="00290222" w:rsidP="0029022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Claims</w:t>
      </w:r>
      <w:r>
        <w:rPr>
          <w:sz w:val="28"/>
          <w:szCs w:val="28"/>
        </w:rPr>
        <w:t xml:space="preserve"> KPI (Key Performance Indicator) </w:t>
      </w:r>
      <w:r w:rsidRPr="008F170B">
        <w:rPr>
          <w:b/>
          <w:bCs/>
          <w:sz w:val="28"/>
          <w:szCs w:val="28"/>
        </w:rPr>
        <w:t>Table</w:t>
      </w:r>
    </w:p>
    <w:p w14:paraId="7DE9DED7" w14:textId="035538B1" w:rsidR="00290222" w:rsidRPr="008F170B" w:rsidRDefault="00290222" w:rsidP="0029022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Average Claim Denied by Insurance Provider </w:t>
      </w:r>
      <w:r>
        <w:rPr>
          <w:b/>
          <w:bCs/>
          <w:sz w:val="28"/>
          <w:szCs w:val="28"/>
        </w:rPr>
        <w:t>Bar Chart</w:t>
      </w:r>
    </w:p>
    <w:p w14:paraId="1016EA4D" w14:textId="75CB4BA8" w:rsidR="00290222" w:rsidRPr="008F170B" w:rsidRDefault="00290222" w:rsidP="0029022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Claim Denial Reason </w:t>
      </w:r>
      <w:proofErr w:type="spellStart"/>
      <w:r>
        <w:rPr>
          <w:b/>
          <w:bCs/>
          <w:sz w:val="28"/>
          <w:szCs w:val="28"/>
        </w:rPr>
        <w:t>Treemap</w:t>
      </w:r>
      <w:proofErr w:type="spellEnd"/>
    </w:p>
    <w:p w14:paraId="5A2739C1" w14:textId="799A7BE7" w:rsidR="00290222" w:rsidRPr="008F170B" w:rsidRDefault="00290222" w:rsidP="0029022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Claims Adjudication </w:t>
      </w:r>
      <w:r>
        <w:rPr>
          <w:b/>
          <w:bCs/>
          <w:sz w:val="28"/>
          <w:szCs w:val="28"/>
        </w:rPr>
        <w:t>Matrix</w:t>
      </w:r>
    </w:p>
    <w:p w14:paraId="2DDF7A48" w14:textId="79DDAE3B" w:rsidR="00290222" w:rsidRDefault="00290222" w:rsidP="00290222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Claims Coverage Ratio vs Primary Insurance Provider </w:t>
      </w:r>
      <w:r>
        <w:rPr>
          <w:b/>
          <w:bCs/>
          <w:sz w:val="28"/>
          <w:szCs w:val="28"/>
        </w:rPr>
        <w:t>Scatter Plot + Box Plot</w:t>
      </w:r>
    </w:p>
    <w:p w14:paraId="2AB04E14" w14:textId="0A36E897" w:rsidR="00290222" w:rsidRDefault="0022526A" w:rsidP="00290222">
      <w:pPr>
        <w:pStyle w:val="Heading2"/>
        <w:rPr>
          <w:sz w:val="28"/>
          <w:szCs w:val="28"/>
        </w:rPr>
      </w:pPr>
      <w:r w:rsidRPr="008F170B">
        <w:rPr>
          <w:sz w:val="28"/>
          <w:szCs w:val="28"/>
        </w:rPr>
        <w:br w:type="page"/>
      </w:r>
      <w:r w:rsidR="00290222" w:rsidRPr="00290222">
        <w:rPr>
          <w:sz w:val="28"/>
          <w:szCs w:val="28"/>
        </w:rPr>
        <w:lastRenderedPageBreak/>
        <w:t>Key Operational Findings &amp; Executive Recommendations</w:t>
      </w:r>
    </w:p>
    <w:p w14:paraId="2BE9DB1D" w14:textId="2D846DF5" w:rsidR="00290222" w:rsidRPr="00290222" w:rsidRDefault="00290222" w:rsidP="00290222">
      <w:pPr>
        <w:pStyle w:val="ListParagraph"/>
        <w:numPr>
          <w:ilvl w:val="0"/>
          <w:numId w:val="3"/>
        </w:numPr>
        <w:spacing w:before="0" w:after="160" w:line="278" w:lineRule="auto"/>
        <w:rPr>
          <w:sz w:val="28"/>
          <w:szCs w:val="28"/>
        </w:rPr>
      </w:pPr>
      <w:r w:rsidRPr="00290222">
        <w:rPr>
          <w:b/>
          <w:bCs/>
          <w:sz w:val="28"/>
          <w:szCs w:val="28"/>
        </w:rPr>
        <w:t>Front-Desk Pre-Authorization Reform:</w:t>
      </w:r>
      <w:r w:rsidRPr="00290222">
        <w:rPr>
          <w:sz w:val="28"/>
          <w:szCs w:val="28"/>
        </w:rPr>
        <w:t xml:space="preserve"> Over </w:t>
      </w:r>
      <w:r w:rsidRPr="00290222">
        <w:rPr>
          <w:b/>
          <w:bCs/>
          <w:sz w:val="28"/>
          <w:szCs w:val="28"/>
        </w:rPr>
        <w:t>$39.16M in billed revenue</w:t>
      </w:r>
      <w:r w:rsidRPr="00290222">
        <w:rPr>
          <w:sz w:val="28"/>
          <w:szCs w:val="28"/>
        </w:rPr>
        <w:t xml:space="preserve"> is blocked by claim denials, with </w:t>
      </w:r>
      <w:r w:rsidRPr="00290222">
        <w:rPr>
          <w:b/>
          <w:bCs/>
          <w:sz w:val="28"/>
          <w:szCs w:val="28"/>
        </w:rPr>
        <w:t>Prior Authorization Missing</w:t>
      </w:r>
      <w:r w:rsidRPr="00290222">
        <w:rPr>
          <w:sz w:val="28"/>
          <w:szCs w:val="28"/>
        </w:rPr>
        <w:t xml:space="preserve"> identified as the primary administrative cause. Implementing mandatory automated pre-authorization verification during patient intake will help recover revenue without increasing clinical delivery costs. </w:t>
      </w:r>
    </w:p>
    <w:p w14:paraId="4587BEAD" w14:textId="1709EA00" w:rsidR="00290222" w:rsidRPr="00290222" w:rsidRDefault="00290222" w:rsidP="00290222">
      <w:pPr>
        <w:pStyle w:val="ListParagraph"/>
        <w:numPr>
          <w:ilvl w:val="0"/>
          <w:numId w:val="3"/>
        </w:numPr>
        <w:spacing w:before="0" w:after="160" w:line="278" w:lineRule="auto"/>
        <w:rPr>
          <w:sz w:val="28"/>
          <w:szCs w:val="28"/>
        </w:rPr>
      </w:pPr>
      <w:r w:rsidRPr="00290222">
        <w:rPr>
          <w:b/>
          <w:bCs/>
          <w:sz w:val="28"/>
          <w:szCs w:val="28"/>
        </w:rPr>
        <w:t>Shift Allocation Alignment:</w:t>
      </w:r>
      <w:r w:rsidRPr="00290222">
        <w:rPr>
          <w:sz w:val="28"/>
          <w:szCs w:val="28"/>
        </w:rPr>
        <w:t xml:space="preserve"> The arrival heatmap reveals consistent peak rush hours during early morning windows (00:00–02:00). Realigning nurse and triage physician shifts to match these operational arrival windows will reduce emergency department congestion and streamline ICU transfers. </w:t>
      </w:r>
    </w:p>
    <w:p w14:paraId="03AAD635" w14:textId="38E6E137" w:rsidR="00290222" w:rsidRPr="00290222" w:rsidRDefault="00290222" w:rsidP="00290222">
      <w:pPr>
        <w:pStyle w:val="ListParagraph"/>
        <w:numPr>
          <w:ilvl w:val="0"/>
          <w:numId w:val="3"/>
        </w:numPr>
        <w:spacing w:before="0" w:after="160" w:line="278" w:lineRule="auto"/>
        <w:rPr>
          <w:sz w:val="28"/>
          <w:szCs w:val="28"/>
        </w:rPr>
      </w:pPr>
      <w:r w:rsidRPr="00290222">
        <w:rPr>
          <w:b/>
          <w:bCs/>
          <w:sz w:val="28"/>
          <w:szCs w:val="28"/>
        </w:rPr>
        <w:t>Targeted Readmission Risk Protocol:</w:t>
      </w:r>
      <w:r w:rsidRPr="00290222">
        <w:rPr>
          <w:sz w:val="28"/>
          <w:szCs w:val="28"/>
        </w:rPr>
        <w:t xml:space="preserve"> Patients presenting with Cardiovascular and Infectious conditions exhibit 30-day readmission rates approaching 40%. Introducing post-discharge remote monitoring and 48-hour follow-up calls for these specific disease cohorts will help lower readmission penalties. </w:t>
      </w:r>
    </w:p>
    <w:p w14:paraId="4BE85D2F" w14:textId="06E40A66" w:rsidR="00290222" w:rsidRPr="00290222" w:rsidRDefault="00290222" w:rsidP="00290222">
      <w:pPr>
        <w:pStyle w:val="ListParagraph"/>
        <w:numPr>
          <w:ilvl w:val="0"/>
          <w:numId w:val="3"/>
        </w:numPr>
        <w:spacing w:before="0" w:after="160" w:line="278" w:lineRule="auto"/>
        <w:rPr>
          <w:sz w:val="28"/>
          <w:szCs w:val="28"/>
        </w:rPr>
      </w:pPr>
      <w:r w:rsidRPr="00290222">
        <w:rPr>
          <w:b/>
          <w:bCs/>
          <w:sz w:val="28"/>
          <w:szCs w:val="28"/>
        </w:rPr>
        <w:t>Post-Acute Discharge Planning:</w:t>
      </w:r>
      <w:r w:rsidRPr="00290222">
        <w:rPr>
          <w:sz w:val="28"/>
          <w:szCs w:val="28"/>
        </w:rPr>
        <w:t xml:space="preserve"> Boxplot distribution analysis indicates that patients transitioning to Skilled Nursing Facilities drive significant stay duration outliers (40+ days). Early social worker engagement during admission will help streamline post-acute placement and free up inpatient bed capacity. </w:t>
      </w:r>
    </w:p>
    <w:p w14:paraId="58FDE958" w14:textId="525A3955" w:rsidR="0022526A" w:rsidRPr="00290222" w:rsidRDefault="00290222" w:rsidP="00290222">
      <w:pPr>
        <w:spacing w:before="0" w:after="160" w:line="278" w:lineRule="auto"/>
        <w:rPr>
          <w:sz w:val="28"/>
          <w:szCs w:val="28"/>
        </w:rPr>
      </w:pPr>
      <w:r w:rsidRPr="00290222">
        <w:rPr>
          <w:sz w:val="28"/>
          <w:szCs w:val="28"/>
        </w:rPr>
        <w:drawing>
          <wp:inline distT="0" distB="0" distL="0" distR="0" wp14:anchorId="6A5657A1" wp14:editId="144145C7">
            <wp:extent cx="6309360" cy="3524250"/>
            <wp:effectExtent l="0" t="0" r="0" b="0"/>
            <wp:docPr id="831185309" name="Picture 1" descr="A river running through a valley with a building in the dist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85309" name="Picture 1" descr="A river running through a valley with a building in the distanc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3F96E816" w14:textId="77777777" w:rsidR="00E14577" w:rsidRPr="0022526A" w:rsidRDefault="00E14577" w:rsidP="00D41196">
      <w:pPr>
        <w:pStyle w:val="Heading2"/>
        <w:rPr>
          <w:sz w:val="28"/>
          <w:szCs w:val="28"/>
        </w:rPr>
      </w:pPr>
      <w:r w:rsidRPr="0022526A">
        <w:rPr>
          <w:sz w:val="28"/>
          <w:szCs w:val="28"/>
        </w:rPr>
        <w:lastRenderedPageBreak/>
        <w:t>Conclusion</w:t>
      </w:r>
    </w:p>
    <w:p w14:paraId="588F05C4" w14:textId="77777777" w:rsidR="00290222" w:rsidRPr="00290222" w:rsidRDefault="00290222" w:rsidP="00290222">
      <w:pPr>
        <w:rPr>
          <w:sz w:val="28"/>
          <w:szCs w:val="28"/>
        </w:rPr>
      </w:pPr>
      <w:r w:rsidRPr="00290222">
        <w:rPr>
          <w:sz w:val="28"/>
          <w:szCs w:val="28"/>
        </w:rPr>
        <w:t xml:space="preserve">This project demonstrates the design and execution of an enterprise-grade healthcare analytics platform </w:t>
      </w:r>
      <w:proofErr w:type="gramStart"/>
      <w:r w:rsidRPr="00290222">
        <w:rPr>
          <w:sz w:val="28"/>
          <w:szCs w:val="28"/>
        </w:rPr>
        <w:t>built</w:t>
      </w:r>
      <w:proofErr w:type="gramEnd"/>
      <w:r w:rsidRPr="00290222">
        <w:rPr>
          <w:sz w:val="28"/>
          <w:szCs w:val="28"/>
        </w:rPr>
        <w:t xml:space="preserve"> over </w:t>
      </w:r>
      <w:r w:rsidRPr="00290222">
        <w:rPr>
          <w:b/>
          <w:bCs/>
          <w:sz w:val="28"/>
          <w:szCs w:val="28"/>
        </w:rPr>
        <w:t>13,214 patient encounters</w:t>
      </w:r>
      <w:r w:rsidRPr="00290222">
        <w:rPr>
          <w:sz w:val="28"/>
          <w:szCs w:val="28"/>
        </w:rPr>
        <w:t xml:space="preserve">. By leveraging an upfront data-engineering pipeline in Python, the dashboard suite achieves a </w:t>
      </w:r>
      <w:r w:rsidRPr="00290222">
        <w:rPr>
          <w:b/>
          <w:bCs/>
          <w:sz w:val="28"/>
          <w:szCs w:val="28"/>
        </w:rPr>
        <w:t>Zero-Calculated-Field architecture</w:t>
      </w:r>
      <w:r w:rsidRPr="00290222">
        <w:rPr>
          <w:sz w:val="28"/>
          <w:szCs w:val="28"/>
        </w:rPr>
        <w:t xml:space="preserve"> in Tableau, eliminating workbook performance bottlenecks while delivering real-time interactive decision support. </w:t>
      </w:r>
    </w:p>
    <w:p w14:paraId="01DD0CBE" w14:textId="77777777" w:rsidR="00290222" w:rsidRPr="00290222" w:rsidRDefault="00290222" w:rsidP="00290222">
      <w:pPr>
        <w:rPr>
          <w:sz w:val="28"/>
          <w:szCs w:val="28"/>
        </w:rPr>
      </w:pPr>
      <w:r w:rsidRPr="00290222">
        <w:rPr>
          <w:sz w:val="28"/>
          <w:szCs w:val="28"/>
        </w:rPr>
        <w:t xml:space="preserve">Through four integrated command centers, the platform successfully bridges the gap between clinical operations, patient safety, financial management, and revenue cycle integrity: </w:t>
      </w:r>
    </w:p>
    <w:p w14:paraId="183E9504" w14:textId="77777777" w:rsidR="00290222" w:rsidRPr="00290222" w:rsidRDefault="00290222" w:rsidP="00290222">
      <w:pPr>
        <w:numPr>
          <w:ilvl w:val="0"/>
          <w:numId w:val="5"/>
        </w:numPr>
        <w:rPr>
          <w:sz w:val="28"/>
          <w:szCs w:val="28"/>
        </w:rPr>
      </w:pPr>
      <w:r w:rsidRPr="00290222">
        <w:rPr>
          <w:b/>
          <w:bCs/>
          <w:sz w:val="28"/>
          <w:szCs w:val="28"/>
        </w:rPr>
        <w:t>Operational Optimization:</w:t>
      </w:r>
      <w:r w:rsidRPr="00290222">
        <w:rPr>
          <w:sz w:val="28"/>
          <w:szCs w:val="28"/>
        </w:rPr>
        <w:t xml:space="preserve"> Arrival heatmaps and workload metrics provide clear data to optimize shift scheduling and manage ICU escalation pressure. </w:t>
      </w:r>
    </w:p>
    <w:p w14:paraId="33E77294" w14:textId="77777777" w:rsidR="00290222" w:rsidRPr="00290222" w:rsidRDefault="00290222" w:rsidP="00290222">
      <w:pPr>
        <w:numPr>
          <w:ilvl w:val="0"/>
          <w:numId w:val="5"/>
        </w:numPr>
        <w:rPr>
          <w:sz w:val="28"/>
          <w:szCs w:val="28"/>
        </w:rPr>
      </w:pPr>
      <w:r w:rsidRPr="00290222">
        <w:rPr>
          <w:b/>
          <w:bCs/>
          <w:sz w:val="28"/>
          <w:szCs w:val="28"/>
        </w:rPr>
        <w:t>Clinical Safety Improvement:</w:t>
      </w:r>
      <w:r w:rsidRPr="00290222">
        <w:rPr>
          <w:sz w:val="28"/>
          <w:szCs w:val="28"/>
        </w:rPr>
        <w:t xml:space="preserve"> Stratifying patients by physiological acuity (NEWS2) and comorbidity indices (CCI) isolates high-risk cohorts, offering actionable insights to reduce 30-day readmissions and mortality rates. </w:t>
      </w:r>
    </w:p>
    <w:p w14:paraId="5123641E" w14:textId="77777777" w:rsidR="00290222" w:rsidRPr="00290222" w:rsidRDefault="00290222" w:rsidP="00290222">
      <w:pPr>
        <w:numPr>
          <w:ilvl w:val="0"/>
          <w:numId w:val="5"/>
        </w:numPr>
        <w:rPr>
          <w:sz w:val="28"/>
          <w:szCs w:val="28"/>
        </w:rPr>
      </w:pPr>
      <w:r w:rsidRPr="00290222">
        <w:rPr>
          <w:b/>
          <w:bCs/>
          <w:sz w:val="28"/>
          <w:szCs w:val="28"/>
        </w:rPr>
        <w:t>Financial &amp; Revenue Cycle Integrity:</w:t>
      </w:r>
      <w:r w:rsidRPr="00290222">
        <w:rPr>
          <w:sz w:val="28"/>
          <w:szCs w:val="28"/>
        </w:rPr>
        <w:t xml:space="preserve"> Dissecting departmental cost structures and analyzing claim adjudication uncovers </w:t>
      </w:r>
      <w:r w:rsidRPr="00290222">
        <w:rPr>
          <w:b/>
          <w:bCs/>
          <w:sz w:val="28"/>
          <w:szCs w:val="28"/>
        </w:rPr>
        <w:t>$39.16M in denied claim risk</w:t>
      </w:r>
      <w:r w:rsidRPr="00290222">
        <w:rPr>
          <w:sz w:val="28"/>
          <w:szCs w:val="28"/>
        </w:rPr>
        <w:t xml:space="preserve">. Isolating </w:t>
      </w:r>
      <w:r w:rsidRPr="00290222">
        <w:rPr>
          <w:b/>
          <w:bCs/>
          <w:sz w:val="28"/>
          <w:szCs w:val="28"/>
        </w:rPr>
        <w:t>"Prior Authorization Missing"</w:t>
      </w:r>
      <w:r w:rsidRPr="00290222">
        <w:rPr>
          <w:sz w:val="28"/>
          <w:szCs w:val="28"/>
        </w:rPr>
        <w:t xml:space="preserve"> as the primary denial driver proves that revenue leakage can be mitigated through administrative intake reform without affecting patient care quality. </w:t>
      </w:r>
    </w:p>
    <w:p w14:paraId="55C4B042" w14:textId="77777777" w:rsidR="00290222" w:rsidRPr="00290222" w:rsidRDefault="00290222" w:rsidP="00290222">
      <w:pPr>
        <w:rPr>
          <w:sz w:val="28"/>
          <w:szCs w:val="28"/>
        </w:rPr>
      </w:pPr>
      <w:r w:rsidRPr="00290222">
        <w:rPr>
          <w:sz w:val="28"/>
          <w:szCs w:val="28"/>
        </w:rPr>
        <w:t xml:space="preserve">Ultimately, this project highlights how modern data visualization and upfront feature engineering empower hospital administrators, clinicians, and finance leaders to make data-driven decisions that enhance patient outcomes while safeguarding financial sustainability. </w:t>
      </w:r>
    </w:p>
    <w:p w14:paraId="1B527CAB" w14:textId="1A8E1A2E" w:rsidR="008E5020" w:rsidRPr="0022526A" w:rsidRDefault="008E5020" w:rsidP="00290222">
      <w:pPr>
        <w:rPr>
          <w:sz w:val="28"/>
          <w:szCs w:val="28"/>
        </w:rPr>
      </w:pPr>
    </w:p>
    <w:sectPr w:rsidR="008E5020" w:rsidRPr="0022526A" w:rsidSect="00A73656">
      <w:pgSz w:w="12240" w:h="15840" w:code="1"/>
      <w:pgMar w:top="1440" w:right="1152" w:bottom="720" w:left="1152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C94C" w14:textId="77777777" w:rsidR="00621C24" w:rsidRDefault="00621C24" w:rsidP="00E14577">
      <w:pPr>
        <w:spacing w:before="0" w:line="240" w:lineRule="auto"/>
      </w:pPr>
      <w:r>
        <w:separator/>
      </w:r>
    </w:p>
  </w:endnote>
  <w:endnote w:type="continuationSeparator" w:id="0">
    <w:p w14:paraId="3757F5B1" w14:textId="77777777" w:rsidR="00621C24" w:rsidRDefault="00621C24" w:rsidP="00E145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5CFF" w14:textId="77777777" w:rsidR="00290222" w:rsidRDefault="002902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E7983" w14:textId="77777777" w:rsidR="008A6801" w:rsidRDefault="008A6801" w:rsidP="00D30526">
    <w:pPr>
      <w:pStyle w:val="Footer"/>
      <w:ind w:firstLine="360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5496A290" wp14:editId="31E762FA">
              <wp:simplePos x="0" y="0"/>
              <wp:positionH relativeFrom="column">
                <wp:posOffset>-731520</wp:posOffset>
              </wp:positionH>
              <wp:positionV relativeFrom="page">
                <wp:posOffset>9420225</wp:posOffset>
              </wp:positionV>
              <wp:extent cx="7772400" cy="640080"/>
              <wp:effectExtent l="0" t="0" r="0" b="7620"/>
              <wp:wrapNone/>
              <wp:docPr id="16605171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4008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7970BF" id="Rectangle 1" o:spid="_x0000_s1026" alt="&quot;&quot;" style="position:absolute;margin-left:-57.6pt;margin-top:741.75pt;width:612pt;height:50.4pt;z-index:-251655168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" fillcolor="#fde700 [3206]" stroked="f" strokeweight="1pt">
              <w10:wrap anchory="page"/>
              <w10:anchorlock/>
            </v:rect>
          </w:pict>
        </mc:Fallback>
      </mc:AlternateContent>
    </w:r>
  </w:p>
  <w:p w14:paraId="607852E8" w14:textId="77777777" w:rsidR="00E14577" w:rsidRPr="00E14577" w:rsidRDefault="003C44A7" w:rsidP="00D30526">
    <w:pPr>
      <w:pStyle w:val="Footer"/>
      <w:ind w:firstLine="360"/>
      <w:jc w:val="center"/>
      <w:rPr>
        <w:sz w:val="24"/>
      </w:rPr>
    </w:pPr>
    <w:r>
      <w:t>w</w:t>
    </w:r>
    <w:r w:rsidR="00E14577" w:rsidRPr="009C2F74">
      <w:t>ww.vanarsdelltd.co</w:t>
    </w:r>
    <w:r w:rsidR="00E14577">
      <w:t>m</w:t>
    </w:r>
  </w:p>
  <w:p w14:paraId="03117097" w14:textId="77777777" w:rsidR="00E14577" w:rsidRDefault="00E1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48700" w14:textId="77777777" w:rsidR="00290222" w:rsidRDefault="00290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A27AE" w14:textId="77777777" w:rsidR="00621C24" w:rsidRDefault="00621C24" w:rsidP="00E14577">
      <w:pPr>
        <w:spacing w:before="0" w:line="240" w:lineRule="auto"/>
      </w:pPr>
      <w:r>
        <w:separator/>
      </w:r>
    </w:p>
  </w:footnote>
  <w:footnote w:type="continuationSeparator" w:id="0">
    <w:p w14:paraId="41DB7535" w14:textId="77777777" w:rsidR="00621C24" w:rsidRDefault="00621C24" w:rsidP="00E145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6455145"/>
      <w:docPartObj>
        <w:docPartGallery w:val="Page Numbers (Top of Page)"/>
        <w:docPartUnique/>
      </w:docPartObj>
    </w:sdtPr>
    <w:sdtContent>
      <w:p w14:paraId="39376227" w14:textId="77777777" w:rsidR="00E14577" w:rsidRDefault="00E14577" w:rsidP="00A6235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BD41AB" w14:textId="77777777" w:rsidR="00E14577" w:rsidRDefault="00E14577" w:rsidP="00E145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1513015"/>
      <w:docPartObj>
        <w:docPartGallery w:val="Page Numbers (Top of Page)"/>
        <w:docPartUnique/>
      </w:docPartObj>
    </w:sdtPr>
    <w:sdtContent>
      <w:p w14:paraId="751B9F88" w14:textId="77777777" w:rsidR="00E14577" w:rsidRDefault="00E14577" w:rsidP="00E14577">
        <w:pPr>
          <w:pStyle w:val="Footer"/>
          <w:rPr>
            <w:rStyle w:val="PageNumber"/>
          </w:rPr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1" locked="1" layoutInCell="1" allowOverlap="1" wp14:anchorId="3918FA1F" wp14:editId="0E405201">
                  <wp:simplePos x="0" y="0"/>
                  <wp:positionH relativeFrom="column">
                    <wp:posOffset>-914400</wp:posOffset>
                  </wp:positionH>
                  <wp:positionV relativeFrom="paragraph">
                    <wp:posOffset>-265430</wp:posOffset>
                  </wp:positionV>
                  <wp:extent cx="1700784" cy="640080"/>
                  <wp:effectExtent l="0" t="0" r="0" b="7620"/>
                  <wp:wrapNone/>
                  <wp:docPr id="1130146015" name="Rectangl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00784" cy="64008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54F2394" id="Rectangle 1" o:spid="_x0000_s1026" alt="&quot;&quot;" style="position:absolute;margin-left:-1in;margin-top:-20.9pt;width:133.9pt;height:5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" fillcolor="#fde700 [3206]" stroked="f" strokeweight="1pt">
                  <w10:anchorlock/>
                </v:rect>
              </w:pict>
            </mc:Fallback>
          </mc:AlternateConten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C40BA8" w14:textId="77777777" w:rsidR="00E14577" w:rsidRDefault="00E14577" w:rsidP="00E14577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4948" w14:textId="77777777" w:rsidR="00290222" w:rsidRDefault="00290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BF0856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alt="Institute of Technology, Nirma University | NAAC A+ Grade" style="width:42pt;height:22pt;visibility:visible;mso-wrap-style:square" o:bullet="t">
        <v:imagedata r:id="rId1" o:title="Institute of Technology, Nirma University | NAAC A+ Grade"/>
      </v:shape>
    </w:pict>
  </w:numPicBullet>
  <w:abstractNum w:abstractNumId="0" w15:restartNumberingAfterBreak="0">
    <w:nsid w:val="FFFFFF89"/>
    <w:multiLevelType w:val="singleLevel"/>
    <w:tmpl w:val="15DE6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6FC59DC"/>
    <w:multiLevelType w:val="multilevel"/>
    <w:tmpl w:val="9B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B1E34"/>
    <w:multiLevelType w:val="hybridMultilevel"/>
    <w:tmpl w:val="B5F89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21A08"/>
    <w:multiLevelType w:val="hybridMultilevel"/>
    <w:tmpl w:val="D288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114C9"/>
    <w:multiLevelType w:val="multilevel"/>
    <w:tmpl w:val="254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5310">
    <w:abstractNumId w:val="1"/>
  </w:num>
  <w:num w:numId="2" w16cid:durableId="1276593716">
    <w:abstractNumId w:val="0"/>
  </w:num>
  <w:num w:numId="3" w16cid:durableId="859584994">
    <w:abstractNumId w:val="2"/>
  </w:num>
  <w:num w:numId="4" w16cid:durableId="1411803678">
    <w:abstractNumId w:val="3"/>
  </w:num>
  <w:num w:numId="5" w16cid:durableId="1498694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BA0"/>
    <w:rsid w:val="00113F44"/>
    <w:rsid w:val="00187C41"/>
    <w:rsid w:val="0022526A"/>
    <w:rsid w:val="0025158E"/>
    <w:rsid w:val="00290222"/>
    <w:rsid w:val="002A1D15"/>
    <w:rsid w:val="00380DD3"/>
    <w:rsid w:val="003C44A7"/>
    <w:rsid w:val="00421A37"/>
    <w:rsid w:val="004C6124"/>
    <w:rsid w:val="0052119A"/>
    <w:rsid w:val="00523A54"/>
    <w:rsid w:val="00542955"/>
    <w:rsid w:val="00621C24"/>
    <w:rsid w:val="006256E2"/>
    <w:rsid w:val="006843C8"/>
    <w:rsid w:val="006B1ECB"/>
    <w:rsid w:val="0077342D"/>
    <w:rsid w:val="00797982"/>
    <w:rsid w:val="007B7736"/>
    <w:rsid w:val="007F2A50"/>
    <w:rsid w:val="008628A3"/>
    <w:rsid w:val="008927C0"/>
    <w:rsid w:val="008A5444"/>
    <w:rsid w:val="008A6801"/>
    <w:rsid w:val="008D3879"/>
    <w:rsid w:val="008E5020"/>
    <w:rsid w:val="008F170B"/>
    <w:rsid w:val="00931508"/>
    <w:rsid w:val="00983B2E"/>
    <w:rsid w:val="009B07AD"/>
    <w:rsid w:val="009C36B2"/>
    <w:rsid w:val="009D6230"/>
    <w:rsid w:val="00A33B91"/>
    <w:rsid w:val="00A40BA0"/>
    <w:rsid w:val="00A73656"/>
    <w:rsid w:val="00AC4272"/>
    <w:rsid w:val="00B561B6"/>
    <w:rsid w:val="00B62D04"/>
    <w:rsid w:val="00BD267F"/>
    <w:rsid w:val="00CF1539"/>
    <w:rsid w:val="00D30526"/>
    <w:rsid w:val="00D41196"/>
    <w:rsid w:val="00D81EA7"/>
    <w:rsid w:val="00DB7B3F"/>
    <w:rsid w:val="00E14577"/>
    <w:rsid w:val="00E92930"/>
    <w:rsid w:val="00EA5E9E"/>
    <w:rsid w:val="00F944C0"/>
    <w:rsid w:val="00FB0D9C"/>
    <w:rsid w:val="00FF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342135B"/>
  <w15:chartTrackingRefBased/>
  <w15:docId w15:val="{311E1C75-18EC-47B9-A5B0-19487CF8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70B"/>
    <w:pPr>
      <w:spacing w:before="120" w:after="0" w:line="312" w:lineRule="auto"/>
    </w:pPr>
    <w:rPr>
      <w:rFonts w:eastAsiaTheme="minorEastAsia"/>
      <w:color w:val="000000" w:themeColor="text1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196"/>
    <w:pPr>
      <w:keepNext/>
      <w:keepLines/>
      <w:framePr w:hSpace="180" w:wrap="around" w:vAnchor="page" w:hAnchor="margin" w:y="5119"/>
      <w:spacing w:before="360" w:after="80"/>
      <w:outlineLvl w:val="0"/>
    </w:pPr>
    <w:rPr>
      <w:rFonts w:asciiTheme="majorHAnsi" w:eastAsiaTheme="majorEastAsia" w:hAnsiTheme="majorHAnsi" w:cs="Times New Roman (Headings CS)"/>
      <w:b/>
      <w:caps/>
      <w:color w:val="FFFFFF" w:themeColor="background1"/>
      <w:sz w:val="52"/>
      <w:szCs w:val="40"/>
    </w:rPr>
  </w:style>
  <w:style w:type="paragraph" w:styleId="Heading2">
    <w:name w:val="heading 2"/>
    <w:basedOn w:val="Bold"/>
    <w:next w:val="Normal"/>
    <w:link w:val="Heading2Char"/>
    <w:uiPriority w:val="9"/>
    <w:unhideWhenUsed/>
    <w:qFormat/>
    <w:rsid w:val="00D41196"/>
    <w:pPr>
      <w:outlineLvl w:val="1"/>
    </w:pPr>
    <w:rPr>
      <w:noProof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77"/>
    <w:pPr>
      <w:keepNext/>
      <w:keepLines/>
      <w:spacing w:before="160" w:after="80"/>
      <w:outlineLvl w:val="2"/>
    </w:pPr>
    <w:rPr>
      <w:rFonts w:eastAsiaTheme="majorEastAsia" w:cstheme="majorBidi"/>
      <w:color w:val="039A6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9A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7"/>
    <w:pPr>
      <w:keepNext/>
      <w:keepLines/>
      <w:spacing w:before="80" w:after="40"/>
      <w:outlineLvl w:val="4"/>
    </w:pPr>
    <w:rPr>
      <w:rFonts w:eastAsiaTheme="majorEastAsia" w:cstheme="majorBidi"/>
      <w:color w:val="039A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6"/>
    <w:rPr>
      <w:rFonts w:asciiTheme="majorHAnsi" w:eastAsiaTheme="majorEastAsia" w:hAnsiTheme="majorHAnsi" w:cs="Times New Roman (Headings CS)"/>
      <w:b/>
      <w:caps/>
      <w:color w:val="FFFFFF" w:themeColor="background1"/>
      <w:kern w:val="0"/>
      <w:sz w:val="5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1196"/>
    <w:rPr>
      <w:rFonts w:asciiTheme="majorHAnsi" w:eastAsiaTheme="minorEastAsia" w:hAnsiTheme="majorHAnsi"/>
      <w:b/>
      <w:bCs/>
      <w:noProof/>
      <w:color w:val="000000" w:themeColor="text1"/>
      <w:kern w:val="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77"/>
    <w:rPr>
      <w:rFonts w:eastAsiaTheme="majorEastAsia" w:cstheme="majorBidi"/>
      <w:color w:val="039A6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7"/>
    <w:rPr>
      <w:rFonts w:eastAsiaTheme="majorEastAsia" w:cstheme="majorBidi"/>
      <w:i/>
      <w:iCs/>
      <w:color w:val="039A6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7"/>
    <w:rPr>
      <w:rFonts w:eastAsiaTheme="majorEastAsia" w:cstheme="majorBidi"/>
      <w:color w:val="039A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41196"/>
    <w:pPr>
      <w:spacing w:before="0" w:line="216" w:lineRule="auto"/>
      <w:contextualSpacing/>
    </w:pPr>
    <w:rPr>
      <w:rFonts w:eastAsiaTheme="majorEastAsia" w:cs="Times New Roman (Headings CS)"/>
      <w:b/>
      <w:caps/>
      <w:color w:val="auto"/>
      <w:spacing w:val="-10"/>
      <w:kern w:val="28"/>
      <w:sz w:val="9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D41196"/>
    <w:rPr>
      <w:rFonts w:eastAsiaTheme="majorEastAsia" w:cs="Times New Roman (Headings CS)"/>
      <w:b/>
      <w:caps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7"/>
    <w:rPr>
      <w:i/>
      <w:iCs/>
      <w:color w:val="039A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7"/>
    <w:pPr>
      <w:pBdr>
        <w:top w:val="single" w:sz="4" w:space="10" w:color="039A6C" w:themeColor="accent1" w:themeShade="BF"/>
        <w:bottom w:val="single" w:sz="4" w:space="10" w:color="039A6C" w:themeColor="accent1" w:themeShade="BF"/>
      </w:pBdr>
      <w:spacing w:before="360" w:after="360"/>
      <w:ind w:left="864" w:right="864"/>
      <w:jc w:val="center"/>
    </w:pPr>
    <w:rPr>
      <w:i/>
      <w:iCs/>
      <w:color w:val="039A6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7"/>
    <w:rPr>
      <w:i/>
      <w:iCs/>
      <w:color w:val="039A6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7"/>
    <w:rPr>
      <w:b/>
      <w:bCs/>
      <w:smallCaps/>
      <w:color w:val="039A6C" w:themeColor="accent1" w:themeShade="BF"/>
      <w:spacing w:val="5"/>
    </w:rPr>
  </w:style>
  <w:style w:type="paragraph" w:customStyle="1" w:styleId="Info">
    <w:name w:val="Info"/>
    <w:basedOn w:val="Normal"/>
    <w:qFormat/>
    <w:rsid w:val="00CF1539"/>
    <w:pPr>
      <w:framePr w:hSpace="180" w:wrap="around" w:vAnchor="page" w:hAnchor="margin" w:y="5119"/>
      <w:spacing w:before="0"/>
    </w:pPr>
    <w:rPr>
      <w:szCs w:val="24"/>
    </w:rPr>
  </w:style>
  <w:style w:type="paragraph" w:customStyle="1" w:styleId="Bold">
    <w:name w:val="Bold"/>
    <w:basedOn w:val="Normal"/>
    <w:qFormat/>
    <w:rsid w:val="00D41196"/>
    <w:rPr>
      <w:rFonts w:asciiTheme="majorHAnsi" w:hAnsiTheme="majorHAnsi"/>
      <w:b/>
      <w:bCs/>
    </w:rPr>
  </w:style>
  <w:style w:type="table" w:styleId="TableGrid">
    <w:name w:val="Table Grid"/>
    <w:basedOn w:val="TableNormal"/>
    <w:uiPriority w:val="39"/>
    <w:rsid w:val="00E14577"/>
    <w:pPr>
      <w:spacing w:after="0" w:line="240" w:lineRule="auto"/>
    </w:pPr>
    <w:rPr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1457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457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577"/>
    <w:rPr>
      <w:rFonts w:eastAsiaTheme="minorEastAsia"/>
      <w:color w:val="000000" w:themeColor="text1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61B6"/>
    <w:pPr>
      <w:tabs>
        <w:tab w:val="center" w:pos="4680"/>
        <w:tab w:val="right" w:pos="9360"/>
      </w:tabs>
      <w:spacing w:before="0" w:line="240" w:lineRule="auto"/>
    </w:pPr>
    <w:rPr>
      <w:rFonts w:cs="Times New Roman (Body CS)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561B6"/>
    <w:rPr>
      <w:rFonts w:ascii="Microsoft Sans Serif" w:eastAsiaTheme="minorEastAsia" w:hAnsi="Microsoft Sans Serif" w:cs="Times New Roman (Body CS)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14577"/>
  </w:style>
  <w:style w:type="paragraph" w:styleId="ListBullet">
    <w:name w:val="List Bullet"/>
    <w:basedOn w:val="Normal"/>
    <w:uiPriority w:val="99"/>
    <w:rsid w:val="00D41196"/>
    <w:pPr>
      <w:numPr>
        <w:numId w:val="2"/>
      </w:numPr>
      <w:ind w:left="720"/>
    </w:pPr>
  </w:style>
  <w:style w:type="character" w:styleId="Emphasis">
    <w:name w:val="Emphasis"/>
    <w:basedOn w:val="DefaultParagraphFont"/>
    <w:uiPriority w:val="20"/>
    <w:qFormat/>
    <w:rsid w:val="00D41196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udec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Office Theme">
  <a:themeElements>
    <a:clrScheme name="Business report professional design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CF92"/>
      </a:accent1>
      <a:accent2>
        <a:srgbClr val="0054B9"/>
      </a:accent2>
      <a:accent3>
        <a:srgbClr val="FDE700"/>
      </a:accent3>
      <a:accent4>
        <a:srgbClr val="F160B7"/>
      </a:accent4>
      <a:accent5>
        <a:srgbClr val="714EEB"/>
      </a:accent5>
      <a:accent6>
        <a:srgbClr val="FF3A2E"/>
      </a:accent6>
      <a:hlink>
        <a:srgbClr val="467886"/>
      </a:hlink>
      <a:folHlink>
        <a:srgbClr val="96607D"/>
      </a:folHlink>
    </a:clrScheme>
    <a:fontScheme name="Custom 2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AA05782-1956-4ABD-9469-5855286A5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CA0720-E518-4C54-8EC1-2FF547E89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A94286-1488-4B05-BE05-620B873327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</Template>
  <TotalTime>41</TotalTime>
  <Pages>8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Joshi</dc:creator>
  <cp:keywords/>
  <dc:description/>
  <cp:lastModifiedBy>Deep Joshi</cp:lastModifiedBy>
  <cp:revision>1</cp:revision>
  <cp:lastPrinted>2025-05-01T20:47:00Z</cp:lastPrinted>
  <dcterms:created xsi:type="dcterms:W3CDTF">2026-10-12T15:13:00Z</dcterms:created>
  <dcterms:modified xsi:type="dcterms:W3CDTF">2026-10-12T15:54:00Z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