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02"/>
        <w:gridCol w:w="4602"/>
        <w:gridCol w:w="4602"/>
      </w:tblGrid>
      <w:tr>
        <w:tc>
          <w:tcPr>
            <w:tcW w:type="dxa" w:w="4602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2"/>
            <w:vAlign w:val="center"/>
          </w:tcPr>
          <w:p>
            <w:pPr>
              <w:jc w:val="center"/>
            </w:pPr>
            <w:r>
              <w:rPr>
                <w:rFonts w:ascii="Arial" w:hAnsi="Arial" w:eastAsia="宋体"/>
                <w:sz w:val="40"/>
              </w:rPr>
              <w:t>鹿茸饮片检测报告</w:t>
            </w:r>
          </w:p>
        </w:tc>
        <w:tc>
          <w:tcPr>
            <w:tcW w:type="dxa" w:w="4602"/>
            <w:vAlign w:val="center"/>
          </w:tcPr>
          <w:p>
            <w:pPr>
              <w:jc w:val="center"/>
            </w:pPr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4"/>
        <w:gridCol w:w="1534"/>
        <w:gridCol w:w="1534"/>
        <w:gridCol w:w="1534"/>
        <w:gridCol w:w="1534"/>
        <w:gridCol w:w="1534"/>
        <w:gridCol w:w="1534"/>
        <w:gridCol w:w="1534"/>
        <w:gridCol w:w="1534"/>
      </w:tblGrid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产品名称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鹿茸饮片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图像</w:t>
            </w:r>
          </w:p>
        </w:tc>
        <w:tc>
          <w:tcPr>
            <w:tcW w:type="dxa" w:w="3068"/>
            <w:gridSpan w:val="2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21-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编号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null</w:t>
            </w:r>
          </w:p>
        </w:tc>
        <w:tc>
          <w:tcPr>
            <w:tcW w:type="dxa" w:w="6136"/>
            <w:gridSpan w:val="4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373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37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检测人员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赵登才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委托单位/人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委托单位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检测日期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2025-08-21 10:50:34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 w:val="restart"/>
            <w:vAlign w:val="center"/>
          </w:tcPr>
          <w:p>
            <w:pPr>
              <w:jc w:val="center"/>
            </w:pPr>
            <w:r/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总氨基酸含量参考: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蜡片&gt;=55%;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粉片&gt;=46%;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总氮含量参考: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蜡片&gt;=10.8%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粉片&gt;=7.8%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预测结果仅作参考</w:t>
            </w:r>
          </w:p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来源：中华人民共和国农业行业标准(NY/T 1162-2006);中国中药协会团体标准</w:t>
            </w:r>
          </w:p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检测地点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能源学院T1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使用仪器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鹿茸饮片智能分等仪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红外光谱</w:t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检测耗时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7秒</w:t>
            </w:r>
          </w:p>
        </w:tc>
        <w:tc>
          <w:tcPr>
            <w:tcW w:type="dxa" w:w="6136"/>
            <w:gridSpan w:val="4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5544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分等结果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粉片</w:t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总氨基酸含量范围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  <w:t>总氮含量范围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b/>
                <w:color w:val="0000FF"/>
                <w:sz w:val="24"/>
              </w:rPr>
            </w:r>
          </w:p>
        </w:tc>
        <w:tc>
          <w:tcPr>
            <w:tcW w:type="dxa" w:w="6136"/>
            <w:gridSpan w:val="4"/>
            <w:vMerge/>
            <w:vAlign w:val="center"/>
          </w:tcPr>
          <w:p/>
        </w:tc>
        <w:tc>
          <w:tcPr>
            <w:tcW w:type="dxa" w:w="3068"/>
            <w:gridSpan w:val="2"/>
            <w:vMerge/>
            <w:vAlign w:val="center"/>
          </w:tcPr>
          <w:p/>
        </w:tc>
      </w:tr>
      <w:tr>
        <w:trPr>
          <w:trHeight w:hRule="exact" w:val="624"/>
        </w:trPr>
        <w:tc>
          <w:tcPr>
            <w:tcW w:type="dxa" w:w="153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批准人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宋体"/>
                <w:sz w:val="24"/>
              </w:rPr>
              <w:t>主管1</w:t>
            </w:r>
          </w:p>
        </w:tc>
        <w:tc>
          <w:tcPr>
            <w:tcW w:type="dxa" w:w="6136"/>
            <w:gridSpan w:val="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审核人</w:t>
            </w:r>
          </w:p>
        </w:tc>
        <w:tc>
          <w:tcPr>
            <w:tcW w:type="dxa" w:w="3068"/>
            <w:gridSpan w:val="2"/>
            <w:vAlign w:val="center"/>
          </w:tcPr>
          <w:p>
            <w:pPr>
              <w:jc w:val="center"/>
            </w:pPr>
            <w:r>
              <w:t>主管2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7405" w:h="1235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声明：本报告仅限委托方内部以科学研究、质量控制、产品研发等为目的而使用，不用于纠纷解决、仲裁、诉讼等法律用途和其他社会证明用途。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中科院大连化学物理研究所&amp;东阿阿胶股份有限公司</w:t>
      <w:br/>
      <w:t>鹿产业创新研究院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