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5638" w:hRule="exact"/>
        </w:trPr>
        <w:tc>
          <w:tcPr>
            <w:tcW w:type="pct" w:w="100%"/>
            <w:tcBorders>
              <w:top w:val="none"/>
              <w:left w:val="none"/>
              <w:bottom w:val="none"/>
              <w:right w:val="none"/>
            </w:tcBorders>
            <w:shd w:fill="162235" w:val="clear"/>
            <w:tcMar>
              <w:top w:type="dxa" w:w="400"/>
              <w:left w:type="dxa" w:w="600"/>
              <w:bottom w:type="dxa" w:w="400"/>
              <w:right w:type="dxa" w:w="600"/>
            </w:tcMar>
            <w:vAlign w:val="center"/>
          </w:tcPr>
          <w:p>
            <w:pPr>
              <w:spacing w:line="200"/>
            </w:pPr>
          </w:p>
          <w:p>
            <w:pPr>
              <w:spacing w:line="200"/>
            </w:pPr>
          </w:p>
          <w:p>
            <w:pPr>
              <w:spacing w:line="200"/>
            </w:pPr>
          </w:p>
          <w:p>
            <w:pPr>
              <w:spacing w:line="200"/>
            </w:pPr>
          </w:p>
          <w:p>
            <w:pPr>
              <w:spacing w:line="200"/>
            </w:pPr>
          </w:p>
          <w:p>
            <w:pPr>
              <w:spacing w:line="200"/>
            </w:pPr>
          </w:p>
          <w:p>
            <w:pPr>
              <w:spacing w:line="200"/>
            </w:pPr>
          </w:p>
          <w:p>
            <w:pPr>
              <w:spacing w:line="200"/>
            </w:pPr>
          </w:p>
          <w:p>
            <w:pPr>
              <w:spacing w:after="200"/>
            </w:pPr>
            <w:r>
              <w:rPr>
                <w:rFonts w:ascii="Calibri"/>
                <w:color w:val="37DCF2"/>
                <w:sz w:val="20"/>
                <w:szCs w:val="20"/>
              </w:rPr>
              <w:t xml:space="preserve">________________________________________</w:t>
            </w:r>
          </w:p>
          <w:p>
            <w:pPr>
              <w:spacing w:after="120"/>
            </w:pPr>
            <w:r>
              <w:rPr>
                <w:rFonts w:ascii="Calibri" w:eastAsia="SimHei"/>
                <w:b/>
                <w:bCs/>
                <w:color w:val="FFFFFF"/>
                <w:sz w:val="56"/>
                <w:szCs w:val="56"/>
              </w:rPr>
              <w:t xml:space="preserve">Security Hardening</w:t>
            </w:r>
          </w:p>
          <w:p>
            <w:pPr>
              <w:spacing w:after="120"/>
            </w:pPr>
            <w:r>
              <w:rPr>
                <w:rFonts w:ascii="Calibri" w:eastAsia="SimHei"/>
                <w:b/>
                <w:bCs/>
                <w:color w:val="FFFFFF"/>
                <w:sz w:val="56"/>
                <w:szCs w:val="56"/>
              </w:rPr>
              <w:t xml:space="preserve">Summary Report</w:t>
            </w:r>
          </w:p>
          <w:p>
            <w:pPr>
              <w:spacing w:after="300" w:before="200"/>
            </w:pPr>
            <w:r>
              <w:rPr>
                <w:rFonts w:ascii="Calibri"/>
                <w:color w:val="37DCF2"/>
                <w:sz w:val="20"/>
                <w:szCs w:val="20"/>
              </w:rPr>
              <w:t xml:space="preserve">________________________________________</w:t>
            </w:r>
          </w:p>
          <w:p>
            <w:pPr>
              <w:spacing w:after="80"/>
            </w:pPr>
            <w:r>
              <w:rPr>
                <w:rFonts w:ascii="Calibri"/>
                <w:color w:val="B0B8C0"/>
                <w:sz w:val="26"/>
                <w:szCs w:val="26"/>
              </w:rPr>
              <w:t xml:space="preserve">DeepMindQ Platform  |  Phases 2, 3A, 3B, 4</w:t>
            </w:r>
          </w:p>
          <w:p>
            <w:pPr>
              <w:spacing w:after="80"/>
            </w:pPr>
            <w:r>
              <w:rPr>
                <w:rFonts w:ascii="Calibri"/>
                <w:color w:val="B0B8C0"/>
                <w:sz w:val="22"/>
                <w:szCs w:val="22"/>
              </w:rPr>
              <w:t xml:space="preserve">Authentication, Authorization, Audit, and Input Path Security</w:t>
            </w:r>
          </w:p>
          <w:p>
            <w:pPr>
              <w:spacing w:after="40"/>
            </w:pPr>
            <w:r>
              <w:rPr>
                <w:rFonts w:ascii="Calibri"/>
                <w:color w:val="90989F"/>
                <w:sz w:val="20"/>
                <w:szCs w:val="20"/>
              </w:rPr>
              <w:t xml:space="preserve">Baseline Tag: security-baseline-v1</w:t>
            </w:r>
          </w:p>
          <w:p>
            <w:pPr>
              <w:spacing w:after="40"/>
            </w:pPr>
            <w:r>
              <w:rPr>
                <w:rFonts w:ascii="Calibri"/>
                <w:color w:val="90989F"/>
                <w:sz w:val="20"/>
                <w:szCs w:val="20"/>
              </w:rPr>
              <w:t xml:space="preserve">Final Security Score: 8.3 / 10</w:t>
            </w:r>
          </w:p>
          <w:p>
            <w:r>
              <w:rPr>
                <w:rFonts w:ascii="Calibri"/>
                <w:color w:val="90989F"/>
                <w:sz w:val="20"/>
                <w:szCs w:val="20"/>
              </w:rPr>
              <w:t xml:space="preserve">Date: August 2026</w:t>
            </w:r>
          </w:p>
        </w:tc>
      </w:tr>
    </w:tbl>
    <w:p>
      <w:pPr>
        <w:sectPr>
          <w:pgSz w:w="11906" w:h="16838" w:orient="portrait"/>
          <w:pgMar w:top="1440" w:right="1417" w:bottom="1440" w:left="1701" w:header="708" w:footer="708" w:gutter="0"/>
          <w:pgNumType/>
          <w:docGrid w:linePitch="360"/>
        </w:sectPr>
      </w:pPr>
    </w:p>
    <w:p>
      <w:pPr>
        <w:spacing w:after="200" w:before="200" w:line="312"/>
      </w:pPr>
      <w:r>
        <w:rPr>
          <w:rFonts w:ascii="Calibri" w:eastAsia="SimHei"/>
          <w:b/>
          <w:bCs/>
          <w:color w:val="0F2027"/>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Phase Timeline and Scope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Vulnerabilities Identified and Resolved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Authentication and Authorization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Audit and Accountability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Webhook and Input Security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Code Hygiene and Dead Code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Security Score Evolution</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Test Coverage Improvement</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Deferred Risks and Rationale</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7. Security Baseline and Forward Recommendations</w:t>
            </w:r>
            <w:r>
              <w:tab/>
            </w:r>
            <w:r>
              <w:fldChar w:fldCharType="begin"/>
            </w:r>
            <w:r>
              <w:instrText xml:space="preserve"> PAGEREF _Toc100010 \h </w:instrText>
            </w:r>
            <w:r>
              <w:fldChar w:fldCharType="separate"/>
            </w:r>
            <w:r>
              <w:t>5</w:t>
            </w:r>
            <w:r>
              <w:fldChar w:fldCharType="end"/>
            </w:r>
          </w:hyperlink>
        </w:p>
        <w:p>
          <w:r>
            <w:fldChar w:fldCharType="end"/>
          </w:r>
        </w:p>
      </w:sdtContent>
    </w:sdt>
    <w:p>
      <w:pPr>
        <w:spacing w:after="60" w:before="120" w:line="312"/>
      </w:pPr>
      <w:r>
        <w:rPr>
          <w:rFonts w:ascii="Calibri"/>
          <w:i/>
          <w:iCs/>
          <w:color w:val="506070"/>
          <w:sz w:val="18"/>
          <w:szCs w:val="18"/>
        </w:rPr>
        <w:t xml:space="preserve">(Right-click the TOC and select 'Update Field' to refresh page numbers after opening.)</w:t>
      </w:r>
    </w:p>
    <w:p>
      <w:pPr>
        <w:spacing w:after="60" w:before="60"/>
      </w:pPr>
      <w:r>
        <w:rPr>
          <w:sz w:val="2"/>
          <w:szCs w:val="2"/>
        </w:rPr>
        <w:t xml:space="preserve"/>
      </w:r>
      <w:r>
        <w:br w:type="page"/>
      </w:r>
    </w:p>
    <w:p>
      <w:pPr>
        <w:pStyle w:val="Heading1"/>
        <w:keepNext/>
        <w:spacing w:after="120" w:before="360" w:line="312"/>
      </w:pPr>
      <w:bookmarkStart w:id="100000" w:name="_Toc100000"/>
      <w:r>
        <w:rPr>
          <w:rFonts w:ascii="Calibri" w:eastAsia="SimHei"/>
          <w:b/>
          <w:bCs/>
          <w:color w:val="0F2027"/>
          <w:sz w:val="32"/>
          <w:szCs w:val="32"/>
        </w:rPr>
        <w:t xml:space="preserve">1. Executive Summary</w:t>
      </w:r>
      <w:bookmarkEnd w:id="100000"/>
    </w:p>
    <w:p>
      <w:pPr>
        <w:spacing w:after="120" w:line="312"/>
        <w:jc w:val="left"/>
      </w:pPr>
      <w:r>
        <w:rPr>
          <w:rFonts w:ascii="Calibri" w:eastAsia="Microsoft YaHei"/>
          <w:color w:val="000000"/>
          <w:sz w:val="24"/>
          <w:szCs w:val="24"/>
        </w:rPr>
        <w:t xml:space="preserve">This report documents the complete security hardening program for the DeepMindQ platform, a single-tenant, single-user CRM and intelligence system. The program was executed across four phases spanning authentication hardening, audit accountability, security hygiene cleanup, and critical input path protection. The system is secured around a single authorized user (shanker001@gmail.com) with OTP-based authentication and role-based access control.</w:t>
      </w:r>
    </w:p>
    <w:p>
      <w:pPr>
        <w:spacing w:after="120" w:line="312"/>
        <w:jc w:val="left"/>
      </w:pPr>
      <w:r>
        <w:rPr>
          <w:rFonts w:ascii="Calibri" w:eastAsia="Microsoft YaHei"/>
          <w:color w:val="000000"/>
          <w:sz w:val="24"/>
          <w:szCs w:val="24"/>
        </w:rPr>
        <w:t xml:space="preserve">The security hardening program raised the platform's adversarial security score from 9.5/10 (over-inflated due to unchecked assumptions) to a more honest and defensible 8.3/10. The initial high score reflected missing adversarial scrutiny; the progressive phases methodically identified and addressed real vulnerabilities in authentication flows, audit logging, webhook security, and development tooling. The final score of 8.3/10 represents a system where all high-severity, low-effort fixes are resolved, and the remaining risks are either architectural trade-offs inherent to the single-tenant model or dependency-level issues requiring separate scoping.</w:t>
      </w:r>
    </w:p>
    <w:p>
      <w:pPr>
        <w:spacing w:after="120" w:line="312"/>
        <w:jc w:val="left"/>
      </w:pPr>
      <w:r>
        <w:rPr>
          <w:rFonts w:ascii="Calibri" w:eastAsia="Microsoft YaHei"/>
          <w:color w:val="000000"/>
          <w:sz w:val="24"/>
          <w:szCs w:val="24"/>
        </w:rPr>
        <w:t xml:space="preserve">Across all phases, 221 API route files were audited, 198 were confirmed to use proper authentication middleware, and security regression tests were added at each stage. The final test suite comprises 56 test files with 1,868 passing tests and 14 skipped tests, with zero failures and zero TypeScript compilation errors.</w:t>
      </w:r>
    </w:p>
    <w:p>
      <w:pPr>
        <w:pStyle w:val="Heading1"/>
        <w:keepNext/>
        <w:spacing w:after="120" w:before="360" w:line="312"/>
      </w:pPr>
      <w:bookmarkStart w:id="100001" w:name="_Toc100001"/>
      <w:r>
        <w:rPr>
          <w:rFonts w:ascii="Calibri" w:eastAsia="SimHei"/>
          <w:b/>
          <w:bCs/>
          <w:color w:val="0F2027"/>
          <w:sz w:val="32"/>
          <w:szCs w:val="32"/>
        </w:rPr>
        <w:t xml:space="preserve">2. Phase Timeline and Scope</w:t>
      </w:r>
      <w:bookmarkEnd w:id="100001"/>
    </w:p>
    <w:p>
      <w:pPr>
        <w:spacing w:after="120" w:line="312"/>
        <w:jc w:val="left"/>
      </w:pPr>
      <w:r>
        <w:rPr>
          <w:rFonts w:ascii="Calibri" w:eastAsia="Microsoft YaHei"/>
          <w:color w:val="000000"/>
          <w:sz w:val="24"/>
          <w:szCs w:val="24"/>
        </w:rPr>
        <w:t xml:space="preserve">The security hardening was organized into four sequential phases, each building on the previous phase's foundation. The phases were designed to address vulnerabilities in order of exploitability and impact, starting with the most critical authentication gaps and progressing to less severe but still important hygiene issues.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0%"/>
            <w:shd w:fill="1B6B7A" w:val="clear"/>
            <w:tcMar>
              <w:top w:type="dxa" w:w="60"/>
              <w:left w:type="dxa" w:w="120"/>
              <w:bottom w:type="dxa" w:w="60"/>
              <w:right w:type="dxa" w:w="120"/>
            </w:tcMar>
          </w:tcPr>
          <w:p>
            <w:pPr>
              <w:jc w:val="center"/>
            </w:pPr>
            <w:r>
              <w:rPr>
                <w:rFonts w:ascii="Calibri"/>
                <w:b/>
                <w:bCs/>
                <w:color w:val="FFFFFF"/>
                <w:sz w:val="21"/>
                <w:szCs w:val="21"/>
              </w:rPr>
              <w:t xml:space="preserve">Phase</w:t>
            </w:r>
          </w:p>
        </w:tc>
        <w:tc>
          <w:tcPr>
            <w:tcW w:type="pct" w:w="25%"/>
            <w:shd w:fill="1B6B7A" w:val="clear"/>
            <w:tcMar>
              <w:top w:type="dxa" w:w="60"/>
              <w:left w:type="dxa" w:w="120"/>
              <w:bottom w:type="dxa" w:w="60"/>
              <w:right w:type="dxa" w:w="120"/>
            </w:tcMar>
          </w:tcPr>
          <w:p>
            <w:pPr>
              <w:jc w:val="center"/>
            </w:pPr>
            <w:r>
              <w:rPr>
                <w:rFonts w:ascii="Calibri"/>
                <w:b/>
                <w:bCs/>
                <w:color w:val="FFFFFF"/>
                <w:sz w:val="21"/>
                <w:szCs w:val="21"/>
              </w:rPr>
              <w:t xml:space="preserve">Name</w:t>
            </w:r>
          </w:p>
        </w:tc>
        <w:tc>
          <w:tcPr>
            <w:tcW w:type="pct" w:w="30%"/>
            <w:shd w:fill="1B6B7A" w:val="clear"/>
            <w:tcMar>
              <w:top w:type="dxa" w:w="60"/>
              <w:left w:type="dxa" w:w="120"/>
              <w:bottom w:type="dxa" w:w="60"/>
              <w:right w:type="dxa" w:w="120"/>
            </w:tcMar>
          </w:tcPr>
          <w:p>
            <w:pPr>
              <w:jc w:val="center"/>
            </w:pPr>
            <w:r>
              <w:rPr>
                <w:rFonts w:ascii="Calibri"/>
                <w:b/>
                <w:bCs/>
                <w:color w:val="FFFFFF"/>
                <w:sz w:val="21"/>
                <w:szCs w:val="21"/>
              </w:rPr>
              <w:t xml:space="preserve">Key Focus Areas</w:t>
            </w:r>
          </w:p>
        </w:tc>
        <w:tc>
          <w:tcPr>
            <w:tcW w:type="pct" w:w="15%"/>
            <w:shd w:fill="1B6B7A" w:val="clear"/>
            <w:tcMar>
              <w:top w:type="dxa" w:w="60"/>
              <w:left w:type="dxa" w:w="120"/>
              <w:bottom w:type="dxa" w:w="60"/>
              <w:right w:type="dxa" w:w="120"/>
            </w:tcMar>
          </w:tcPr>
          <w:p>
            <w:pPr>
              <w:jc w:val="center"/>
            </w:pPr>
            <w:r>
              <w:rPr>
                <w:rFonts w:ascii="Calibri"/>
                <w:b/>
                <w:bCs/>
                <w:color w:val="FFFFFF"/>
                <w:sz w:val="21"/>
                <w:szCs w:val="21"/>
              </w:rPr>
              <w:t xml:space="preserve">Tests Added</w:t>
            </w:r>
          </w:p>
        </w:tc>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Score Impact</w:t>
            </w:r>
          </w:p>
        </w:tc>
      </w:tr>
      <w:tr>
        <w:trPr>
          <w:cantSplit/>
        </w:trPr>
        <w:tc>
          <w:tcPr>
            <w:tcW w:type="pct" w:w="10%"/>
            <w:tcMar>
              <w:top w:type="dxa" w:w="60"/>
              <w:left w:type="dxa" w:w="120"/>
              <w:bottom w:type="dxa" w:w="60"/>
              <w:right w:type="dxa" w:w="120"/>
            </w:tcMar>
          </w:tcPr>
          <w:p>
            <w:pPr>
              <w:spacing w:line="280"/>
            </w:pPr>
            <w:r>
              <w:rPr>
                <w:rFonts w:ascii="Calibri"/>
                <w:color w:val="000000"/>
                <w:sz w:val="21"/>
                <w:szCs w:val="21"/>
              </w:rPr>
              <w:t xml:space="preserve">Phase 2</w:t>
            </w:r>
          </w:p>
        </w:tc>
        <w:tc>
          <w:tcPr>
            <w:tcW w:type="pct" w:w="25%"/>
            <w:tcMar>
              <w:top w:type="dxa" w:w="60"/>
              <w:left w:type="dxa" w:w="120"/>
              <w:bottom w:type="dxa" w:w="60"/>
              <w:right w:type="dxa" w:w="120"/>
            </w:tcMar>
          </w:tcPr>
          <w:p>
            <w:pPr>
              <w:spacing w:line="280"/>
            </w:pPr>
            <w:r>
              <w:rPr>
                <w:rFonts w:ascii="Calibri"/>
                <w:color w:val="000000"/>
                <w:sz w:val="21"/>
                <w:szCs w:val="21"/>
              </w:rPr>
              <w:t xml:space="preserve">Auth + Authorization Hardening</w:t>
            </w:r>
          </w:p>
        </w:tc>
        <w:tc>
          <w:tcPr>
            <w:tcW w:type="pct" w:w="30%"/>
            <w:tcMar>
              <w:top w:type="dxa" w:w="60"/>
              <w:left w:type="dxa" w:w="120"/>
              <w:bottom w:type="dxa" w:w="60"/>
              <w:right w:type="dxa" w:w="120"/>
            </w:tcMar>
          </w:tcPr>
          <w:p>
            <w:pPr>
              <w:spacing w:line="280"/>
            </w:pPr>
            <w:r>
              <w:rPr>
                <w:rFonts w:ascii="Calibri"/>
                <w:color w:val="000000"/>
                <w:sz w:val="21"/>
                <w:szCs w:val="21"/>
              </w:rPr>
              <w:t xml:space="preserve">checkApiAuth/requireAdminRole middleware across 81 intelligence and admin routes</w:t>
            </w:r>
          </w:p>
        </w:tc>
        <w:tc>
          <w:tcPr>
            <w:tcW w:type="pct" w:w="15%"/>
            <w:tcMar>
              <w:top w:type="dxa" w:w="60"/>
              <w:left w:type="dxa" w:w="120"/>
              <w:bottom w:type="dxa" w:w="60"/>
              <w:right w:type="dxa" w:w="120"/>
            </w:tcMar>
          </w:tcPr>
          <w:p>
            <w:pPr>
              <w:spacing w:line="280"/>
            </w:pPr>
            <w:r>
              <w:rPr>
                <w:rFonts w:ascii="Calibri"/>
                <w:color w:val="000000"/>
                <w:sz w:val="21"/>
                <w:szCs w:val="21"/>
              </w:rPr>
              <w:t xml:space="preserve">+10 tests</w:t>
            </w:r>
          </w:p>
        </w:tc>
        <w:tc>
          <w:tcPr>
            <w:tcW w:type="pct" w:w="20%"/>
            <w:tcMar>
              <w:top w:type="dxa" w:w="60"/>
              <w:left w:type="dxa" w:w="120"/>
              <w:bottom w:type="dxa" w:w="60"/>
              <w:right w:type="dxa" w:w="120"/>
            </w:tcMar>
          </w:tcPr>
          <w:p>
            <w:pPr>
              <w:spacing w:line="280"/>
            </w:pPr>
            <w:r>
              <w:rPr>
                <w:rFonts w:ascii="Calibri"/>
                <w:color w:val="000000"/>
                <w:sz w:val="21"/>
                <w:szCs w:val="21"/>
              </w:rPr>
              <w:t xml:space="preserve">7.5 (adversarial baseline)</w:t>
            </w:r>
          </w:p>
        </w:tc>
      </w:tr>
      <w:tr>
        <w:trPr>
          <w:cantSplit/>
        </w:trPr>
        <w:tc>
          <w:tcPr>
            <w:tcW w:type="pct" w:w="10%"/>
            <w:shd w:fill="EDF3F5" w:val="clear"/>
            <w:tcMar>
              <w:top w:type="dxa" w:w="60"/>
              <w:left w:type="dxa" w:w="120"/>
              <w:bottom w:type="dxa" w:w="60"/>
              <w:right w:type="dxa" w:w="120"/>
            </w:tcMar>
          </w:tcPr>
          <w:p>
            <w:pPr>
              <w:spacing w:line="280"/>
            </w:pPr>
            <w:r>
              <w:rPr>
                <w:rFonts w:ascii="Calibri"/>
                <w:color w:val="000000"/>
                <w:sz w:val="21"/>
                <w:szCs w:val="21"/>
              </w:rPr>
              <w:t xml:space="preserve">Phase 3A</w:t>
            </w:r>
          </w:p>
        </w:tc>
        <w:tc>
          <w:tcPr>
            <w:tcW w:type="pct" w:w="25%"/>
            <w:shd w:fill="EDF3F5" w:val="clear"/>
            <w:tcMar>
              <w:top w:type="dxa" w:w="60"/>
              <w:left w:type="dxa" w:w="120"/>
              <w:bottom w:type="dxa" w:w="60"/>
              <w:right w:type="dxa" w:w="120"/>
            </w:tcMar>
          </w:tcPr>
          <w:p>
            <w:pPr>
              <w:spacing w:line="280"/>
            </w:pPr>
            <w:r>
              <w:rPr>
                <w:rFonts w:ascii="Calibri"/>
                <w:color w:val="000000"/>
                <w:sz w:val="21"/>
                <w:szCs w:val="21"/>
              </w:rPr>
              <w:t xml:space="preserve">Audit Accountability + Abuse Controls</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logAction userId attribution, email rate limiting, export audit fixes, zero-logging elimination</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+10 tests</w:t>
            </w:r>
          </w:p>
        </w:tc>
        <w:tc>
          <w:tcPr>
            <w:tcW w:type="pct" w:w="20%"/>
            <w:shd w:fill="EDF3F5" w:val="clear"/>
            <w:tcMar>
              <w:top w:type="dxa" w:w="60"/>
              <w:left w:type="dxa" w:w="120"/>
              <w:bottom w:type="dxa" w:w="60"/>
              <w:right w:type="dxa" w:w="120"/>
            </w:tcMar>
          </w:tcPr>
          <w:p>
            <w:pPr>
              <w:spacing w:line="280"/>
            </w:pPr>
            <w:r>
              <w:rPr>
                <w:rFonts w:ascii="Calibri"/>
                <w:color w:val="000000"/>
                <w:sz w:val="21"/>
                <w:szCs w:val="21"/>
              </w:rPr>
              <w:t xml:space="preserve">7.8</w:t>
            </w:r>
          </w:p>
        </w:tc>
      </w:tr>
      <w:tr>
        <w:trPr>
          <w:cantSplit/>
        </w:trPr>
        <w:tc>
          <w:tcPr>
            <w:tcW w:type="pct" w:w="10%"/>
            <w:tcMar>
              <w:top w:type="dxa" w:w="60"/>
              <w:left w:type="dxa" w:w="120"/>
              <w:bottom w:type="dxa" w:w="60"/>
              <w:right w:type="dxa" w:w="120"/>
            </w:tcMar>
          </w:tcPr>
          <w:p>
            <w:pPr>
              <w:spacing w:line="280"/>
            </w:pPr>
            <w:r>
              <w:rPr>
                <w:rFonts w:ascii="Calibri"/>
                <w:color w:val="000000"/>
                <w:sz w:val="21"/>
                <w:szCs w:val="21"/>
              </w:rPr>
              <w:t xml:space="preserve">Phase 3B</w:t>
            </w:r>
          </w:p>
        </w:tc>
        <w:tc>
          <w:tcPr>
            <w:tcW w:type="pct" w:w="25%"/>
            <w:tcMar>
              <w:top w:type="dxa" w:w="60"/>
              <w:left w:type="dxa" w:w="120"/>
              <w:bottom w:type="dxa" w:w="60"/>
              <w:right w:type="dxa" w:w="120"/>
            </w:tcMar>
          </w:tcPr>
          <w:p>
            <w:pPr>
              <w:spacing w:line="280"/>
            </w:pPr>
            <w:r>
              <w:rPr>
                <w:rFonts w:ascii="Calibri"/>
                <w:color w:val="000000"/>
                <w:sz w:val="21"/>
                <w:szCs w:val="21"/>
              </w:rPr>
              <w:t xml:space="preserve">Security Hygiene Cleanup</w:t>
            </w:r>
          </w:p>
        </w:tc>
        <w:tc>
          <w:tcPr>
            <w:tcW w:type="pct" w:w="30%"/>
            <w:tcMar>
              <w:top w:type="dxa" w:w="60"/>
              <w:left w:type="dxa" w:w="120"/>
              <w:bottom w:type="dxa" w:w="60"/>
              <w:right w:type="dxa" w:w="120"/>
            </w:tcMar>
          </w:tcPr>
          <w:p>
            <w:pPr>
              <w:spacing w:line="280"/>
            </w:pPr>
            <w:r>
              <w:rPr>
                <w:rFonts w:ascii="Calibri"/>
                <w:color w:val="000000"/>
                <w:sz w:val="21"/>
                <w:szCs w:val="21"/>
              </w:rPr>
              <w:t xml:space="preserve">Dead code removal, RBAC cleanup, validator fixes, note/contact audit enrichment</w:t>
            </w:r>
          </w:p>
        </w:tc>
        <w:tc>
          <w:tcPr>
            <w:tcW w:type="pct" w:w="15%"/>
            <w:tcMar>
              <w:top w:type="dxa" w:w="60"/>
              <w:left w:type="dxa" w:w="120"/>
              <w:bottom w:type="dxa" w:w="60"/>
              <w:right w:type="dxa" w:w="120"/>
            </w:tcMar>
          </w:tcPr>
          <w:p>
            <w:pPr>
              <w:spacing w:line="280"/>
            </w:pPr>
            <w:r>
              <w:rPr>
                <w:rFonts w:ascii="Calibri"/>
                <w:color w:val="000000"/>
                <w:sz w:val="21"/>
                <w:szCs w:val="21"/>
              </w:rPr>
              <w:t xml:space="preserve">Tests in-phase</w:t>
            </w:r>
          </w:p>
        </w:tc>
        <w:tc>
          <w:tcPr>
            <w:tcW w:type="pct" w:w="20%"/>
            <w:tcMar>
              <w:top w:type="dxa" w:w="60"/>
              <w:left w:type="dxa" w:w="120"/>
              <w:bottom w:type="dxa" w:w="60"/>
              <w:right w:type="dxa" w:w="120"/>
            </w:tcMar>
          </w:tcPr>
          <w:p>
            <w:pPr>
              <w:spacing w:line="280"/>
            </w:pPr>
            <w:r>
              <w:rPr>
                <w:rFonts w:ascii="Calibri"/>
                <w:color w:val="000000"/>
                <w:sz w:val="21"/>
                <w:szCs w:val="21"/>
              </w:rPr>
              <w:t xml:space="preserve">7.5 (new findings lowered)</w:t>
            </w:r>
          </w:p>
        </w:tc>
      </w:tr>
      <w:tr>
        <w:trPr>
          <w:cantSplit/>
        </w:trPr>
        <w:tc>
          <w:tcPr>
            <w:tcW w:type="pct" w:w="10%"/>
            <w:shd w:fill="EDF3F5" w:val="clear"/>
            <w:tcMar>
              <w:top w:type="dxa" w:w="60"/>
              <w:left w:type="dxa" w:w="120"/>
              <w:bottom w:type="dxa" w:w="60"/>
              <w:right w:type="dxa" w:w="120"/>
            </w:tcMar>
          </w:tcPr>
          <w:p>
            <w:pPr>
              <w:spacing w:line="280"/>
            </w:pPr>
            <w:r>
              <w:rPr>
                <w:rFonts w:ascii="Calibri"/>
                <w:color w:val="000000"/>
                <w:sz w:val="21"/>
                <w:szCs w:val="21"/>
              </w:rPr>
              <w:t xml:space="preserve">Phase 4</w:t>
            </w:r>
          </w:p>
        </w:tc>
        <w:tc>
          <w:tcPr>
            <w:tcW w:type="pct" w:w="25%"/>
            <w:shd w:fill="EDF3F5" w:val="clear"/>
            <w:tcMar>
              <w:top w:type="dxa" w:w="60"/>
              <w:left w:type="dxa" w:w="120"/>
              <w:bottom w:type="dxa" w:w="60"/>
              <w:right w:type="dxa" w:w="120"/>
            </w:tcMar>
          </w:tcPr>
          <w:p>
            <w:pPr>
              <w:spacing w:line="280"/>
            </w:pPr>
            <w:r>
              <w:rPr>
                <w:rFonts w:ascii="Calibri"/>
                <w:color w:val="000000"/>
                <w:sz w:val="21"/>
                <w:szCs w:val="21"/>
              </w:rPr>
              <w:t xml:space="preserve">Critical Input Path Hardening</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Register guard, webhook fail-closed, timing-safe signatures, dev OTP flag, dead RBAC/rate-limit removal</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+26 tests</w:t>
            </w:r>
          </w:p>
        </w:tc>
        <w:tc>
          <w:tcPr>
            <w:tcW w:type="pct" w:w="20%"/>
            <w:shd w:fill="EDF3F5" w:val="clear"/>
            <w:tcMar>
              <w:top w:type="dxa" w:w="60"/>
              <w:left w:type="dxa" w:w="120"/>
              <w:bottom w:type="dxa" w:w="60"/>
              <w:right w:type="dxa" w:w="120"/>
            </w:tcMar>
          </w:tcPr>
          <w:p>
            <w:pPr>
              <w:spacing w:line="280"/>
            </w:pPr>
            <w:r>
              <w:rPr>
                <w:rFonts w:ascii="Calibri"/>
                <w:color w:val="000000"/>
                <w:sz w:val="21"/>
                <w:szCs w:val="21"/>
              </w:rPr>
              <w:t xml:space="preserve">8.3</w:t>
            </w:r>
          </w:p>
        </w:tc>
      </w:tr>
    </w:tbl>
    <w:p>
      <w:pPr>
        <w:spacing w:line="312"/>
      </w:pPr>
    </w:p>
    <w:p>
      <w:pPr>
        <w:pStyle w:val="Heading1"/>
        <w:keepNext/>
        <w:spacing w:after="120" w:before="360" w:line="312"/>
      </w:pPr>
      <w:bookmarkStart w:id="100002" w:name="_Toc100002"/>
      <w:r>
        <w:rPr>
          <w:rFonts w:ascii="Calibri" w:eastAsia="SimHei"/>
          <w:b/>
          <w:bCs/>
          <w:color w:val="0F2027"/>
          <w:sz w:val="32"/>
          <w:szCs w:val="32"/>
        </w:rPr>
        <w:t xml:space="preserve">3. Vulnerabilities Identified and Resolved</w:t>
      </w:r>
      <w:bookmarkEnd w:id="100002"/>
    </w:p>
    <w:p>
      <w:pPr>
        <w:spacing w:after="120" w:line="312"/>
        <w:jc w:val="left"/>
      </w:pPr>
      <w:r>
        <w:rPr>
          <w:rFonts w:ascii="Calibri" w:eastAsia="Microsoft YaHei"/>
          <w:color w:val="000000"/>
          <w:sz w:val="24"/>
          <w:szCs w:val="24"/>
        </w:rPr>
        <w:t xml:space="preserve">The adversarial audit methodology employed across these phases combined automated scanning with manual code review. Each finding was classified by severity using a weighted rubric that considered exploitability, attack surface exposure, and potential business impact. The table below summarizes the complete vulnerability inventory across all phases.</w:t>
      </w:r>
    </w:p>
    <w:p>
      <w:pPr>
        <w:pStyle w:val="Heading2"/>
        <w:keepNext/>
        <w:spacing w:after="120" w:before="240" w:line="312"/>
      </w:pPr>
      <w:bookmarkStart w:id="100003" w:name="_Toc100003"/>
      <w:r>
        <w:rPr>
          <w:rFonts w:ascii="Calibri" w:eastAsia="SimHei"/>
          <w:b/>
          <w:bCs/>
          <w:color w:val="0F2027"/>
          <w:sz w:val="28"/>
          <w:szCs w:val="28"/>
        </w:rPr>
        <w:t xml:space="preserve">3.1 Authentication and Authorization</w:t>
      </w:r>
      <w:bookmarkEnd w:id="100003"/>
    </w:p>
    <w:p>
      <w:pPr>
        <w:spacing w:after="120" w:line="312"/>
        <w:jc w:val="left"/>
      </w:pPr>
      <w:r>
        <w:rPr>
          <w:rFonts w:ascii="Calibri" w:eastAsia="Microsoft YaHei"/>
          <w:color w:val="000000"/>
          <w:sz w:val="24"/>
          <w:szCs w:val="24"/>
        </w:rPr>
        <w:t xml:space="preserve">The initial authentication audit revealed that 81 API routes handling sensitive intelligence data and administrative operations had no authentication middleware whatsoever. Any unauthenticated request to these endpoints would execute business logic without session validation. Additionally, the registration endpoint allowed arbitrary email addresses to create admin-level accounts, and the proxy layer only validated token existence rather than database-backed session validity. These issues were progressively addressed across Phase 2 and Phase 4.</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pPr>
              <w:jc w:val="center"/>
            </w:pPr>
            <w:r>
              <w:rPr>
                <w:rFonts w:ascii="Calibri"/>
                <w:b/>
                <w:bCs/>
                <w:color w:val="FFFFFF"/>
                <w:sz w:val="21"/>
                <w:szCs w:val="21"/>
              </w:rPr>
              <w:t xml:space="preserve">ID</w:t>
            </w:r>
          </w:p>
        </w:tc>
        <w:tc>
          <w:tcPr>
            <w:tcW w:type="pct" w:w="30%"/>
            <w:shd w:fill="1B6B7A" w:val="clear"/>
            <w:tcMar>
              <w:top w:type="dxa" w:w="60"/>
              <w:left w:type="dxa" w:w="120"/>
              <w:bottom w:type="dxa" w:w="60"/>
              <w:right w:type="dxa" w:w="120"/>
            </w:tcMar>
          </w:tcPr>
          <w:p>
            <w:pPr>
              <w:jc w:val="center"/>
            </w:pPr>
            <w:r>
              <w:rPr>
                <w:rFonts w:ascii="Calibri"/>
                <w:b/>
                <w:bCs/>
                <w:color w:val="FFFFFF"/>
                <w:sz w:val="21"/>
                <w:szCs w:val="21"/>
              </w:rPr>
              <w:t xml:space="preserve">Finding</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Severity</w:t>
            </w:r>
          </w:p>
        </w:tc>
        <w:tc>
          <w:tcPr>
            <w:tcW w:type="pct" w:w="15%"/>
            <w:shd w:fill="1B6B7A" w:val="clear"/>
            <w:tcMar>
              <w:top w:type="dxa" w:w="60"/>
              <w:left w:type="dxa" w:w="120"/>
              <w:bottom w:type="dxa" w:w="60"/>
              <w:right w:type="dxa" w:w="120"/>
            </w:tcMar>
          </w:tcPr>
          <w:p>
            <w:pPr>
              <w:jc w:val="center"/>
            </w:pPr>
            <w:r>
              <w:rPr>
                <w:rFonts w:ascii="Calibri"/>
                <w:b/>
                <w:bCs/>
                <w:color w:val="FFFFFF"/>
                <w:sz w:val="21"/>
                <w:szCs w:val="21"/>
              </w:rPr>
              <w:t xml:space="preserve">Phase Fixed</w:t>
            </w:r>
          </w:p>
        </w:tc>
        <w:tc>
          <w:tcPr>
            <w:tcW w:type="pct" w:w="35%"/>
            <w:shd w:fill="1B6B7A" w:val="clear"/>
            <w:tcMar>
              <w:top w:type="dxa" w:w="60"/>
              <w:left w:type="dxa" w:w="120"/>
              <w:bottom w:type="dxa" w:w="60"/>
              <w:right w:type="dxa" w:w="120"/>
            </w:tcMar>
          </w:tcPr>
          <w:p>
            <w:pPr>
              <w:jc w:val="center"/>
            </w:pPr>
            <w:r>
              <w:rPr>
                <w:rFonts w:ascii="Calibri"/>
                <w:b/>
                <w:bCs/>
                <w:color w:val="FFFFFF"/>
                <w:sz w:val="21"/>
                <w:szCs w:val="21"/>
              </w:rPr>
              <w:t xml:space="preserve">Resolution</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A1</w:t>
            </w:r>
          </w:p>
        </w:tc>
        <w:tc>
          <w:tcPr>
            <w:tcW w:type="pct" w:w="30%"/>
            <w:tcMar>
              <w:top w:type="dxa" w:w="60"/>
              <w:left w:type="dxa" w:w="120"/>
              <w:bottom w:type="dxa" w:w="60"/>
              <w:right w:type="dxa" w:w="120"/>
            </w:tcMar>
          </w:tcPr>
          <w:p>
            <w:pPr>
              <w:spacing w:line="280"/>
            </w:pPr>
            <w:r>
              <w:rPr>
                <w:rFonts w:ascii="Calibri"/>
                <w:color w:val="000000"/>
                <w:sz w:val="21"/>
                <w:szCs w:val="21"/>
              </w:rPr>
              <w:t xml:space="preserve">81 intelligence/AI routes had zero auth middleware</w:t>
            </w:r>
          </w:p>
        </w:tc>
        <w:tc>
          <w:tcPr>
            <w:tcW w:type="pct" w:w="12%"/>
            <w:tcMar>
              <w:top w:type="dxa" w:w="60"/>
              <w:left w:type="dxa" w:w="120"/>
              <w:bottom w:type="dxa" w:w="60"/>
              <w:right w:type="dxa" w:w="120"/>
            </w:tcMar>
          </w:tcPr>
          <w:p>
            <w:pPr>
              <w:spacing w:line="280"/>
            </w:pPr>
            <w:r>
              <w:rPr>
                <w:rFonts w:ascii="Calibri"/>
                <w:color w:val="000000"/>
                <w:sz w:val="21"/>
                <w:szCs w:val="21"/>
              </w:rPr>
              <w:t xml:space="preserve">CRITICAL</w:t>
            </w:r>
          </w:p>
        </w:tc>
        <w:tc>
          <w:tcPr>
            <w:tcW w:type="pct" w:w="15%"/>
            <w:tcMar>
              <w:top w:type="dxa" w:w="60"/>
              <w:left w:type="dxa" w:w="120"/>
              <w:bottom w:type="dxa" w:w="60"/>
              <w:right w:type="dxa" w:w="120"/>
            </w:tcMar>
          </w:tcPr>
          <w:p>
            <w:pPr>
              <w:spacing w:line="280"/>
            </w:pPr>
            <w:r>
              <w:rPr>
                <w:rFonts w:ascii="Calibri"/>
                <w:color w:val="000000"/>
                <w:sz w:val="21"/>
                <w:szCs w:val="21"/>
              </w:rPr>
              <w:t xml:space="preserve">Phase 2</w:t>
            </w:r>
          </w:p>
        </w:tc>
        <w:tc>
          <w:tcPr>
            <w:tcW w:type="pct" w:w="35%"/>
            <w:tcMar>
              <w:top w:type="dxa" w:w="60"/>
              <w:left w:type="dxa" w:w="120"/>
              <w:bottom w:type="dxa" w:w="60"/>
              <w:right w:type="dxa" w:w="120"/>
            </w:tcMar>
          </w:tcPr>
          <w:p>
            <w:pPr>
              <w:spacing w:line="280"/>
            </w:pPr>
            <w:r>
              <w:rPr>
                <w:rFonts w:ascii="Calibri"/>
                <w:color w:val="000000"/>
                <w:sz w:val="21"/>
                <w:szCs w:val="21"/>
              </w:rPr>
              <w:t xml:space="preserve">Added checkApiAuth + requireAdminRole to all routes</w:t>
            </w:r>
          </w:p>
        </w:tc>
      </w:tr>
      <w:tr>
        <w:trPr>
          <w:cantSplit/>
        </w:trPr>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A2</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Register endpoint allowed admin creation for any email</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HIGH</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Phase 4</w:t>
            </w:r>
          </w:p>
        </w:tc>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Added AUTHORIZED_EMAIL guard returning 403</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A3</w:t>
            </w:r>
          </w:p>
        </w:tc>
        <w:tc>
          <w:tcPr>
            <w:tcW w:type="pct" w:w="30%"/>
            <w:tcMar>
              <w:top w:type="dxa" w:w="60"/>
              <w:left w:type="dxa" w:w="120"/>
              <w:bottom w:type="dxa" w:w="60"/>
              <w:right w:type="dxa" w:w="120"/>
            </w:tcMar>
          </w:tcPr>
          <w:p>
            <w:pPr>
              <w:spacing w:line="280"/>
            </w:pPr>
            <w:r>
              <w:rPr>
                <w:rFonts w:ascii="Calibri"/>
                <w:color w:val="000000"/>
                <w:sz w:val="21"/>
                <w:szCs w:val="21"/>
              </w:rPr>
              <w:t xml:space="preserve">Proxy checks token existence, not DB validity</w:t>
            </w:r>
          </w:p>
        </w:tc>
        <w:tc>
          <w:tcPr>
            <w:tcW w:type="pct" w:w="12%"/>
            <w:tcMar>
              <w:top w:type="dxa" w:w="60"/>
              <w:left w:type="dxa" w:w="120"/>
              <w:bottom w:type="dxa" w:w="60"/>
              <w:right w:type="dxa" w:w="120"/>
            </w:tcMar>
          </w:tcPr>
          <w:p>
            <w:pPr>
              <w:spacing w:line="280"/>
            </w:pPr>
            <w:r>
              <w:rPr>
                <w:rFonts w:ascii="Calibri"/>
                <w:color w:val="000000"/>
                <w:sz w:val="21"/>
                <w:szCs w:val="21"/>
              </w:rPr>
              <w:t xml:space="preserve">MEDIUM</w:t>
            </w:r>
          </w:p>
        </w:tc>
        <w:tc>
          <w:tcPr>
            <w:tcW w:type="pct" w:w="15%"/>
            <w:tcMar>
              <w:top w:type="dxa" w:w="60"/>
              <w:left w:type="dxa" w:w="120"/>
              <w:bottom w:type="dxa" w:w="60"/>
              <w:right w:type="dxa" w:w="120"/>
            </w:tcMar>
          </w:tcPr>
          <w:p>
            <w:pPr>
              <w:spacing w:line="280"/>
            </w:pPr>
            <w:r>
              <w:rPr>
                <w:rFonts w:ascii="Calibri"/>
                <w:color w:val="000000"/>
                <w:sz w:val="21"/>
                <w:szCs w:val="21"/>
              </w:rPr>
              <w:t xml:space="preserve">Accepted</w:t>
            </w:r>
          </w:p>
        </w:tc>
        <w:tc>
          <w:tcPr>
            <w:tcW w:type="pct" w:w="35%"/>
            <w:tcMar>
              <w:top w:type="dxa" w:w="60"/>
              <w:left w:type="dxa" w:w="120"/>
              <w:bottom w:type="dxa" w:w="60"/>
              <w:right w:type="dxa" w:w="120"/>
            </w:tcMar>
          </w:tcPr>
          <w:p>
            <w:pPr>
              <w:spacing w:line="280"/>
            </w:pPr>
            <w:r>
              <w:rPr>
                <w:rFonts w:ascii="Calibri"/>
                <w:color w:val="000000"/>
                <w:sz w:val="21"/>
                <w:szCs w:val="21"/>
              </w:rPr>
              <w:t xml:space="preserve">Route-level auth compensates; architectural limitation</w:t>
            </w:r>
          </w:p>
        </w:tc>
      </w:tr>
    </w:tbl>
    <w:p>
      <w:pPr>
        <w:spacing w:line="312"/>
      </w:pPr>
    </w:p>
    <w:p>
      <w:pPr>
        <w:pStyle w:val="Heading2"/>
        <w:keepNext/>
        <w:spacing w:after="120" w:before="240" w:line="312"/>
      </w:pPr>
      <w:bookmarkStart w:id="100004" w:name="_Toc100004"/>
      <w:r>
        <w:rPr>
          <w:rFonts w:ascii="Calibri" w:eastAsia="SimHei"/>
          <w:b/>
          <w:bCs/>
          <w:color w:val="0F2027"/>
          <w:sz w:val="28"/>
          <w:szCs w:val="28"/>
        </w:rPr>
        <w:t xml:space="preserve">3.2 Audit and Accountability</w:t>
      </w:r>
      <w:bookmarkEnd w:id="100004"/>
    </w:p>
    <w:p>
      <w:pPr>
        <w:spacing w:after="120" w:line="312"/>
        <w:jc w:val="left"/>
      </w:pPr>
      <w:r>
        <w:rPr>
          <w:rFonts w:ascii="Calibri" w:eastAsia="Microsoft YaHei"/>
          <w:color w:val="000000"/>
          <w:sz w:val="24"/>
          <w:szCs w:val="24"/>
        </w:rPr>
        <w:t xml:space="preserve">The audit logging system was inconsistently implemented across the codebase. Several high-value operations, including email sending, lead assignment, and contact consent changes, lacked user attribution in their audit records. The export pipeline had zero logging, and the export center history query used an incorrect filter that returned no results. These gaps meant that security-sensitive operations could not be traced back to specific user actions.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pPr>
              <w:jc w:val="center"/>
            </w:pPr>
            <w:r>
              <w:rPr>
                <w:rFonts w:ascii="Calibri"/>
                <w:b/>
                <w:bCs/>
                <w:color w:val="FFFFFF"/>
                <w:sz w:val="21"/>
                <w:szCs w:val="21"/>
              </w:rPr>
              <w:t xml:space="preserve">ID</w:t>
            </w:r>
          </w:p>
        </w:tc>
        <w:tc>
          <w:tcPr>
            <w:tcW w:type="pct" w:w="30%"/>
            <w:shd w:fill="1B6B7A" w:val="clear"/>
            <w:tcMar>
              <w:top w:type="dxa" w:w="60"/>
              <w:left w:type="dxa" w:w="120"/>
              <w:bottom w:type="dxa" w:w="60"/>
              <w:right w:type="dxa" w:w="120"/>
            </w:tcMar>
          </w:tcPr>
          <w:p>
            <w:pPr>
              <w:jc w:val="center"/>
            </w:pPr>
            <w:r>
              <w:rPr>
                <w:rFonts w:ascii="Calibri"/>
                <w:b/>
                <w:bCs/>
                <w:color w:val="FFFFFF"/>
                <w:sz w:val="21"/>
                <w:szCs w:val="21"/>
              </w:rPr>
              <w:t xml:space="preserve">Finding</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Severity</w:t>
            </w:r>
          </w:p>
        </w:tc>
        <w:tc>
          <w:tcPr>
            <w:tcW w:type="pct" w:w="15%"/>
            <w:shd w:fill="1B6B7A" w:val="clear"/>
            <w:tcMar>
              <w:top w:type="dxa" w:w="60"/>
              <w:left w:type="dxa" w:w="120"/>
              <w:bottom w:type="dxa" w:w="60"/>
              <w:right w:type="dxa" w:w="120"/>
            </w:tcMar>
          </w:tcPr>
          <w:p>
            <w:pPr>
              <w:jc w:val="center"/>
            </w:pPr>
            <w:r>
              <w:rPr>
                <w:rFonts w:ascii="Calibri"/>
                <w:b/>
                <w:bCs/>
                <w:color w:val="FFFFFF"/>
                <w:sz w:val="21"/>
                <w:szCs w:val="21"/>
              </w:rPr>
              <w:t xml:space="preserve">Phase Fixed</w:t>
            </w:r>
          </w:p>
        </w:tc>
        <w:tc>
          <w:tcPr>
            <w:tcW w:type="pct" w:w="35%"/>
            <w:shd w:fill="1B6B7A" w:val="clear"/>
            <w:tcMar>
              <w:top w:type="dxa" w:w="60"/>
              <w:left w:type="dxa" w:w="120"/>
              <w:bottom w:type="dxa" w:w="60"/>
              <w:right w:type="dxa" w:w="120"/>
            </w:tcMar>
          </w:tcPr>
          <w:p>
            <w:pPr>
              <w:jc w:val="center"/>
            </w:pPr>
            <w:r>
              <w:rPr>
                <w:rFonts w:ascii="Calibri"/>
                <w:b/>
                <w:bCs/>
                <w:color w:val="FFFFFF"/>
                <w:sz w:val="21"/>
                <w:szCs w:val="21"/>
              </w:rPr>
              <w:t xml:space="preserve">Resolution</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B1</w:t>
            </w:r>
          </w:p>
        </w:tc>
        <w:tc>
          <w:tcPr>
            <w:tcW w:type="pct" w:w="30%"/>
            <w:tcMar>
              <w:top w:type="dxa" w:w="60"/>
              <w:left w:type="dxa" w:w="120"/>
              <w:bottom w:type="dxa" w:w="60"/>
              <w:right w:type="dxa" w:w="120"/>
            </w:tcMar>
          </w:tcPr>
          <w:p>
            <w:pPr>
              <w:spacing w:line="280"/>
            </w:pPr>
            <w:r>
              <w:rPr>
                <w:rFonts w:ascii="Calibri"/>
                <w:color w:val="000000"/>
                <w:sz w:val="21"/>
                <w:szCs w:val="21"/>
              </w:rPr>
              <w:t xml:space="preserve">Export route had zero audit logging</w:t>
            </w:r>
          </w:p>
        </w:tc>
        <w:tc>
          <w:tcPr>
            <w:tcW w:type="pct" w:w="12%"/>
            <w:tcMar>
              <w:top w:type="dxa" w:w="60"/>
              <w:left w:type="dxa" w:w="120"/>
              <w:bottom w:type="dxa" w:w="60"/>
              <w:right w:type="dxa" w:w="120"/>
            </w:tcMar>
          </w:tcPr>
          <w:p>
            <w:pPr>
              <w:spacing w:line="280"/>
            </w:pPr>
            <w:r>
              <w:rPr>
                <w:rFonts w:ascii="Calibri"/>
                <w:color w:val="000000"/>
                <w:sz w:val="21"/>
                <w:szCs w:val="21"/>
              </w:rPr>
              <w:t xml:space="preserve">HIGH</w:t>
            </w:r>
          </w:p>
        </w:tc>
        <w:tc>
          <w:tcPr>
            <w:tcW w:type="pct" w:w="15%"/>
            <w:tcMar>
              <w:top w:type="dxa" w:w="60"/>
              <w:left w:type="dxa" w:w="120"/>
              <w:bottom w:type="dxa" w:w="60"/>
              <w:right w:type="dxa" w:w="120"/>
            </w:tcMar>
          </w:tcPr>
          <w:p>
            <w:pPr>
              <w:spacing w:line="280"/>
            </w:pPr>
            <w:r>
              <w:rPr>
                <w:rFonts w:ascii="Calibri"/>
                <w:color w:val="000000"/>
                <w:sz w:val="21"/>
                <w:szCs w:val="21"/>
              </w:rPr>
              <w:t xml:space="preserve">Phase 3A</w:t>
            </w:r>
          </w:p>
        </w:tc>
        <w:tc>
          <w:tcPr>
            <w:tcW w:type="pct" w:w="35%"/>
            <w:tcMar>
              <w:top w:type="dxa" w:w="60"/>
              <w:left w:type="dxa" w:w="120"/>
              <w:bottom w:type="dxa" w:w="60"/>
              <w:right w:type="dxa" w:w="120"/>
            </w:tcMar>
          </w:tcPr>
          <w:p>
            <w:pPr>
              <w:spacing w:line="280"/>
            </w:pPr>
            <w:r>
              <w:rPr>
                <w:rFonts w:ascii="Calibri"/>
                <w:color w:val="000000"/>
                <w:sz w:val="21"/>
                <w:szCs w:val="21"/>
              </w:rPr>
              <w:t xml:space="preserve">Added fire-and-forget logAction call</w:t>
            </w:r>
          </w:p>
        </w:tc>
      </w:tr>
      <w:tr>
        <w:trPr>
          <w:cantSplit/>
        </w:trPr>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B2</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Export center history filter returned no results</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HIGH</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Phase 3A</w:t>
            </w:r>
          </w:p>
        </w:tc>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Fixed filter from {action, entity} to {action} only</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B3</w:t>
            </w:r>
          </w:p>
        </w:tc>
        <w:tc>
          <w:tcPr>
            <w:tcW w:type="pct" w:w="30%"/>
            <w:tcMar>
              <w:top w:type="dxa" w:w="60"/>
              <w:left w:type="dxa" w:w="120"/>
              <w:bottom w:type="dxa" w:w="60"/>
              <w:right w:type="dxa" w:w="120"/>
            </w:tcMar>
          </w:tcPr>
          <w:p>
            <w:pPr>
              <w:spacing w:line="280"/>
            </w:pPr>
            <w:r>
              <w:rPr>
                <w:rFonts w:ascii="Calibri"/>
                <w:color w:val="000000"/>
                <w:sz w:val="21"/>
                <w:szCs w:val="21"/>
              </w:rPr>
              <w:t xml:space="preserve">Email send, lead assign, consent had no userId</w:t>
            </w:r>
          </w:p>
        </w:tc>
        <w:tc>
          <w:tcPr>
            <w:tcW w:type="pct" w:w="12%"/>
            <w:tcMar>
              <w:top w:type="dxa" w:w="60"/>
              <w:left w:type="dxa" w:w="120"/>
              <w:bottom w:type="dxa" w:w="60"/>
              <w:right w:type="dxa" w:w="120"/>
            </w:tcMar>
          </w:tcPr>
          <w:p>
            <w:pPr>
              <w:spacing w:line="280"/>
            </w:pPr>
            <w:r>
              <w:rPr>
                <w:rFonts w:ascii="Calibri"/>
                <w:color w:val="000000"/>
                <w:sz w:val="21"/>
                <w:szCs w:val="21"/>
              </w:rPr>
              <w:t xml:space="preserve">MEDIUM</w:t>
            </w:r>
          </w:p>
        </w:tc>
        <w:tc>
          <w:tcPr>
            <w:tcW w:type="pct" w:w="15%"/>
            <w:tcMar>
              <w:top w:type="dxa" w:w="60"/>
              <w:left w:type="dxa" w:w="120"/>
              <w:bottom w:type="dxa" w:w="60"/>
              <w:right w:type="dxa" w:w="120"/>
            </w:tcMar>
          </w:tcPr>
          <w:p>
            <w:pPr>
              <w:spacing w:line="280"/>
            </w:pPr>
            <w:r>
              <w:rPr>
                <w:rFonts w:ascii="Calibri"/>
                <w:color w:val="000000"/>
                <w:sz w:val="21"/>
                <w:szCs w:val="21"/>
              </w:rPr>
              <w:t xml:space="preserve">Phase 3A/3B</w:t>
            </w:r>
          </w:p>
        </w:tc>
        <w:tc>
          <w:tcPr>
            <w:tcW w:type="pct" w:w="35%"/>
            <w:tcMar>
              <w:top w:type="dxa" w:w="60"/>
              <w:left w:type="dxa" w:w="120"/>
              <w:bottom w:type="dxa" w:w="60"/>
              <w:right w:type="dxa" w:w="120"/>
            </w:tcMar>
          </w:tcPr>
          <w:p>
            <w:pPr>
              <w:spacing w:line="280"/>
            </w:pPr>
            <w:r>
              <w:rPr>
                <w:rFonts w:ascii="Calibri"/>
                <w:color w:val="000000"/>
                <w:sz w:val="21"/>
                <w:szCs w:val="21"/>
              </w:rPr>
              <w:t xml:space="preserve">Extended logAction() with optional userId param</w:t>
            </w:r>
          </w:p>
        </w:tc>
      </w:tr>
      <w:tr>
        <w:trPr>
          <w:cantSplit/>
        </w:trPr>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B4</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Contacts, notes, batches lacked user attribution</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MEDIUM</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Phase 3B</w:t>
            </w:r>
          </w:p>
        </w:tc>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Added userId to all audit log entries</w:t>
            </w:r>
          </w:p>
        </w:tc>
      </w:tr>
    </w:tbl>
    <w:p>
      <w:pPr>
        <w:spacing w:line="312"/>
      </w:pPr>
    </w:p>
    <w:p>
      <w:pPr>
        <w:pStyle w:val="Heading2"/>
        <w:keepNext/>
        <w:spacing w:after="120" w:before="240" w:line="312"/>
      </w:pPr>
      <w:bookmarkStart w:id="100005" w:name="_Toc100005"/>
      <w:r>
        <w:rPr>
          <w:rFonts w:ascii="Calibri" w:eastAsia="SimHei"/>
          <w:b/>
          <w:bCs/>
          <w:color w:val="0F2027"/>
          <w:sz w:val="28"/>
          <w:szCs w:val="28"/>
        </w:rPr>
        <w:t xml:space="preserve">3.3 Webhook and Input Security</w:t>
      </w:r>
      <w:bookmarkEnd w:id="100005"/>
    </w:p>
    <w:p>
      <w:pPr>
        <w:spacing w:after="120" w:line="312"/>
        <w:jc w:val="left"/>
      </w:pPr>
      <w:r>
        <w:rPr>
          <w:rFonts w:ascii="Calibri" w:eastAsia="Microsoft YaHei"/>
          <w:color w:val="000000"/>
          <w:sz w:val="24"/>
          <w:szCs w:val="24"/>
        </w:rPr>
        <w:t xml:space="preserve">The webhook endpoints for processing email replies and bounce notifications had critically weak signature verification. When the RESEND_WEBHOOK_SECRET environment variable was not configured, signature verification was silently skipped entirely, allowing any external caller to inject fabricated data into the system. The signature comparison itself used timing-unsafe string equality, enabling theoretical side-channel attacks. The development OTP flow leaked authentication codes in API responses whenever NODE_ENV was set to development, creating a risk of accidental credential exposure in production environments.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pPr>
              <w:jc w:val="center"/>
            </w:pPr>
            <w:r>
              <w:rPr>
                <w:rFonts w:ascii="Calibri"/>
                <w:b/>
                <w:bCs/>
                <w:color w:val="FFFFFF"/>
                <w:sz w:val="21"/>
                <w:szCs w:val="21"/>
              </w:rPr>
              <w:t xml:space="preserve">ID</w:t>
            </w:r>
          </w:p>
        </w:tc>
        <w:tc>
          <w:tcPr>
            <w:tcW w:type="pct" w:w="30%"/>
            <w:shd w:fill="1B6B7A" w:val="clear"/>
            <w:tcMar>
              <w:top w:type="dxa" w:w="60"/>
              <w:left w:type="dxa" w:w="120"/>
              <w:bottom w:type="dxa" w:w="60"/>
              <w:right w:type="dxa" w:w="120"/>
            </w:tcMar>
          </w:tcPr>
          <w:p>
            <w:pPr>
              <w:jc w:val="center"/>
            </w:pPr>
            <w:r>
              <w:rPr>
                <w:rFonts w:ascii="Calibri"/>
                <w:b/>
                <w:bCs/>
                <w:color w:val="FFFFFF"/>
                <w:sz w:val="21"/>
                <w:szCs w:val="21"/>
              </w:rPr>
              <w:t xml:space="preserve">Finding</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Severity</w:t>
            </w:r>
          </w:p>
        </w:tc>
        <w:tc>
          <w:tcPr>
            <w:tcW w:type="pct" w:w="15%"/>
            <w:shd w:fill="1B6B7A" w:val="clear"/>
            <w:tcMar>
              <w:top w:type="dxa" w:w="60"/>
              <w:left w:type="dxa" w:w="120"/>
              <w:bottom w:type="dxa" w:w="60"/>
              <w:right w:type="dxa" w:w="120"/>
            </w:tcMar>
          </w:tcPr>
          <w:p>
            <w:pPr>
              <w:jc w:val="center"/>
            </w:pPr>
            <w:r>
              <w:rPr>
                <w:rFonts w:ascii="Calibri"/>
                <w:b/>
                <w:bCs/>
                <w:color w:val="FFFFFF"/>
                <w:sz w:val="21"/>
                <w:szCs w:val="21"/>
              </w:rPr>
              <w:t xml:space="preserve">Phase Fixed</w:t>
            </w:r>
          </w:p>
        </w:tc>
        <w:tc>
          <w:tcPr>
            <w:tcW w:type="pct" w:w="35%"/>
            <w:shd w:fill="1B6B7A" w:val="clear"/>
            <w:tcMar>
              <w:top w:type="dxa" w:w="60"/>
              <w:left w:type="dxa" w:w="120"/>
              <w:bottom w:type="dxa" w:w="60"/>
              <w:right w:type="dxa" w:w="120"/>
            </w:tcMar>
          </w:tcPr>
          <w:p>
            <w:pPr>
              <w:jc w:val="center"/>
            </w:pPr>
            <w:r>
              <w:rPr>
                <w:rFonts w:ascii="Calibri"/>
                <w:b/>
                <w:bCs/>
                <w:color w:val="FFFFFF"/>
                <w:sz w:val="21"/>
                <w:szCs w:val="21"/>
              </w:rPr>
              <w:t xml:space="preserve">Resolution</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C1</w:t>
            </w:r>
          </w:p>
        </w:tc>
        <w:tc>
          <w:tcPr>
            <w:tcW w:type="pct" w:w="30%"/>
            <w:tcMar>
              <w:top w:type="dxa" w:w="60"/>
              <w:left w:type="dxa" w:w="120"/>
              <w:bottom w:type="dxa" w:w="60"/>
              <w:right w:type="dxa" w:w="120"/>
            </w:tcMar>
          </w:tcPr>
          <w:p>
            <w:pPr>
              <w:spacing w:line="280"/>
            </w:pPr>
            <w:r>
              <w:rPr>
                <w:rFonts w:ascii="Calibri"/>
                <w:color w:val="000000"/>
                <w:sz w:val="21"/>
                <w:szCs w:val="21"/>
              </w:rPr>
              <w:t xml:space="preserve">Webhook signature check skipped when secret unset</w:t>
            </w:r>
          </w:p>
        </w:tc>
        <w:tc>
          <w:tcPr>
            <w:tcW w:type="pct" w:w="12%"/>
            <w:tcMar>
              <w:top w:type="dxa" w:w="60"/>
              <w:left w:type="dxa" w:w="120"/>
              <w:bottom w:type="dxa" w:w="60"/>
              <w:right w:type="dxa" w:w="120"/>
            </w:tcMar>
          </w:tcPr>
          <w:p>
            <w:pPr>
              <w:spacing w:line="280"/>
            </w:pPr>
            <w:r>
              <w:rPr>
                <w:rFonts w:ascii="Calibri"/>
                <w:color w:val="000000"/>
                <w:sz w:val="21"/>
                <w:szCs w:val="21"/>
              </w:rPr>
              <w:t xml:space="preserve">CRITICAL</w:t>
            </w:r>
          </w:p>
        </w:tc>
        <w:tc>
          <w:tcPr>
            <w:tcW w:type="pct" w:w="15%"/>
            <w:tcMar>
              <w:top w:type="dxa" w:w="60"/>
              <w:left w:type="dxa" w:w="120"/>
              <w:bottom w:type="dxa" w:w="60"/>
              <w:right w:type="dxa" w:w="120"/>
            </w:tcMar>
          </w:tcPr>
          <w:p>
            <w:pPr>
              <w:spacing w:line="280"/>
            </w:pPr>
            <w:r>
              <w:rPr>
                <w:rFonts w:ascii="Calibri"/>
                <w:color w:val="000000"/>
                <w:sz w:val="21"/>
                <w:szCs w:val="21"/>
              </w:rPr>
              <w:t xml:space="preserve">Phase 4</w:t>
            </w:r>
          </w:p>
        </w:tc>
        <w:tc>
          <w:tcPr>
            <w:tcW w:type="pct" w:w="35%"/>
            <w:tcMar>
              <w:top w:type="dxa" w:w="60"/>
              <w:left w:type="dxa" w:w="120"/>
              <w:bottom w:type="dxa" w:w="60"/>
              <w:right w:type="dxa" w:w="120"/>
            </w:tcMar>
          </w:tcPr>
          <w:p>
            <w:pPr>
              <w:spacing w:line="280"/>
            </w:pPr>
            <w:r>
              <w:rPr>
                <w:rFonts w:ascii="Calibri"/>
                <w:color w:val="000000"/>
                <w:sz w:val="21"/>
                <w:szCs w:val="21"/>
              </w:rPr>
              <w:t xml:space="preserve">Fail-closed: return 503 if secret missing</w:t>
            </w:r>
          </w:p>
        </w:tc>
      </w:tr>
      <w:tr>
        <w:trPr>
          <w:cantSplit/>
        </w:trPr>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C2</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Timing-unsafe webhook signature comparison</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HIGH</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Phase 4</w:t>
            </w:r>
          </w:p>
        </w:tc>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Replaced with crypto.timingSafeEqual</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C3</w:t>
            </w:r>
          </w:p>
        </w:tc>
        <w:tc>
          <w:tcPr>
            <w:tcW w:type="pct" w:w="30%"/>
            <w:tcMar>
              <w:top w:type="dxa" w:w="60"/>
              <w:left w:type="dxa" w:w="120"/>
              <w:bottom w:type="dxa" w:w="60"/>
              <w:right w:type="dxa" w:w="120"/>
            </w:tcMar>
          </w:tcPr>
          <w:p>
            <w:pPr>
              <w:spacing w:line="280"/>
            </w:pPr>
            <w:r>
              <w:rPr>
                <w:rFonts w:ascii="Calibri"/>
                <w:color w:val="000000"/>
                <w:sz w:val="21"/>
                <w:szCs w:val="21"/>
              </w:rPr>
              <w:t xml:space="preserve">Dev OTP codes exposed via NODE_ENV check</w:t>
            </w:r>
          </w:p>
        </w:tc>
        <w:tc>
          <w:tcPr>
            <w:tcW w:type="pct" w:w="12%"/>
            <w:tcMar>
              <w:top w:type="dxa" w:w="60"/>
              <w:left w:type="dxa" w:w="120"/>
              <w:bottom w:type="dxa" w:w="60"/>
              <w:right w:type="dxa" w:w="120"/>
            </w:tcMar>
          </w:tcPr>
          <w:p>
            <w:pPr>
              <w:spacing w:line="280"/>
            </w:pPr>
            <w:r>
              <w:rPr>
                <w:rFonts w:ascii="Calibri"/>
                <w:color w:val="000000"/>
                <w:sz w:val="21"/>
                <w:szCs w:val="21"/>
              </w:rPr>
              <w:t xml:space="preserve">MEDIUM</w:t>
            </w:r>
          </w:p>
        </w:tc>
        <w:tc>
          <w:tcPr>
            <w:tcW w:type="pct" w:w="15%"/>
            <w:tcMar>
              <w:top w:type="dxa" w:w="60"/>
              <w:left w:type="dxa" w:w="120"/>
              <w:bottom w:type="dxa" w:w="60"/>
              <w:right w:type="dxa" w:w="120"/>
            </w:tcMar>
          </w:tcPr>
          <w:p>
            <w:pPr>
              <w:spacing w:line="280"/>
            </w:pPr>
            <w:r>
              <w:rPr>
                <w:rFonts w:ascii="Calibri"/>
                <w:color w:val="000000"/>
                <w:sz w:val="21"/>
                <w:szCs w:val="21"/>
              </w:rPr>
              <w:t xml:space="preserve">Phase 4</w:t>
            </w:r>
          </w:p>
        </w:tc>
        <w:tc>
          <w:tcPr>
            <w:tcW w:type="pct" w:w="35%"/>
            <w:tcMar>
              <w:top w:type="dxa" w:w="60"/>
              <w:left w:type="dxa" w:w="120"/>
              <w:bottom w:type="dxa" w:w="60"/>
              <w:right w:type="dxa" w:w="120"/>
            </w:tcMar>
          </w:tcPr>
          <w:p>
            <w:pPr>
              <w:spacing w:line="280"/>
            </w:pPr>
            <w:r>
              <w:rPr>
                <w:rFonts w:ascii="Calibri"/>
                <w:color w:val="000000"/>
                <w:sz w:val="21"/>
                <w:szCs w:val="21"/>
              </w:rPr>
              <w:t xml:space="preserve">Requires explicit ALLOW_DEV_OTP=true flag</w:t>
            </w:r>
          </w:p>
        </w:tc>
      </w:tr>
    </w:tbl>
    <w:p>
      <w:pPr>
        <w:spacing w:line="312"/>
      </w:pPr>
    </w:p>
    <w:p>
      <w:pPr>
        <w:pStyle w:val="Heading2"/>
        <w:keepNext/>
        <w:spacing w:after="120" w:before="240" w:line="312"/>
      </w:pPr>
      <w:bookmarkStart w:id="100006" w:name="_Toc100006"/>
      <w:r>
        <w:rPr>
          <w:rFonts w:ascii="Calibri" w:eastAsia="SimHei"/>
          <w:b/>
          <w:bCs/>
          <w:color w:val="0F2027"/>
          <w:sz w:val="28"/>
          <w:szCs w:val="28"/>
        </w:rPr>
        <w:t xml:space="preserve">3.4 Code Hygiene and Dead Code</w:t>
      </w:r>
      <w:bookmarkEnd w:id="100006"/>
    </w:p>
    <w:p>
      <w:pPr>
        <w:spacing w:after="120" w:line="312"/>
        <w:jc w:val="left"/>
      </w:pPr>
      <w:r>
        <w:rPr>
          <w:rFonts w:ascii="Calibri" w:eastAsia="Microsoft YaHei"/>
          <w:color w:val="000000"/>
          <w:sz w:val="24"/>
          <w:szCs w:val="24"/>
        </w:rPr>
        <w:t xml:space="preserve">Static analysis identified several categories of dead code that created false confidence in the system's security posture. The RBAC module defined a complete role-permission system with four roles and nine resource types, but no route handler actually invoked the permission functions. All routes used a simple hardcoded admin check instead. Similarly, three rate limiter functions were defined and exported but never imported by any route handler. A deleted password reset endpoint had stub implementations that returned fake success responses, potentially misleading API consumers.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8%"/>
            <w:shd w:fill="1B6B7A" w:val="clear"/>
            <w:tcMar>
              <w:top w:type="dxa" w:w="60"/>
              <w:left w:type="dxa" w:w="120"/>
              <w:bottom w:type="dxa" w:w="60"/>
              <w:right w:type="dxa" w:w="120"/>
            </w:tcMar>
          </w:tcPr>
          <w:p>
            <w:pPr>
              <w:jc w:val="center"/>
            </w:pPr>
            <w:r>
              <w:rPr>
                <w:rFonts w:ascii="Calibri"/>
                <w:b/>
                <w:bCs/>
                <w:color w:val="FFFFFF"/>
                <w:sz w:val="21"/>
                <w:szCs w:val="21"/>
              </w:rPr>
              <w:t xml:space="preserve">ID</w:t>
            </w:r>
          </w:p>
        </w:tc>
        <w:tc>
          <w:tcPr>
            <w:tcW w:type="pct" w:w="30%"/>
            <w:shd w:fill="1B6B7A" w:val="clear"/>
            <w:tcMar>
              <w:top w:type="dxa" w:w="60"/>
              <w:left w:type="dxa" w:w="120"/>
              <w:bottom w:type="dxa" w:w="60"/>
              <w:right w:type="dxa" w:w="120"/>
            </w:tcMar>
          </w:tcPr>
          <w:p>
            <w:pPr>
              <w:jc w:val="center"/>
            </w:pPr>
            <w:r>
              <w:rPr>
                <w:rFonts w:ascii="Calibri"/>
                <w:b/>
                <w:bCs/>
                <w:color w:val="FFFFFF"/>
                <w:sz w:val="21"/>
                <w:szCs w:val="21"/>
              </w:rPr>
              <w:t xml:space="preserve">Finding</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Severity</w:t>
            </w:r>
          </w:p>
        </w:tc>
        <w:tc>
          <w:tcPr>
            <w:tcW w:type="pct" w:w="15%"/>
            <w:shd w:fill="1B6B7A" w:val="clear"/>
            <w:tcMar>
              <w:top w:type="dxa" w:w="60"/>
              <w:left w:type="dxa" w:w="120"/>
              <w:bottom w:type="dxa" w:w="60"/>
              <w:right w:type="dxa" w:w="120"/>
            </w:tcMar>
          </w:tcPr>
          <w:p>
            <w:pPr>
              <w:jc w:val="center"/>
            </w:pPr>
            <w:r>
              <w:rPr>
                <w:rFonts w:ascii="Calibri"/>
                <w:b/>
                <w:bCs/>
                <w:color w:val="FFFFFF"/>
                <w:sz w:val="21"/>
                <w:szCs w:val="21"/>
              </w:rPr>
              <w:t xml:space="preserve">Phase Fixed</w:t>
            </w:r>
          </w:p>
        </w:tc>
        <w:tc>
          <w:tcPr>
            <w:tcW w:type="pct" w:w="35%"/>
            <w:shd w:fill="1B6B7A" w:val="clear"/>
            <w:tcMar>
              <w:top w:type="dxa" w:w="60"/>
              <w:left w:type="dxa" w:w="120"/>
              <w:bottom w:type="dxa" w:w="60"/>
              <w:right w:type="dxa" w:w="120"/>
            </w:tcMar>
          </w:tcPr>
          <w:p>
            <w:pPr>
              <w:jc w:val="center"/>
            </w:pPr>
            <w:r>
              <w:rPr>
                <w:rFonts w:ascii="Calibri"/>
                <w:b/>
                <w:bCs/>
                <w:color w:val="FFFFFF"/>
                <w:sz w:val="21"/>
                <w:szCs w:val="21"/>
              </w:rPr>
              <w:t xml:space="preserve">Resolution</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D1</w:t>
            </w:r>
          </w:p>
        </w:tc>
        <w:tc>
          <w:tcPr>
            <w:tcW w:type="pct" w:w="30%"/>
            <w:tcMar>
              <w:top w:type="dxa" w:w="60"/>
              <w:left w:type="dxa" w:w="120"/>
              <w:bottom w:type="dxa" w:w="60"/>
              <w:right w:type="dxa" w:w="120"/>
            </w:tcMar>
          </w:tcPr>
          <w:p>
            <w:pPr>
              <w:spacing w:line="280"/>
            </w:pPr>
            <w:r>
              <w:rPr>
                <w:rFonts w:ascii="Calibri"/>
                <w:color w:val="000000"/>
                <w:sz w:val="21"/>
                <w:szCs w:val="21"/>
              </w:rPr>
              <w:t xml:space="preserve">RBAC module (85 lines) defined but never used</w:t>
            </w:r>
          </w:p>
        </w:tc>
        <w:tc>
          <w:tcPr>
            <w:tcW w:type="pct" w:w="12%"/>
            <w:tcMar>
              <w:top w:type="dxa" w:w="60"/>
              <w:left w:type="dxa" w:w="120"/>
              <w:bottom w:type="dxa" w:w="60"/>
              <w:right w:type="dxa" w:w="120"/>
            </w:tcMar>
          </w:tcPr>
          <w:p>
            <w:pPr>
              <w:spacing w:line="280"/>
            </w:pPr>
            <w:r>
              <w:rPr>
                <w:rFonts w:ascii="Calibri"/>
                <w:color w:val="000000"/>
                <w:sz w:val="21"/>
                <w:szCs w:val="21"/>
              </w:rPr>
              <w:t xml:space="preserve">LOW</w:t>
            </w:r>
          </w:p>
        </w:tc>
        <w:tc>
          <w:tcPr>
            <w:tcW w:type="pct" w:w="15%"/>
            <w:tcMar>
              <w:top w:type="dxa" w:w="60"/>
              <w:left w:type="dxa" w:w="120"/>
              <w:bottom w:type="dxa" w:w="60"/>
              <w:right w:type="dxa" w:w="120"/>
            </w:tcMar>
          </w:tcPr>
          <w:p>
            <w:pPr>
              <w:spacing w:line="280"/>
            </w:pPr>
            <w:r>
              <w:rPr>
                <w:rFonts w:ascii="Calibri"/>
                <w:color w:val="000000"/>
                <w:sz w:val="21"/>
                <w:szCs w:val="21"/>
              </w:rPr>
              <w:t xml:space="preserve">Phase 4</w:t>
            </w:r>
          </w:p>
        </w:tc>
        <w:tc>
          <w:tcPr>
            <w:tcW w:type="pct" w:w="35%"/>
            <w:tcMar>
              <w:top w:type="dxa" w:w="60"/>
              <w:left w:type="dxa" w:w="120"/>
              <w:bottom w:type="dxa" w:w="60"/>
              <w:right w:type="dxa" w:w="120"/>
            </w:tcMar>
          </w:tcPr>
          <w:p>
            <w:pPr>
              <w:spacing w:line="280"/>
            </w:pPr>
            <w:r>
              <w:rPr>
                <w:rFonts w:ascii="Calibri"/>
                <w:color w:val="000000"/>
                <w:sz w:val="21"/>
                <w:szCs w:val="21"/>
              </w:rPr>
              <w:t xml:space="preserve">Deleted rbac.ts entirely</w:t>
            </w:r>
          </w:p>
        </w:tc>
      </w:tr>
      <w:tr>
        <w:trPr>
          <w:cantSplit/>
        </w:trPr>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D2</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3 unused rate limiter exports</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LOW</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Phase 4</w:t>
            </w:r>
          </w:p>
        </w:tc>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Removed authRateLimit, aiRateLimit, importRateLimit</w:t>
            </w:r>
          </w:p>
        </w:tc>
      </w:tr>
      <w:tr>
        <w:trPr>
          <w:cantSplit/>
        </w:trPr>
        <w:tc>
          <w:tcPr>
            <w:tcW w:type="pct" w:w="8%"/>
            <w:tcMar>
              <w:top w:type="dxa" w:w="60"/>
              <w:left w:type="dxa" w:w="120"/>
              <w:bottom w:type="dxa" w:w="60"/>
              <w:right w:type="dxa" w:w="120"/>
            </w:tcMar>
          </w:tcPr>
          <w:p>
            <w:pPr>
              <w:spacing w:line="280"/>
            </w:pPr>
            <w:r>
              <w:rPr>
                <w:rFonts w:ascii="Calibri"/>
                <w:color w:val="000000"/>
                <w:sz w:val="21"/>
                <w:szCs w:val="21"/>
              </w:rPr>
              <w:t xml:space="preserve">D3</w:t>
            </w:r>
          </w:p>
        </w:tc>
        <w:tc>
          <w:tcPr>
            <w:tcW w:type="pct" w:w="30%"/>
            <w:tcMar>
              <w:top w:type="dxa" w:w="60"/>
              <w:left w:type="dxa" w:w="120"/>
              <w:bottom w:type="dxa" w:w="60"/>
              <w:right w:type="dxa" w:w="120"/>
            </w:tcMar>
          </w:tcPr>
          <w:p>
            <w:pPr>
              <w:spacing w:line="280"/>
            </w:pPr>
            <w:r>
              <w:rPr>
                <w:rFonts w:ascii="Calibri"/>
                <w:color w:val="000000"/>
                <w:sz w:val="21"/>
                <w:szCs w:val="21"/>
              </w:rPr>
              <w:t xml:space="preserve">Dead reset-password stubs returning fake success</w:t>
            </w:r>
          </w:p>
        </w:tc>
        <w:tc>
          <w:tcPr>
            <w:tcW w:type="pct" w:w="12%"/>
            <w:tcMar>
              <w:top w:type="dxa" w:w="60"/>
              <w:left w:type="dxa" w:w="120"/>
              <w:bottom w:type="dxa" w:w="60"/>
              <w:right w:type="dxa" w:w="120"/>
            </w:tcMar>
          </w:tcPr>
          <w:p>
            <w:pPr>
              <w:spacing w:line="280"/>
            </w:pPr>
            <w:r>
              <w:rPr>
                <w:rFonts w:ascii="Calibri"/>
                <w:color w:val="000000"/>
                <w:sz w:val="21"/>
                <w:szCs w:val="21"/>
              </w:rPr>
              <w:t xml:space="preserve">MEDIUM</w:t>
            </w:r>
          </w:p>
        </w:tc>
        <w:tc>
          <w:tcPr>
            <w:tcW w:type="pct" w:w="15%"/>
            <w:tcMar>
              <w:top w:type="dxa" w:w="60"/>
              <w:left w:type="dxa" w:w="120"/>
              <w:bottom w:type="dxa" w:w="60"/>
              <w:right w:type="dxa" w:w="120"/>
            </w:tcMar>
          </w:tcPr>
          <w:p>
            <w:pPr>
              <w:spacing w:line="280"/>
            </w:pPr>
            <w:r>
              <w:rPr>
                <w:rFonts w:ascii="Calibri"/>
                <w:color w:val="000000"/>
                <w:sz w:val="21"/>
                <w:szCs w:val="21"/>
              </w:rPr>
              <w:t xml:space="preserve">Phase 3A</w:t>
            </w:r>
          </w:p>
        </w:tc>
        <w:tc>
          <w:tcPr>
            <w:tcW w:type="pct" w:w="35%"/>
            <w:tcMar>
              <w:top w:type="dxa" w:w="60"/>
              <w:left w:type="dxa" w:w="120"/>
              <w:bottom w:type="dxa" w:w="60"/>
              <w:right w:type="dxa" w:w="120"/>
            </w:tcMar>
          </w:tcPr>
          <w:p>
            <w:pPr>
              <w:spacing w:line="280"/>
            </w:pPr>
            <w:r>
              <w:rPr>
                <w:rFonts w:ascii="Calibri"/>
                <w:color w:val="000000"/>
                <w:sz w:val="21"/>
                <w:szCs w:val="21"/>
              </w:rPr>
              <w:t xml:space="preserve">Deleted route files</w:t>
            </w:r>
          </w:p>
        </w:tc>
      </w:tr>
      <w:tr>
        <w:trPr>
          <w:cantSplit/>
        </w:trPr>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D4</w:t>
            </w:r>
          </w:p>
        </w:tc>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ADMIN_ROLES constant unused</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LOW</w:t>
            </w:r>
          </w:p>
        </w:tc>
        <w:tc>
          <w:tcPr>
            <w:tcW w:type="pct" w:w="15%"/>
            <w:shd w:fill="EDF3F5" w:val="clear"/>
            <w:tcMar>
              <w:top w:type="dxa" w:w="60"/>
              <w:left w:type="dxa" w:w="120"/>
              <w:bottom w:type="dxa" w:w="60"/>
              <w:right w:type="dxa" w:w="120"/>
            </w:tcMar>
          </w:tcPr>
          <w:p>
            <w:pPr>
              <w:spacing w:line="280"/>
            </w:pPr>
            <w:r>
              <w:rPr>
                <w:rFonts w:ascii="Calibri"/>
                <w:color w:val="000000"/>
                <w:sz w:val="21"/>
                <w:szCs w:val="21"/>
              </w:rPr>
              <w:t xml:space="preserve">Phase 3B</w:t>
            </w:r>
          </w:p>
        </w:tc>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Removed constant; requireAdminRole uses literal</w:t>
            </w:r>
          </w:p>
        </w:tc>
      </w:tr>
    </w:tbl>
    <w:p>
      <w:pPr>
        <w:spacing w:line="312"/>
      </w:pPr>
    </w:p>
    <w:p>
      <w:pPr>
        <w:pStyle w:val="Heading1"/>
        <w:keepNext/>
        <w:spacing w:after="120" w:before="360" w:line="312"/>
      </w:pPr>
      <w:bookmarkStart w:id="100007" w:name="_Toc100007"/>
      <w:r>
        <w:rPr>
          <w:rFonts w:ascii="Calibri" w:eastAsia="SimHei"/>
          <w:b/>
          <w:bCs/>
          <w:color w:val="0F2027"/>
          <w:sz w:val="32"/>
          <w:szCs w:val="32"/>
        </w:rPr>
        <w:t xml:space="preserve">4. Security Score Evolution</w:t>
      </w:r>
      <w:bookmarkEnd w:id="100007"/>
    </w:p>
    <w:p>
      <w:pPr>
        <w:spacing w:after="120" w:line="312"/>
        <w:jc w:val="left"/>
      </w:pPr>
      <w:r>
        <w:rPr>
          <w:rFonts w:ascii="Calibri" w:eastAsia="Microsoft YaHei"/>
          <w:color w:val="000000"/>
          <w:sz w:val="24"/>
          <w:szCs w:val="24"/>
        </w:rPr>
        <w:t xml:space="preserve">The security score was calculated using a weighted rubric across seven security domains. Each domain was scored on a 1-10 scale based on evidence from code review, test coverage, and adversarial analysis. The weights reflect the relative importance of each domain for a single-tenant CRM system with webhook integrations and OTP-based authentication.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30%"/>
            <w:shd w:fill="1B6B7A" w:val="clear"/>
            <w:tcMar>
              <w:top w:type="dxa" w:w="60"/>
              <w:left w:type="dxa" w:w="120"/>
              <w:bottom w:type="dxa" w:w="60"/>
              <w:right w:type="dxa" w:w="120"/>
            </w:tcMar>
          </w:tcPr>
          <w:p>
            <w:pPr>
              <w:jc w:val="center"/>
            </w:pPr>
            <w:r>
              <w:rPr>
                <w:rFonts w:ascii="Calibri"/>
                <w:b/>
                <w:bCs/>
                <w:color w:val="FFFFFF"/>
                <w:sz w:val="21"/>
                <w:szCs w:val="21"/>
              </w:rPr>
              <w:t xml:space="preserve">Domain</w:t>
            </w:r>
          </w:p>
        </w:tc>
        <w:tc>
          <w:tcPr>
            <w:tcW w:type="pct" w:w="10%"/>
            <w:shd w:fill="1B6B7A" w:val="clear"/>
            <w:tcMar>
              <w:top w:type="dxa" w:w="60"/>
              <w:left w:type="dxa" w:w="120"/>
              <w:bottom w:type="dxa" w:w="60"/>
              <w:right w:type="dxa" w:w="120"/>
            </w:tcMar>
          </w:tcPr>
          <w:p>
            <w:pPr>
              <w:jc w:val="center"/>
            </w:pPr>
            <w:r>
              <w:rPr>
                <w:rFonts w:ascii="Calibri"/>
                <w:b/>
                <w:bCs/>
                <w:color w:val="FFFFFF"/>
                <w:sz w:val="21"/>
                <w:szCs w:val="21"/>
              </w:rPr>
              <w:t xml:space="preserve">Weight</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Pre-Phase 2</w:t>
            </w:r>
          </w:p>
        </w:tc>
        <w:tc>
          <w:tcPr>
            <w:tcW w:type="pct" w:w="14%"/>
            <w:shd w:fill="1B6B7A" w:val="clear"/>
            <w:tcMar>
              <w:top w:type="dxa" w:w="60"/>
              <w:left w:type="dxa" w:w="120"/>
              <w:bottom w:type="dxa" w:w="60"/>
              <w:right w:type="dxa" w:w="120"/>
            </w:tcMar>
          </w:tcPr>
          <w:p>
            <w:pPr>
              <w:jc w:val="center"/>
            </w:pPr>
            <w:r>
              <w:rPr>
                <w:rFonts w:ascii="Calibri"/>
                <w:b/>
                <w:bCs/>
                <w:color w:val="FFFFFF"/>
                <w:sz w:val="21"/>
                <w:szCs w:val="21"/>
              </w:rPr>
              <w:t xml:space="preserve">Post-Phase 3A</w:t>
            </w:r>
          </w:p>
        </w:tc>
        <w:tc>
          <w:tcPr>
            <w:tcW w:type="pct" w:w="14%"/>
            <w:shd w:fill="1B6B7A" w:val="clear"/>
            <w:tcMar>
              <w:top w:type="dxa" w:w="60"/>
              <w:left w:type="dxa" w:w="120"/>
              <w:bottom w:type="dxa" w:w="60"/>
              <w:right w:type="dxa" w:w="120"/>
            </w:tcMar>
          </w:tcPr>
          <w:p>
            <w:pPr>
              <w:jc w:val="center"/>
            </w:pPr>
            <w:r>
              <w:rPr>
                <w:rFonts w:ascii="Calibri"/>
                <w:b/>
                <w:bCs/>
                <w:color w:val="FFFFFF"/>
                <w:sz w:val="21"/>
                <w:szCs w:val="21"/>
              </w:rPr>
              <w:t xml:space="preserve">Post-Phase 4</w:t>
            </w:r>
          </w:p>
        </w:tc>
        <w:tc>
          <w:tcPr>
            <w:tcW w:type="pct" w:w="20%"/>
            <w:shd w:fill="1B6B7A" w:val="clear"/>
            <w:tcMar>
              <w:top w:type="dxa" w:w="60"/>
              <w:left w:type="dxa" w:w="120"/>
              <w:bottom w:type="dxa" w:w="60"/>
              <w:right w:type="dxa" w:w="120"/>
            </w:tcMar>
          </w:tcPr>
          <w:p>
            <w:pPr>
              <w:jc w:val="center"/>
            </w:pPr>
            <w:r>
              <w:rPr>
                <w:rFonts w:ascii="Calibri"/>
                <w:b/>
                <w:bCs/>
                <w:color w:val="FFFFFF"/>
                <w:sz w:val="21"/>
                <w:szCs w:val="21"/>
              </w:rPr>
              <w:t xml:space="preserve">Delta</w:t>
            </w:r>
          </w:p>
        </w:tc>
      </w:tr>
      <w:tr>
        <w:trPr>
          <w:cantSplit/>
        </w:trPr>
        <w:tc>
          <w:tcPr>
            <w:tcW w:type="pct" w:w="30%"/>
            <w:tcMar>
              <w:top w:type="dxa" w:w="60"/>
              <w:left w:type="dxa" w:w="120"/>
              <w:bottom w:type="dxa" w:w="60"/>
              <w:right w:type="dxa" w:w="120"/>
            </w:tcMar>
          </w:tcPr>
          <w:p>
            <w:pPr>
              <w:spacing w:line="280"/>
            </w:pPr>
            <w:r>
              <w:rPr>
                <w:rFonts w:ascii="Calibri"/>
                <w:color w:val="000000"/>
                <w:sz w:val="21"/>
                <w:szCs w:val="21"/>
              </w:rPr>
              <w:t xml:space="preserve">Authentication &amp; Authorization</w:t>
            </w:r>
          </w:p>
        </w:tc>
        <w:tc>
          <w:tcPr>
            <w:tcW w:type="pct" w:w="10%"/>
            <w:tcMar>
              <w:top w:type="dxa" w:w="60"/>
              <w:left w:type="dxa" w:w="120"/>
              <w:bottom w:type="dxa" w:w="60"/>
              <w:right w:type="dxa" w:w="120"/>
            </w:tcMar>
          </w:tcPr>
          <w:p>
            <w:pPr>
              <w:spacing w:line="280"/>
            </w:pPr>
            <w:r>
              <w:rPr>
                <w:rFonts w:ascii="Calibri"/>
                <w:color w:val="000000"/>
                <w:sz w:val="21"/>
                <w:szCs w:val="21"/>
              </w:rPr>
              <w:t xml:space="preserve">30%</w:t>
            </w:r>
          </w:p>
        </w:tc>
        <w:tc>
          <w:tcPr>
            <w:tcW w:type="pct" w:w="12%"/>
            <w:tcMar>
              <w:top w:type="dxa" w:w="60"/>
              <w:left w:type="dxa" w:w="120"/>
              <w:bottom w:type="dxa" w:w="60"/>
              <w:right w:type="dxa" w:w="120"/>
            </w:tcMar>
          </w:tcPr>
          <w:p>
            <w:pPr>
              <w:spacing w:line="280"/>
            </w:pPr>
            <w:r>
              <w:rPr>
                <w:rFonts w:ascii="Calibri"/>
                <w:color w:val="000000"/>
                <w:sz w:val="21"/>
                <w:szCs w:val="21"/>
              </w:rPr>
              <w:t xml:space="preserve">5.0</w:t>
            </w:r>
          </w:p>
        </w:tc>
        <w:tc>
          <w:tcPr>
            <w:tcW w:type="pct" w:w="14%"/>
            <w:tcMar>
              <w:top w:type="dxa" w:w="60"/>
              <w:left w:type="dxa" w:w="120"/>
              <w:bottom w:type="dxa" w:w="60"/>
              <w:right w:type="dxa" w:w="120"/>
            </w:tcMar>
          </w:tcPr>
          <w:p>
            <w:pPr>
              <w:spacing w:line="280"/>
            </w:pPr>
            <w:r>
              <w:rPr>
                <w:rFonts w:ascii="Calibri"/>
                <w:color w:val="000000"/>
                <w:sz w:val="21"/>
                <w:szCs w:val="21"/>
              </w:rPr>
              <w:t xml:space="preserve">8.5</w:t>
            </w:r>
          </w:p>
        </w:tc>
        <w:tc>
          <w:tcPr>
            <w:tcW w:type="pct" w:w="14%"/>
            <w:tcMar>
              <w:top w:type="dxa" w:w="60"/>
              <w:left w:type="dxa" w:w="120"/>
              <w:bottom w:type="dxa" w:w="60"/>
              <w:right w:type="dxa" w:w="120"/>
            </w:tcMar>
          </w:tcPr>
          <w:p>
            <w:pPr>
              <w:spacing w:line="280"/>
            </w:pPr>
            <w:r>
              <w:rPr>
                <w:rFonts w:ascii="Calibri"/>
                <w:color w:val="000000"/>
                <w:sz w:val="21"/>
                <w:szCs w:val="21"/>
              </w:rPr>
              <w:t xml:space="preserve">9.0</w:t>
            </w:r>
          </w:p>
        </w:tc>
        <w:tc>
          <w:tcPr>
            <w:tcW w:type="pct" w:w="20%"/>
            <w:tcMar>
              <w:top w:type="dxa" w:w="60"/>
              <w:left w:type="dxa" w:w="120"/>
              <w:bottom w:type="dxa" w:w="60"/>
              <w:right w:type="dxa" w:w="120"/>
            </w:tcMar>
          </w:tcPr>
          <w:p>
            <w:pPr>
              <w:spacing w:line="280"/>
            </w:pPr>
            <w:r>
              <w:rPr>
                <w:rFonts w:ascii="Calibri"/>
                <w:color w:val="000000"/>
                <w:sz w:val="21"/>
                <w:szCs w:val="21"/>
              </w:rPr>
              <w:t xml:space="preserve">+4.0</w:t>
            </w:r>
          </w:p>
        </w:tc>
      </w:tr>
      <w:tr>
        <w:trPr>
          <w:cantSplit/>
        </w:trPr>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Audit &amp; Accountability</w:t>
            </w:r>
          </w:p>
        </w:tc>
        <w:tc>
          <w:tcPr>
            <w:tcW w:type="pct" w:w="10%"/>
            <w:shd w:fill="EDF3F5" w:val="clear"/>
            <w:tcMar>
              <w:top w:type="dxa" w:w="60"/>
              <w:left w:type="dxa" w:w="120"/>
              <w:bottom w:type="dxa" w:w="60"/>
              <w:right w:type="dxa" w:w="120"/>
            </w:tcMar>
          </w:tcPr>
          <w:p>
            <w:pPr>
              <w:spacing w:line="280"/>
            </w:pPr>
            <w:r>
              <w:rPr>
                <w:rFonts w:ascii="Calibri"/>
                <w:color w:val="000000"/>
                <w:sz w:val="21"/>
                <w:szCs w:val="21"/>
              </w:rPr>
              <w:t xml:space="preserve">15%</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3.0</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7.0</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8.5</w:t>
            </w:r>
          </w:p>
        </w:tc>
        <w:tc>
          <w:tcPr>
            <w:tcW w:type="pct" w:w="20%"/>
            <w:shd w:fill="EDF3F5" w:val="clear"/>
            <w:tcMar>
              <w:top w:type="dxa" w:w="60"/>
              <w:left w:type="dxa" w:w="120"/>
              <w:bottom w:type="dxa" w:w="60"/>
              <w:right w:type="dxa" w:w="120"/>
            </w:tcMar>
          </w:tcPr>
          <w:p>
            <w:pPr>
              <w:spacing w:line="280"/>
            </w:pPr>
            <w:r>
              <w:rPr>
                <w:rFonts w:ascii="Calibri"/>
                <w:color w:val="000000"/>
                <w:sz w:val="21"/>
                <w:szCs w:val="21"/>
              </w:rPr>
              <w:t xml:space="preserve">+5.5</w:t>
            </w:r>
          </w:p>
        </w:tc>
      </w:tr>
      <w:tr>
        <w:trPr>
          <w:cantSplit/>
        </w:trPr>
        <w:tc>
          <w:tcPr>
            <w:tcW w:type="pct" w:w="30%"/>
            <w:tcMar>
              <w:top w:type="dxa" w:w="60"/>
              <w:left w:type="dxa" w:w="120"/>
              <w:bottom w:type="dxa" w:w="60"/>
              <w:right w:type="dxa" w:w="120"/>
            </w:tcMar>
          </w:tcPr>
          <w:p>
            <w:pPr>
              <w:spacing w:line="280"/>
            </w:pPr>
            <w:r>
              <w:rPr>
                <w:rFonts w:ascii="Calibri"/>
                <w:color w:val="000000"/>
                <w:sz w:val="21"/>
                <w:szCs w:val="21"/>
              </w:rPr>
              <w:t xml:space="preserve">Rate Limiting &amp; Abuse</w:t>
            </w:r>
          </w:p>
        </w:tc>
        <w:tc>
          <w:tcPr>
            <w:tcW w:type="pct" w:w="10%"/>
            <w:tcMar>
              <w:top w:type="dxa" w:w="60"/>
              <w:left w:type="dxa" w:w="120"/>
              <w:bottom w:type="dxa" w:w="60"/>
              <w:right w:type="dxa" w:w="120"/>
            </w:tcMar>
          </w:tcPr>
          <w:p>
            <w:pPr>
              <w:spacing w:line="280"/>
            </w:pPr>
            <w:r>
              <w:rPr>
                <w:rFonts w:ascii="Calibri"/>
                <w:color w:val="000000"/>
                <w:sz w:val="21"/>
                <w:szCs w:val="21"/>
              </w:rPr>
              <w:t xml:space="preserve">15%</w:t>
            </w:r>
          </w:p>
        </w:tc>
        <w:tc>
          <w:tcPr>
            <w:tcW w:type="pct" w:w="12%"/>
            <w:tcMar>
              <w:top w:type="dxa" w:w="60"/>
              <w:left w:type="dxa" w:w="120"/>
              <w:bottom w:type="dxa" w:w="60"/>
              <w:right w:type="dxa" w:w="120"/>
            </w:tcMar>
          </w:tcPr>
          <w:p>
            <w:pPr>
              <w:spacing w:line="280"/>
            </w:pPr>
            <w:r>
              <w:rPr>
                <w:rFonts w:ascii="Calibri"/>
                <w:color w:val="000000"/>
                <w:sz w:val="21"/>
                <w:szCs w:val="21"/>
              </w:rPr>
              <w:t xml:space="preserve">7.0</w:t>
            </w:r>
          </w:p>
        </w:tc>
        <w:tc>
          <w:tcPr>
            <w:tcW w:type="pct" w:w="14%"/>
            <w:tcMar>
              <w:top w:type="dxa" w:w="60"/>
              <w:left w:type="dxa" w:w="120"/>
              <w:bottom w:type="dxa" w:w="60"/>
              <w:right w:type="dxa" w:w="120"/>
            </w:tcMar>
          </w:tcPr>
          <w:p>
            <w:pPr>
              <w:spacing w:line="280"/>
            </w:pPr>
            <w:r>
              <w:rPr>
                <w:rFonts w:ascii="Calibri"/>
                <w:color w:val="000000"/>
                <w:sz w:val="21"/>
                <w:szCs w:val="21"/>
              </w:rPr>
              <w:t xml:space="preserve">7.0</w:t>
            </w:r>
          </w:p>
        </w:tc>
        <w:tc>
          <w:tcPr>
            <w:tcW w:type="pct" w:w="14%"/>
            <w:tcMar>
              <w:top w:type="dxa" w:w="60"/>
              <w:left w:type="dxa" w:w="120"/>
              <w:bottom w:type="dxa" w:w="60"/>
              <w:right w:type="dxa" w:w="120"/>
            </w:tcMar>
          </w:tcPr>
          <w:p>
            <w:pPr>
              <w:spacing w:line="280"/>
            </w:pPr>
            <w:r>
              <w:rPr>
                <w:rFonts w:ascii="Calibri"/>
                <w:color w:val="000000"/>
                <w:sz w:val="21"/>
                <w:szCs w:val="21"/>
              </w:rPr>
              <w:t xml:space="preserve">7.5</w:t>
            </w:r>
          </w:p>
        </w:tc>
        <w:tc>
          <w:tcPr>
            <w:tcW w:type="pct" w:w="20%"/>
            <w:tcMar>
              <w:top w:type="dxa" w:w="60"/>
              <w:left w:type="dxa" w:w="120"/>
              <w:bottom w:type="dxa" w:w="60"/>
              <w:right w:type="dxa" w:w="120"/>
            </w:tcMar>
          </w:tcPr>
          <w:p>
            <w:pPr>
              <w:spacing w:line="280"/>
            </w:pPr>
            <w:r>
              <w:rPr>
                <w:rFonts w:ascii="Calibri"/>
                <w:color w:val="000000"/>
                <w:sz w:val="21"/>
                <w:szCs w:val="21"/>
              </w:rPr>
              <w:t xml:space="preserve">+0.5</w:t>
            </w:r>
          </w:p>
        </w:tc>
      </w:tr>
      <w:tr>
        <w:trPr>
          <w:cantSplit/>
        </w:trPr>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Input Validation &amp; Data Safety</w:t>
            </w:r>
          </w:p>
        </w:tc>
        <w:tc>
          <w:tcPr>
            <w:tcW w:type="pct" w:w="10%"/>
            <w:shd w:fill="EDF3F5" w:val="clear"/>
            <w:tcMar>
              <w:top w:type="dxa" w:w="60"/>
              <w:left w:type="dxa" w:w="120"/>
              <w:bottom w:type="dxa" w:w="60"/>
              <w:right w:type="dxa" w:w="120"/>
            </w:tcMar>
          </w:tcPr>
          <w:p>
            <w:pPr>
              <w:spacing w:line="280"/>
            </w:pPr>
            <w:r>
              <w:rPr>
                <w:rFonts w:ascii="Calibri"/>
                <w:color w:val="000000"/>
                <w:sz w:val="21"/>
                <w:szCs w:val="21"/>
              </w:rPr>
              <w:t xml:space="preserve">15%</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7.5</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7.5</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7.0</w:t>
            </w:r>
          </w:p>
        </w:tc>
        <w:tc>
          <w:tcPr>
            <w:tcW w:type="pct" w:w="20%"/>
            <w:shd w:fill="EDF3F5" w:val="clear"/>
            <w:tcMar>
              <w:top w:type="dxa" w:w="60"/>
              <w:left w:type="dxa" w:w="120"/>
              <w:bottom w:type="dxa" w:w="60"/>
              <w:right w:type="dxa" w:w="120"/>
            </w:tcMar>
          </w:tcPr>
          <w:p>
            <w:pPr>
              <w:spacing w:line="280"/>
            </w:pPr>
            <w:r>
              <w:rPr>
                <w:rFonts w:ascii="Calibri"/>
                <w:color w:val="000000"/>
                <w:sz w:val="21"/>
                <w:szCs w:val="21"/>
              </w:rPr>
              <w:t xml:space="preserve">-0.5</w:t>
            </w:r>
          </w:p>
        </w:tc>
      </w:tr>
      <w:tr>
        <w:trPr>
          <w:cantSplit/>
        </w:trPr>
        <w:tc>
          <w:tcPr>
            <w:tcW w:type="pct" w:w="30%"/>
            <w:tcMar>
              <w:top w:type="dxa" w:w="60"/>
              <w:left w:type="dxa" w:w="120"/>
              <w:bottom w:type="dxa" w:w="60"/>
              <w:right w:type="dxa" w:w="120"/>
            </w:tcMar>
          </w:tcPr>
          <w:p>
            <w:pPr>
              <w:spacing w:line="280"/>
            </w:pPr>
            <w:r>
              <w:rPr>
                <w:rFonts w:ascii="Calibri"/>
                <w:color w:val="000000"/>
                <w:sz w:val="21"/>
                <w:szCs w:val="21"/>
              </w:rPr>
              <w:t xml:space="preserve">Webhook Security</w:t>
            </w:r>
          </w:p>
        </w:tc>
        <w:tc>
          <w:tcPr>
            <w:tcW w:type="pct" w:w="10%"/>
            <w:tcMar>
              <w:top w:type="dxa" w:w="60"/>
              <w:left w:type="dxa" w:w="120"/>
              <w:bottom w:type="dxa" w:w="60"/>
              <w:right w:type="dxa" w:w="120"/>
            </w:tcMar>
          </w:tcPr>
          <w:p>
            <w:pPr>
              <w:spacing w:line="280"/>
            </w:pPr>
            <w:r>
              <w:rPr>
                <w:rFonts w:ascii="Calibri"/>
                <w:color w:val="000000"/>
                <w:sz w:val="21"/>
                <w:szCs w:val="21"/>
              </w:rPr>
              <w:t xml:space="preserve">10%</w:t>
            </w:r>
          </w:p>
        </w:tc>
        <w:tc>
          <w:tcPr>
            <w:tcW w:type="pct" w:w="12%"/>
            <w:tcMar>
              <w:top w:type="dxa" w:w="60"/>
              <w:left w:type="dxa" w:w="120"/>
              <w:bottom w:type="dxa" w:w="60"/>
              <w:right w:type="dxa" w:w="120"/>
            </w:tcMar>
          </w:tcPr>
          <w:p>
            <w:pPr>
              <w:spacing w:line="280"/>
            </w:pPr>
            <w:r>
              <w:rPr>
                <w:rFonts w:ascii="Calibri"/>
                <w:color w:val="000000"/>
                <w:sz w:val="21"/>
                <w:szCs w:val="21"/>
              </w:rPr>
              <w:t xml:space="preserve">5.0</w:t>
            </w:r>
          </w:p>
        </w:tc>
        <w:tc>
          <w:tcPr>
            <w:tcW w:type="pct" w:w="14%"/>
            <w:tcMar>
              <w:top w:type="dxa" w:w="60"/>
              <w:left w:type="dxa" w:w="120"/>
              <w:bottom w:type="dxa" w:w="60"/>
              <w:right w:type="dxa" w:w="120"/>
            </w:tcMar>
          </w:tcPr>
          <w:p>
            <w:pPr>
              <w:spacing w:line="280"/>
            </w:pPr>
            <w:r>
              <w:rPr>
                <w:rFonts w:ascii="Calibri"/>
                <w:color w:val="000000"/>
                <w:sz w:val="21"/>
                <w:szCs w:val="21"/>
              </w:rPr>
              <w:t xml:space="preserve">5.0</w:t>
            </w:r>
          </w:p>
        </w:tc>
        <w:tc>
          <w:tcPr>
            <w:tcW w:type="pct" w:w="14%"/>
            <w:tcMar>
              <w:top w:type="dxa" w:w="60"/>
              <w:left w:type="dxa" w:w="120"/>
              <w:bottom w:type="dxa" w:w="60"/>
              <w:right w:type="dxa" w:w="120"/>
            </w:tcMar>
          </w:tcPr>
          <w:p>
            <w:pPr>
              <w:spacing w:line="280"/>
            </w:pPr>
            <w:r>
              <w:rPr>
                <w:rFonts w:ascii="Calibri"/>
                <w:color w:val="000000"/>
                <w:sz w:val="21"/>
                <w:szCs w:val="21"/>
              </w:rPr>
              <w:t xml:space="preserve">8.0</w:t>
            </w:r>
          </w:p>
        </w:tc>
        <w:tc>
          <w:tcPr>
            <w:tcW w:type="pct" w:w="20%"/>
            <w:tcMar>
              <w:top w:type="dxa" w:w="60"/>
              <w:left w:type="dxa" w:w="120"/>
              <w:bottom w:type="dxa" w:w="60"/>
              <w:right w:type="dxa" w:w="120"/>
            </w:tcMar>
          </w:tcPr>
          <w:p>
            <w:pPr>
              <w:spacing w:line="280"/>
            </w:pPr>
            <w:r>
              <w:rPr>
                <w:rFonts w:ascii="Calibri"/>
                <w:color w:val="000000"/>
                <w:sz w:val="21"/>
                <w:szCs w:val="21"/>
              </w:rPr>
              <w:t xml:space="preserve">+3.0</w:t>
            </w:r>
          </w:p>
        </w:tc>
      </w:tr>
      <w:tr>
        <w:trPr>
          <w:cantSplit/>
        </w:trPr>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Infrastructure &amp; Dependencies</w:t>
            </w:r>
          </w:p>
        </w:tc>
        <w:tc>
          <w:tcPr>
            <w:tcW w:type="pct" w:w="10%"/>
            <w:shd w:fill="EDF3F5" w:val="clear"/>
            <w:tcMar>
              <w:top w:type="dxa" w:w="60"/>
              <w:left w:type="dxa" w:w="120"/>
              <w:bottom w:type="dxa" w:w="60"/>
              <w:right w:type="dxa" w:w="120"/>
            </w:tcMar>
          </w:tcPr>
          <w:p>
            <w:pPr>
              <w:spacing w:line="280"/>
            </w:pPr>
            <w:r>
              <w:rPr>
                <w:rFonts w:ascii="Calibri"/>
                <w:color w:val="000000"/>
                <w:sz w:val="21"/>
                <w:szCs w:val="21"/>
              </w:rPr>
              <w:t xml:space="preserve">10%</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8.0</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6.0</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5.5</w:t>
            </w:r>
          </w:p>
        </w:tc>
        <w:tc>
          <w:tcPr>
            <w:tcW w:type="pct" w:w="20%"/>
            <w:shd w:fill="EDF3F5" w:val="clear"/>
            <w:tcMar>
              <w:top w:type="dxa" w:w="60"/>
              <w:left w:type="dxa" w:w="120"/>
              <w:bottom w:type="dxa" w:w="60"/>
              <w:right w:type="dxa" w:w="120"/>
            </w:tcMar>
          </w:tcPr>
          <w:p>
            <w:pPr>
              <w:spacing w:line="280"/>
            </w:pPr>
            <w:r>
              <w:rPr>
                <w:rFonts w:ascii="Calibri"/>
                <w:color w:val="000000"/>
                <w:sz w:val="21"/>
                <w:szCs w:val="21"/>
              </w:rPr>
              <w:t xml:space="preserve">-2.5</w:t>
            </w:r>
          </w:p>
        </w:tc>
      </w:tr>
      <w:tr>
        <w:trPr>
          <w:cantSplit/>
        </w:trPr>
        <w:tc>
          <w:tcPr>
            <w:tcW w:type="pct" w:w="30%"/>
            <w:tcMar>
              <w:top w:type="dxa" w:w="60"/>
              <w:left w:type="dxa" w:w="120"/>
              <w:bottom w:type="dxa" w:w="60"/>
              <w:right w:type="dxa" w:w="120"/>
            </w:tcMar>
          </w:tcPr>
          <w:p>
            <w:pPr>
              <w:spacing w:line="280"/>
            </w:pPr>
            <w:r>
              <w:rPr>
                <w:rFonts w:ascii="Calibri"/>
                <w:color w:val="000000"/>
                <w:sz w:val="21"/>
                <w:szCs w:val="21"/>
              </w:rPr>
              <w:t xml:space="preserve">Code Hygiene</w:t>
            </w:r>
          </w:p>
        </w:tc>
        <w:tc>
          <w:tcPr>
            <w:tcW w:type="pct" w:w="10%"/>
            <w:tcMar>
              <w:top w:type="dxa" w:w="60"/>
              <w:left w:type="dxa" w:w="120"/>
              <w:bottom w:type="dxa" w:w="60"/>
              <w:right w:type="dxa" w:w="120"/>
            </w:tcMar>
          </w:tcPr>
          <w:p>
            <w:pPr>
              <w:spacing w:line="280"/>
            </w:pPr>
            <w:r>
              <w:rPr>
                <w:rFonts w:ascii="Calibri"/>
                <w:color w:val="000000"/>
                <w:sz w:val="21"/>
                <w:szCs w:val="21"/>
              </w:rPr>
              <w:t xml:space="preserve">5%</w:t>
            </w:r>
          </w:p>
        </w:tc>
        <w:tc>
          <w:tcPr>
            <w:tcW w:type="pct" w:w="12%"/>
            <w:tcMar>
              <w:top w:type="dxa" w:w="60"/>
              <w:left w:type="dxa" w:w="120"/>
              <w:bottom w:type="dxa" w:w="60"/>
              <w:right w:type="dxa" w:w="120"/>
            </w:tcMar>
          </w:tcPr>
          <w:p>
            <w:pPr>
              <w:spacing w:line="280"/>
            </w:pPr>
            <w:r>
              <w:rPr>
                <w:rFonts w:ascii="Calibri"/>
                <w:color w:val="000000"/>
                <w:sz w:val="21"/>
                <w:szCs w:val="21"/>
              </w:rPr>
              <w:t xml:space="preserve">4.0</w:t>
            </w:r>
          </w:p>
        </w:tc>
        <w:tc>
          <w:tcPr>
            <w:tcW w:type="pct" w:w="14%"/>
            <w:tcMar>
              <w:top w:type="dxa" w:w="60"/>
              <w:left w:type="dxa" w:w="120"/>
              <w:bottom w:type="dxa" w:w="60"/>
              <w:right w:type="dxa" w:w="120"/>
            </w:tcMar>
          </w:tcPr>
          <w:p>
            <w:pPr>
              <w:spacing w:line="280"/>
            </w:pPr>
            <w:r>
              <w:rPr>
                <w:rFonts w:ascii="Calibri"/>
                <w:color w:val="000000"/>
                <w:sz w:val="21"/>
                <w:szCs w:val="21"/>
              </w:rPr>
              <w:t xml:space="preserve">6.0</w:t>
            </w:r>
          </w:p>
        </w:tc>
        <w:tc>
          <w:tcPr>
            <w:tcW w:type="pct" w:w="14%"/>
            <w:tcMar>
              <w:top w:type="dxa" w:w="60"/>
              <w:left w:type="dxa" w:w="120"/>
              <w:bottom w:type="dxa" w:w="60"/>
              <w:right w:type="dxa" w:w="120"/>
            </w:tcMar>
          </w:tcPr>
          <w:p>
            <w:pPr>
              <w:spacing w:line="280"/>
            </w:pPr>
            <w:r>
              <w:rPr>
                <w:rFonts w:ascii="Calibri"/>
                <w:color w:val="000000"/>
                <w:sz w:val="21"/>
                <w:szCs w:val="21"/>
              </w:rPr>
              <w:t xml:space="preserve">9.0</w:t>
            </w:r>
          </w:p>
        </w:tc>
        <w:tc>
          <w:tcPr>
            <w:tcW w:type="pct" w:w="20%"/>
            <w:tcMar>
              <w:top w:type="dxa" w:w="60"/>
              <w:left w:type="dxa" w:w="120"/>
              <w:bottom w:type="dxa" w:w="60"/>
              <w:right w:type="dxa" w:w="120"/>
            </w:tcMar>
          </w:tcPr>
          <w:p>
            <w:pPr>
              <w:spacing w:line="280"/>
            </w:pPr>
            <w:r>
              <w:rPr>
                <w:rFonts w:ascii="Calibri"/>
                <w:color w:val="000000"/>
                <w:sz w:val="21"/>
                <w:szCs w:val="21"/>
              </w:rPr>
              <w:t xml:space="preserve">+5.0</w:t>
            </w:r>
          </w:p>
        </w:tc>
      </w:tr>
      <w:tr>
        <w:trPr>
          <w:cantSplit/>
        </w:trPr>
        <w:tc>
          <w:tcPr>
            <w:tcW w:type="pct" w:w="30%"/>
            <w:shd w:fill="EDF3F5" w:val="clear"/>
            <w:tcMar>
              <w:top w:type="dxa" w:w="60"/>
              <w:left w:type="dxa" w:w="120"/>
              <w:bottom w:type="dxa" w:w="60"/>
              <w:right w:type="dxa" w:w="120"/>
            </w:tcMar>
          </w:tcPr>
          <w:p>
            <w:pPr>
              <w:spacing w:line="280"/>
            </w:pPr>
            <w:r>
              <w:rPr>
                <w:rFonts w:ascii="Calibri"/>
                <w:color w:val="000000"/>
                <w:sz w:val="21"/>
                <w:szCs w:val="21"/>
              </w:rPr>
              <w:t xml:space="preserve">Weighted Total</w:t>
            </w:r>
          </w:p>
        </w:tc>
        <w:tc>
          <w:tcPr>
            <w:tcW w:type="pct" w:w="10%"/>
            <w:shd w:fill="EDF3F5" w:val="clear"/>
            <w:tcMar>
              <w:top w:type="dxa" w:w="60"/>
              <w:left w:type="dxa" w:w="120"/>
              <w:bottom w:type="dxa" w:w="60"/>
              <w:right w:type="dxa" w:w="120"/>
            </w:tcMar>
          </w:tcPr>
          <w:p>
            <w:pPr>
              <w:spacing w:line="280"/>
            </w:pPr>
            <w:r>
              <w:rPr>
                <w:rFonts w:ascii="Calibri"/>
                <w:color w:val="000000"/>
                <w:sz w:val="21"/>
                <w:szCs w:val="21"/>
              </w:rPr>
              <w:t xml:space="preserve">100%</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5.8</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7.0</w:t>
            </w:r>
          </w:p>
        </w:tc>
        <w:tc>
          <w:tcPr>
            <w:tcW w:type="pct" w:w="14%"/>
            <w:shd w:fill="EDF3F5" w:val="clear"/>
            <w:tcMar>
              <w:top w:type="dxa" w:w="60"/>
              <w:left w:type="dxa" w:w="120"/>
              <w:bottom w:type="dxa" w:w="60"/>
              <w:right w:type="dxa" w:w="120"/>
            </w:tcMar>
          </w:tcPr>
          <w:p>
            <w:pPr>
              <w:spacing w:line="280"/>
            </w:pPr>
            <w:r>
              <w:rPr>
                <w:rFonts w:ascii="Calibri"/>
                <w:color w:val="000000"/>
                <w:sz w:val="21"/>
                <w:szCs w:val="21"/>
              </w:rPr>
              <w:t xml:space="preserve">8.3</w:t>
            </w:r>
          </w:p>
        </w:tc>
        <w:tc>
          <w:tcPr>
            <w:tcW w:type="pct" w:w="20%"/>
            <w:shd w:fill="EDF3F5" w:val="clear"/>
            <w:tcMar>
              <w:top w:type="dxa" w:w="60"/>
              <w:left w:type="dxa" w:w="120"/>
              <w:bottom w:type="dxa" w:w="60"/>
              <w:right w:type="dxa" w:w="120"/>
            </w:tcMar>
          </w:tcPr>
          <w:p>
            <w:pPr>
              <w:spacing w:line="280"/>
            </w:pPr>
            <w:r>
              <w:rPr>
                <w:rFonts w:ascii="Calibri"/>
                <w:color w:val="000000"/>
                <w:sz w:val="21"/>
                <w:szCs w:val="21"/>
              </w:rPr>
              <w:t xml:space="preserve">+2.5</w:t>
            </w:r>
          </w:p>
        </w:tc>
      </w:tr>
    </w:tbl>
    <w:p>
      <w:pPr>
        <w:spacing w:line="312"/>
      </w:pPr>
    </w:p>
    <w:p>
      <w:pPr>
        <w:spacing w:after="120" w:line="312"/>
        <w:jc w:val="left"/>
      </w:pPr>
      <w:r>
        <w:rPr>
          <w:rFonts w:ascii="Calibri" w:eastAsia="Microsoft YaHei"/>
          <w:color w:val="000000"/>
          <w:sz w:val="24"/>
          <w:szCs w:val="24"/>
        </w:rPr>
        <w:t xml:space="preserve">The initial score of 9.5/10 (from the Phase 3A adversarial audit) was based on a pre-audit assumption that proved incorrect once systematic code review was performed. The honest baseline was closer to 5.8/10 when all domains were properly evaluated. The Infrastructure score decreased as npm audit vulnerabilities were quantified more rigorously in later phases. The Input Validation score slightly decreased after a more thorough review identified additional surface area in webhook payload parsing.</w:t>
      </w:r>
    </w:p>
    <w:p>
      <w:pPr>
        <w:spacing w:after="120" w:line="312"/>
        <w:jc w:val="left"/>
      </w:pPr>
      <w:r>
        <w:rPr>
          <w:rFonts w:ascii="Calibri" w:eastAsia="Microsoft YaHei"/>
          <w:color w:val="000000"/>
          <w:sz w:val="24"/>
          <w:szCs w:val="24"/>
        </w:rPr>
        <w:t xml:space="preserve">The final score of 8.3/10 reflects a system that has addressed all high-severity, low-effort vulnerabilities within its architectural constraints. The remaining gap to a perfect score is attributable to dependency-level issues (xlsx Prototype Pollution, @xenova/transformers CVEs) that require breaking changes, and architectural limitations (in-memory rate limiting, proxy-layer token-only validation) that are acceptable for a single-instance deployment.</w:t>
      </w:r>
    </w:p>
    <w:p>
      <w:pPr>
        <w:pStyle w:val="Heading1"/>
        <w:keepNext/>
        <w:spacing w:after="120" w:before="360" w:line="312"/>
      </w:pPr>
      <w:bookmarkStart w:id="100008" w:name="_Toc100008"/>
      <w:r>
        <w:rPr>
          <w:rFonts w:ascii="Calibri" w:eastAsia="SimHei"/>
          <w:b/>
          <w:bCs/>
          <w:color w:val="0F2027"/>
          <w:sz w:val="32"/>
          <w:szCs w:val="32"/>
        </w:rPr>
        <w:t xml:space="preserve">5. Test Coverage Improvement</w:t>
      </w:r>
      <w:bookmarkEnd w:id="100008"/>
    </w:p>
    <w:p>
      <w:pPr>
        <w:spacing w:after="120" w:line="312"/>
        <w:jc w:val="left"/>
      </w:pPr>
      <w:r>
        <w:rPr>
          <w:rFonts w:ascii="Calibri" w:eastAsia="Microsoft YaHei"/>
          <w:color w:val="000000"/>
          <w:sz w:val="24"/>
          <w:szCs w:val="24"/>
        </w:rPr>
        <w:t xml:space="preserve">Security regression tests were added incrementally at each phase, resulting in a dedicated security test suite that covers authentication blocking, admin route protection, audit logging behavior, RBAC cleanup verification, and critical input path validation. The test suite uses Vitest with vi.hoisted() mock elevation to ensure proper mock function resolution in the test environment.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35%"/>
            <w:shd w:fill="1B6B7A" w:val="clear"/>
            <w:tcMar>
              <w:top w:type="dxa" w:w="60"/>
              <w:left w:type="dxa" w:w="120"/>
              <w:bottom w:type="dxa" w:w="60"/>
              <w:right w:type="dxa" w:w="120"/>
            </w:tcMar>
          </w:tcPr>
          <w:p>
            <w:pPr>
              <w:jc w:val="center"/>
            </w:pPr>
            <w:r>
              <w:rPr>
                <w:rFonts w:ascii="Calibri"/>
                <w:b/>
                <w:bCs/>
                <w:color w:val="FFFFFF"/>
                <w:sz w:val="21"/>
                <w:szCs w:val="21"/>
              </w:rPr>
              <w:t xml:space="preserve">Test File</w:t>
            </w:r>
          </w:p>
        </w:tc>
        <w:tc>
          <w:tcPr>
            <w:tcW w:type="pct" w:w="8%"/>
            <w:shd w:fill="1B6B7A" w:val="clear"/>
            <w:tcMar>
              <w:top w:type="dxa" w:w="60"/>
              <w:left w:type="dxa" w:w="120"/>
              <w:bottom w:type="dxa" w:w="60"/>
              <w:right w:type="dxa" w:w="120"/>
            </w:tcMar>
          </w:tcPr>
          <w:p>
            <w:pPr>
              <w:jc w:val="center"/>
            </w:pPr>
            <w:r>
              <w:rPr>
                <w:rFonts w:ascii="Calibri"/>
                <w:b/>
                <w:bCs/>
                <w:color w:val="FFFFFF"/>
                <w:sz w:val="21"/>
                <w:szCs w:val="21"/>
              </w:rPr>
              <w:t xml:space="preserve">Tests</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Phase</w:t>
            </w:r>
          </w:p>
        </w:tc>
        <w:tc>
          <w:tcPr>
            <w:tcW w:type="pct" w:w="45%"/>
            <w:shd w:fill="1B6B7A" w:val="clear"/>
            <w:tcMar>
              <w:top w:type="dxa" w:w="60"/>
              <w:left w:type="dxa" w:w="120"/>
              <w:bottom w:type="dxa" w:w="60"/>
              <w:right w:type="dxa" w:w="120"/>
            </w:tcMar>
          </w:tcPr>
          <w:p>
            <w:pPr>
              <w:jc w:val="center"/>
            </w:pPr>
            <w:r>
              <w:rPr>
                <w:rFonts w:ascii="Calibri"/>
                <w:b/>
                <w:bCs/>
                <w:color w:val="FFFFFF"/>
                <w:sz w:val="21"/>
                <w:szCs w:val="21"/>
              </w:rPr>
              <w:t xml:space="preserve">Coverage</w:t>
            </w:r>
          </w:p>
        </w:tc>
      </w:tr>
      <w:tr>
        <w:trPr>
          <w:cantSplit/>
        </w:trPr>
        <w:tc>
          <w:tcPr>
            <w:tcW w:type="pct" w:w="35%"/>
            <w:tcMar>
              <w:top w:type="dxa" w:w="60"/>
              <w:left w:type="dxa" w:w="120"/>
              <w:bottom w:type="dxa" w:w="60"/>
              <w:right w:type="dxa" w:w="120"/>
            </w:tcMar>
          </w:tcPr>
          <w:p>
            <w:pPr>
              <w:spacing w:line="280"/>
            </w:pPr>
            <w:r>
              <w:rPr>
                <w:rFonts w:ascii="Calibri"/>
                <w:color w:val="000000"/>
                <w:sz w:val="21"/>
                <w:szCs w:val="21"/>
              </w:rPr>
              <w:t xml:space="preserve">security-auth-blocking.test.ts</w:t>
            </w:r>
          </w:p>
        </w:tc>
        <w:tc>
          <w:tcPr>
            <w:tcW w:type="pct" w:w="8%"/>
            <w:tcMar>
              <w:top w:type="dxa" w:w="60"/>
              <w:left w:type="dxa" w:w="120"/>
              <w:bottom w:type="dxa" w:w="60"/>
              <w:right w:type="dxa" w:w="120"/>
            </w:tcMar>
          </w:tcPr>
          <w:p>
            <w:pPr>
              <w:spacing w:line="280"/>
            </w:pPr>
            <w:r>
              <w:rPr>
                <w:rFonts w:ascii="Calibri"/>
                <w:color w:val="000000"/>
                <w:sz w:val="21"/>
                <w:szCs w:val="21"/>
              </w:rPr>
              <w:t xml:space="preserve">5</w:t>
            </w:r>
          </w:p>
        </w:tc>
        <w:tc>
          <w:tcPr>
            <w:tcW w:type="pct" w:w="12%"/>
            <w:tcMar>
              <w:top w:type="dxa" w:w="60"/>
              <w:left w:type="dxa" w:w="120"/>
              <w:bottom w:type="dxa" w:w="60"/>
              <w:right w:type="dxa" w:w="120"/>
            </w:tcMar>
          </w:tcPr>
          <w:p>
            <w:pPr>
              <w:spacing w:line="280"/>
            </w:pPr>
            <w:r>
              <w:rPr>
                <w:rFonts w:ascii="Calibri"/>
                <w:color w:val="000000"/>
                <w:sz w:val="21"/>
                <w:szCs w:val="21"/>
              </w:rPr>
              <w:t xml:space="preserve">Phase 2</w:t>
            </w:r>
          </w:p>
        </w:tc>
        <w:tc>
          <w:tcPr>
            <w:tcW w:type="pct" w:w="45%"/>
            <w:tcMar>
              <w:top w:type="dxa" w:w="60"/>
              <w:left w:type="dxa" w:w="120"/>
              <w:bottom w:type="dxa" w:w="60"/>
              <w:right w:type="dxa" w:w="120"/>
            </w:tcMar>
          </w:tcPr>
          <w:p>
            <w:pPr>
              <w:spacing w:line="280"/>
            </w:pPr>
            <w:r>
              <w:rPr>
                <w:rFonts w:ascii="Calibri"/>
                <w:color w:val="000000"/>
                <w:sz w:val="21"/>
                <w:szCs w:val="21"/>
              </w:rPr>
              <w:t xml:space="preserve">Auth middleware blocking unauthenticated requests</w:t>
            </w:r>
          </w:p>
        </w:tc>
      </w:tr>
      <w:tr>
        <w:trPr>
          <w:cantSplit/>
        </w:trPr>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security-admin-routes.test.ts</w:t>
            </w:r>
          </w:p>
        </w:tc>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5</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Phase 2</w:t>
            </w:r>
          </w:p>
        </w:tc>
        <w:tc>
          <w:tcPr>
            <w:tcW w:type="pct" w:w="45%"/>
            <w:shd w:fill="EDF3F5" w:val="clear"/>
            <w:tcMar>
              <w:top w:type="dxa" w:w="60"/>
              <w:left w:type="dxa" w:w="120"/>
              <w:bottom w:type="dxa" w:w="60"/>
              <w:right w:type="dxa" w:w="120"/>
            </w:tcMar>
          </w:tcPr>
          <w:p>
            <w:pPr>
              <w:spacing w:line="280"/>
            </w:pPr>
            <w:r>
              <w:rPr>
                <w:rFonts w:ascii="Calibri"/>
                <w:color w:val="000000"/>
                <w:sz w:val="21"/>
                <w:szCs w:val="21"/>
              </w:rPr>
              <w:t xml:space="preserve">Admin route requireAdminRole enforcement</w:t>
            </w:r>
          </w:p>
        </w:tc>
      </w:tr>
      <w:tr>
        <w:trPr>
          <w:cantSplit/>
        </w:trPr>
        <w:tc>
          <w:tcPr>
            <w:tcW w:type="pct" w:w="35%"/>
            <w:tcMar>
              <w:top w:type="dxa" w:w="60"/>
              <w:left w:type="dxa" w:w="120"/>
              <w:bottom w:type="dxa" w:w="60"/>
              <w:right w:type="dxa" w:w="120"/>
            </w:tcMar>
          </w:tcPr>
          <w:p>
            <w:pPr>
              <w:spacing w:line="280"/>
            </w:pPr>
            <w:r>
              <w:rPr>
                <w:rFonts w:ascii="Calibri"/>
                <w:color w:val="000000"/>
                <w:sz w:val="21"/>
                <w:szCs w:val="21"/>
              </w:rPr>
              <w:t xml:space="preserve">security-auth.test.ts</w:t>
            </w:r>
          </w:p>
        </w:tc>
        <w:tc>
          <w:tcPr>
            <w:tcW w:type="pct" w:w="8%"/>
            <w:tcMar>
              <w:top w:type="dxa" w:w="60"/>
              <w:left w:type="dxa" w:w="120"/>
              <w:bottom w:type="dxa" w:w="60"/>
              <w:right w:type="dxa" w:w="120"/>
            </w:tcMar>
          </w:tcPr>
          <w:p>
            <w:pPr>
              <w:spacing w:line="280"/>
            </w:pPr>
            <w:r>
              <w:rPr>
                <w:rFonts w:ascii="Calibri"/>
                <w:color w:val="000000"/>
                <w:sz w:val="21"/>
                <w:szCs w:val="21"/>
              </w:rPr>
              <w:t xml:space="preserve">15</w:t>
            </w:r>
          </w:p>
        </w:tc>
        <w:tc>
          <w:tcPr>
            <w:tcW w:type="pct" w:w="12%"/>
            <w:tcMar>
              <w:top w:type="dxa" w:w="60"/>
              <w:left w:type="dxa" w:w="120"/>
              <w:bottom w:type="dxa" w:w="60"/>
              <w:right w:type="dxa" w:w="120"/>
            </w:tcMar>
          </w:tcPr>
          <w:p>
            <w:pPr>
              <w:spacing w:line="280"/>
            </w:pPr>
            <w:r>
              <w:rPr>
                <w:rFonts w:ascii="Calibri"/>
                <w:color w:val="000000"/>
                <w:sz w:val="21"/>
                <w:szCs w:val="21"/>
              </w:rPr>
              <w:t xml:space="preserve">Phase 2</w:t>
            </w:r>
          </w:p>
        </w:tc>
        <w:tc>
          <w:tcPr>
            <w:tcW w:type="pct" w:w="45%"/>
            <w:tcMar>
              <w:top w:type="dxa" w:w="60"/>
              <w:left w:type="dxa" w:w="120"/>
              <w:bottom w:type="dxa" w:w="60"/>
              <w:right w:type="dxa" w:w="120"/>
            </w:tcMar>
          </w:tcPr>
          <w:p>
            <w:pPr>
              <w:spacing w:line="280"/>
            </w:pPr>
            <w:r>
              <w:rPr>
                <w:rFonts w:ascii="Calibri"/>
                <w:color w:val="000000"/>
                <w:sz w:val="21"/>
                <w:szCs w:val="21"/>
              </w:rPr>
              <w:t xml:space="preserve">Full authentication flow validation</w:t>
            </w:r>
          </w:p>
        </w:tc>
      </w:tr>
      <w:tr>
        <w:trPr>
          <w:cantSplit/>
        </w:trPr>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security-phase3a-audit-fixes.test.ts</w:t>
            </w:r>
          </w:p>
        </w:tc>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10</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Phase 3A</w:t>
            </w:r>
          </w:p>
        </w:tc>
        <w:tc>
          <w:tcPr>
            <w:tcW w:type="pct" w:w="45%"/>
            <w:shd w:fill="EDF3F5" w:val="clear"/>
            <w:tcMar>
              <w:top w:type="dxa" w:w="60"/>
              <w:left w:type="dxa" w:w="120"/>
              <w:bottom w:type="dxa" w:w="60"/>
              <w:right w:type="dxa" w:w="120"/>
            </w:tcMar>
          </w:tcPr>
          <w:p>
            <w:pPr>
              <w:spacing w:line="280"/>
            </w:pPr>
            <w:r>
              <w:rPr>
                <w:rFonts w:ascii="Calibri"/>
                <w:color w:val="000000"/>
                <w:sz w:val="21"/>
                <w:szCs w:val="21"/>
              </w:rPr>
              <w:t xml:space="preserve">Audit log userId, export fixes, rate limits</w:t>
            </w:r>
          </w:p>
        </w:tc>
      </w:tr>
      <w:tr>
        <w:trPr>
          <w:cantSplit/>
        </w:trPr>
        <w:tc>
          <w:tcPr>
            <w:tcW w:type="pct" w:w="35%"/>
            <w:tcMar>
              <w:top w:type="dxa" w:w="60"/>
              <w:left w:type="dxa" w:w="120"/>
              <w:bottom w:type="dxa" w:w="60"/>
              <w:right w:type="dxa" w:w="120"/>
            </w:tcMar>
          </w:tcPr>
          <w:p>
            <w:pPr>
              <w:spacing w:line="280"/>
            </w:pPr>
            <w:r>
              <w:rPr>
                <w:rFonts w:ascii="Calibri"/>
                <w:color w:val="000000"/>
                <w:sz w:val="21"/>
                <w:szCs w:val="21"/>
              </w:rPr>
              <w:t xml:space="preserve">security-phase3b-hygiene.test.ts</w:t>
            </w:r>
          </w:p>
        </w:tc>
        <w:tc>
          <w:tcPr>
            <w:tcW w:type="pct" w:w="8%"/>
            <w:tcMar>
              <w:top w:type="dxa" w:w="60"/>
              <w:left w:type="dxa" w:w="120"/>
              <w:bottom w:type="dxa" w:w="60"/>
              <w:right w:type="dxa" w:w="120"/>
            </w:tcMar>
          </w:tcPr>
          <w:p>
            <w:pPr>
              <w:spacing w:line="280"/>
            </w:pPr>
            <w:r>
              <w:rPr>
                <w:rFonts w:ascii="Calibri"/>
                <w:color w:val="000000"/>
                <w:sz w:val="21"/>
                <w:szCs w:val="21"/>
              </w:rPr>
              <w:t xml:space="preserve">~15</w:t>
            </w:r>
          </w:p>
        </w:tc>
        <w:tc>
          <w:tcPr>
            <w:tcW w:type="pct" w:w="12%"/>
            <w:tcMar>
              <w:top w:type="dxa" w:w="60"/>
              <w:left w:type="dxa" w:w="120"/>
              <w:bottom w:type="dxa" w:w="60"/>
              <w:right w:type="dxa" w:w="120"/>
            </w:tcMar>
          </w:tcPr>
          <w:p>
            <w:pPr>
              <w:spacing w:line="280"/>
            </w:pPr>
            <w:r>
              <w:rPr>
                <w:rFonts w:ascii="Calibri"/>
                <w:color w:val="000000"/>
                <w:sz w:val="21"/>
                <w:szCs w:val="21"/>
              </w:rPr>
              <w:t xml:space="preserve">Phase 3B</w:t>
            </w:r>
          </w:p>
        </w:tc>
        <w:tc>
          <w:tcPr>
            <w:tcW w:type="pct" w:w="45%"/>
            <w:tcMar>
              <w:top w:type="dxa" w:w="60"/>
              <w:left w:type="dxa" w:w="120"/>
              <w:bottom w:type="dxa" w:w="60"/>
              <w:right w:type="dxa" w:w="120"/>
            </w:tcMar>
          </w:tcPr>
          <w:p>
            <w:pPr>
              <w:spacing w:line="280"/>
            </w:pPr>
            <w:r>
              <w:rPr>
                <w:rFonts w:ascii="Calibri"/>
                <w:color w:val="000000"/>
                <w:sz w:val="21"/>
                <w:szCs w:val="21"/>
              </w:rPr>
              <w:t xml:space="preserve">Dead code removal, RBAC cleanup, validator fixes</w:t>
            </w:r>
          </w:p>
        </w:tc>
      </w:tr>
      <w:tr>
        <w:trPr>
          <w:cantSplit/>
        </w:trPr>
        <w:tc>
          <w:tcPr>
            <w:tcW w:type="pct" w:w="35%"/>
            <w:shd w:fill="EDF3F5" w:val="clear"/>
            <w:tcMar>
              <w:top w:type="dxa" w:w="60"/>
              <w:left w:type="dxa" w:w="120"/>
              <w:bottom w:type="dxa" w:w="60"/>
              <w:right w:type="dxa" w:w="120"/>
            </w:tcMar>
          </w:tcPr>
          <w:p>
            <w:pPr>
              <w:spacing w:line="280"/>
            </w:pPr>
            <w:r>
              <w:rPr>
                <w:rFonts w:ascii="Calibri"/>
                <w:color w:val="000000"/>
                <w:sz w:val="21"/>
                <w:szCs w:val="21"/>
              </w:rPr>
              <w:t xml:space="preserve">security-phase4-critical-input-path.test.ts</w:t>
            </w:r>
          </w:p>
        </w:tc>
        <w:tc>
          <w:tcPr>
            <w:tcW w:type="pct" w:w="8%"/>
            <w:shd w:fill="EDF3F5" w:val="clear"/>
            <w:tcMar>
              <w:top w:type="dxa" w:w="60"/>
              <w:left w:type="dxa" w:w="120"/>
              <w:bottom w:type="dxa" w:w="60"/>
              <w:right w:type="dxa" w:w="120"/>
            </w:tcMar>
          </w:tcPr>
          <w:p>
            <w:pPr>
              <w:spacing w:line="280"/>
            </w:pPr>
            <w:r>
              <w:rPr>
                <w:rFonts w:ascii="Calibri"/>
                <w:color w:val="000000"/>
                <w:sz w:val="21"/>
                <w:szCs w:val="21"/>
              </w:rPr>
              <w:t xml:space="preserve">26</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Phase 4</w:t>
            </w:r>
          </w:p>
        </w:tc>
        <w:tc>
          <w:tcPr>
            <w:tcW w:type="pct" w:w="45%"/>
            <w:shd w:fill="EDF3F5" w:val="clear"/>
            <w:tcMar>
              <w:top w:type="dxa" w:w="60"/>
              <w:left w:type="dxa" w:w="120"/>
              <w:bottom w:type="dxa" w:w="60"/>
              <w:right w:type="dxa" w:w="120"/>
            </w:tcMar>
          </w:tcPr>
          <w:p>
            <w:pPr>
              <w:spacing w:line="280"/>
            </w:pPr>
            <w:r>
              <w:rPr>
                <w:rFonts w:ascii="Calibri"/>
                <w:color w:val="000000"/>
                <w:sz w:val="21"/>
                <w:szCs w:val="21"/>
              </w:rPr>
              <w:t xml:space="preserve">Register guard, webhook fail-closed, timing-safe, dev OTP, RBAC/rate-limit deletion</w:t>
            </w:r>
          </w:p>
        </w:tc>
      </w:tr>
    </w:tbl>
    <w:p>
      <w:pPr>
        <w:spacing w:line="312"/>
      </w:pPr>
    </w:p>
    <w:p>
      <w:pPr>
        <w:spacing w:after="120" w:line="312"/>
        <w:jc w:val="left"/>
      </w:pPr>
      <w:r>
        <w:rPr>
          <w:rFonts w:ascii="Calibri" w:eastAsia="Microsoft YaHei"/>
          <w:color w:val="000000"/>
          <w:sz w:val="24"/>
          <w:szCs w:val="24"/>
        </w:rPr>
        <w:t xml:space="preserve">Total security-specific tests: approximately 76 tests across 6 dedicated test files. The broader test suite grew from approximately 1,777 tests at the start of Phase 2 to 1,868 tests at the completion of Phase 4, representing a net addition of 91 tests. Zero test regressions were introduced across all phases, verified by running the complete test suite after each change.</w:t>
      </w:r>
    </w:p>
    <w:p>
      <w:pPr>
        <w:pStyle w:val="Heading1"/>
        <w:keepNext/>
        <w:spacing w:after="120" w:before="360" w:line="312"/>
      </w:pPr>
      <w:bookmarkStart w:id="100009" w:name="_Toc100009"/>
      <w:r>
        <w:rPr>
          <w:rFonts w:ascii="Calibri" w:eastAsia="SimHei"/>
          <w:b/>
          <w:bCs/>
          <w:color w:val="0F2027"/>
          <w:sz w:val="32"/>
          <w:szCs w:val="32"/>
        </w:rPr>
        <w:t xml:space="preserve">6. Deferred Risks and Rationale</w:t>
      </w:r>
      <w:bookmarkEnd w:id="100009"/>
    </w:p>
    <w:p>
      <w:pPr>
        <w:spacing w:after="120" w:line="312"/>
        <w:jc w:val="left"/>
      </w:pPr>
      <w:r>
        <w:rPr>
          <w:rFonts w:ascii="Calibri" w:eastAsia="Microsoft YaHei"/>
          <w:color w:val="000000"/>
          <w:sz w:val="24"/>
          <w:szCs w:val="24"/>
        </w:rPr>
        <w:t xml:space="preserve">The following risks were identified during the audit but explicitly deferred because they either require architectural changes incompatible with the single-tenant deployment model, involve breaking dependency upgrades, or have low exploitability in the current operating context. These items should be revisited if the deployment model changes (multi-user, multi-instance, or external file upload support).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pPr>
              <w:jc w:val="center"/>
            </w:pPr>
            <w:r>
              <w:rPr>
                <w:rFonts w:ascii="Calibri"/>
                <w:b/>
                <w:bCs/>
                <w:color w:val="FFFFFF"/>
                <w:sz w:val="21"/>
                <w:szCs w:val="21"/>
              </w:rPr>
              <w:t xml:space="preserve">Risk</w:t>
            </w:r>
          </w:p>
        </w:tc>
        <w:tc>
          <w:tcPr>
            <w:tcW w:type="pct" w:w="12%"/>
            <w:shd w:fill="1B6B7A" w:val="clear"/>
            <w:tcMar>
              <w:top w:type="dxa" w:w="60"/>
              <w:left w:type="dxa" w:w="120"/>
              <w:bottom w:type="dxa" w:w="60"/>
              <w:right w:type="dxa" w:w="120"/>
            </w:tcMar>
          </w:tcPr>
          <w:p>
            <w:pPr>
              <w:jc w:val="center"/>
            </w:pPr>
            <w:r>
              <w:rPr>
                <w:rFonts w:ascii="Calibri"/>
                <w:b/>
                <w:bCs/>
                <w:color w:val="FFFFFF"/>
                <w:sz w:val="21"/>
                <w:szCs w:val="21"/>
              </w:rPr>
              <w:t xml:space="preserve">Severity</w:t>
            </w:r>
          </w:p>
        </w:tc>
        <w:tc>
          <w:tcPr>
            <w:tcW w:type="pct" w:w="63%"/>
            <w:shd w:fill="1B6B7A" w:val="clear"/>
            <w:tcMar>
              <w:top w:type="dxa" w:w="60"/>
              <w:left w:type="dxa" w:w="120"/>
              <w:bottom w:type="dxa" w:w="60"/>
              <w:right w:type="dxa" w:w="120"/>
            </w:tcMar>
          </w:tcPr>
          <w:p>
            <w:pPr>
              <w:jc w:val="center"/>
            </w:pPr>
            <w:r>
              <w:rPr>
                <w:rFonts w:ascii="Calibri"/>
                <w:b/>
                <w:bCs/>
                <w:color w:val="FFFFFF"/>
                <w:sz w:val="21"/>
                <w:szCs w:val="21"/>
              </w:rPr>
              <w:t xml:space="preserve">Rationale for Deferral</w:t>
            </w:r>
          </w:p>
        </w:tc>
      </w:tr>
      <w:tr>
        <w:trPr>
          <w:cantSplit/>
        </w:trPr>
        <w:tc>
          <w:tcPr>
            <w:tcW w:type="pct" w:w="25%"/>
            <w:tcMar>
              <w:top w:type="dxa" w:w="60"/>
              <w:left w:type="dxa" w:w="120"/>
              <w:bottom w:type="dxa" w:w="60"/>
              <w:right w:type="dxa" w:w="120"/>
            </w:tcMar>
          </w:tcPr>
          <w:p>
            <w:pPr>
              <w:spacing w:line="280"/>
            </w:pPr>
            <w:r>
              <w:rPr>
                <w:rFonts w:ascii="Calibri"/>
                <w:color w:val="000000"/>
                <w:sz w:val="21"/>
                <w:szCs w:val="21"/>
              </w:rPr>
              <w:t xml:space="preserve">xlsx Prototype Pollution (unfixable)</w:t>
            </w:r>
          </w:p>
        </w:tc>
        <w:tc>
          <w:tcPr>
            <w:tcW w:type="pct" w:w="12%"/>
            <w:tcMar>
              <w:top w:type="dxa" w:w="60"/>
              <w:left w:type="dxa" w:w="120"/>
              <w:bottom w:type="dxa" w:w="60"/>
              <w:right w:type="dxa" w:w="120"/>
            </w:tcMar>
          </w:tcPr>
          <w:p>
            <w:pPr>
              <w:spacing w:line="280"/>
            </w:pPr>
            <w:r>
              <w:rPr>
                <w:rFonts w:ascii="Calibri"/>
                <w:color w:val="000000"/>
                <w:sz w:val="21"/>
                <w:szCs w:val="21"/>
              </w:rPr>
              <w:t xml:space="preserve">HIGH</w:t>
            </w:r>
          </w:p>
        </w:tc>
        <w:tc>
          <w:tcPr>
            <w:tcW w:type="pct" w:w="63%"/>
            <w:tcMar>
              <w:top w:type="dxa" w:w="60"/>
              <w:left w:type="dxa" w:w="120"/>
              <w:bottom w:type="dxa" w:w="60"/>
              <w:right w:type="dxa" w:w="120"/>
            </w:tcMar>
          </w:tcPr>
          <w:p>
            <w:pPr>
              <w:spacing w:line="280"/>
            </w:pPr>
            <w:r>
              <w:rPr>
                <w:rFonts w:ascii="Calibri"/>
                <w:color w:val="000000"/>
                <w:sz w:val="21"/>
                <w:szCs w:val="21"/>
              </w:rPr>
              <w:t xml:space="preserve">Single-user system; only admin can upload files. No external upload surface. Mitigation: if multi-user support is added, migrate to ExcelJS first.</w:t>
            </w:r>
          </w:p>
        </w:tc>
      </w:tr>
      <w:tr>
        <w:trPr>
          <w:cantSplit/>
        </w:trPr>
        <w:tc>
          <w:tcPr>
            <w:tcW w:type="pct" w:w="25%"/>
            <w:shd w:fill="EDF3F5" w:val="clear"/>
            <w:tcMar>
              <w:top w:type="dxa" w:w="60"/>
              <w:left w:type="dxa" w:w="120"/>
              <w:bottom w:type="dxa" w:w="60"/>
              <w:right w:type="dxa" w:w="120"/>
            </w:tcMar>
          </w:tcPr>
          <w:p>
            <w:pPr>
              <w:spacing w:line="280"/>
            </w:pPr>
            <w:r>
              <w:rPr>
                <w:rFonts w:ascii="Calibri"/>
                <w:color w:val="000000"/>
                <w:sz w:val="21"/>
                <w:szCs w:val="21"/>
              </w:rPr>
              <w:t xml:space="preserve">@xenova/transformers 4 CVEs via sharp/onnxruntime-web</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HIGH</w:t>
            </w:r>
          </w:p>
        </w:tc>
        <w:tc>
          <w:tcPr>
            <w:tcW w:type="pct" w:w="63%"/>
            <w:shd w:fill="EDF3F5" w:val="clear"/>
            <w:tcMar>
              <w:top w:type="dxa" w:w="60"/>
              <w:left w:type="dxa" w:w="120"/>
              <w:bottom w:type="dxa" w:w="60"/>
              <w:right w:type="dxa" w:w="120"/>
            </w:tcMar>
          </w:tcPr>
          <w:p>
            <w:pPr>
              <w:spacing w:line="280"/>
            </w:pPr>
            <w:r>
              <w:rPr>
                <w:rFonts w:ascii="Calibri"/>
                <w:color w:val="000000"/>
                <w:sz w:val="21"/>
                <w:szCs w:val="21"/>
              </w:rPr>
              <w:t xml:space="preserve">Breaking upgrade to v1.4.2 required. No remote code execution surface. Mitigation: upgrade during next feature development cycle.</w:t>
            </w:r>
          </w:p>
        </w:tc>
      </w:tr>
      <w:tr>
        <w:trPr>
          <w:cantSplit/>
        </w:trPr>
        <w:tc>
          <w:tcPr>
            <w:tcW w:type="pct" w:w="25%"/>
            <w:tcMar>
              <w:top w:type="dxa" w:w="60"/>
              <w:left w:type="dxa" w:w="120"/>
              <w:bottom w:type="dxa" w:w="60"/>
              <w:right w:type="dxa" w:w="120"/>
            </w:tcMar>
          </w:tcPr>
          <w:p>
            <w:pPr>
              <w:spacing w:line="280"/>
            </w:pPr>
            <w:r>
              <w:rPr>
                <w:rFonts w:ascii="Calibri"/>
                <w:color w:val="000000"/>
                <w:sz w:val="21"/>
                <w:szCs w:val="21"/>
              </w:rPr>
              <w:t xml:space="preserve">Proxy validates token existence only, not DB validity</w:t>
            </w:r>
          </w:p>
        </w:tc>
        <w:tc>
          <w:tcPr>
            <w:tcW w:type="pct" w:w="12%"/>
            <w:tcMar>
              <w:top w:type="dxa" w:w="60"/>
              <w:left w:type="dxa" w:w="120"/>
              <w:bottom w:type="dxa" w:w="60"/>
              <w:right w:type="dxa" w:w="120"/>
            </w:tcMar>
          </w:tcPr>
          <w:p>
            <w:pPr>
              <w:spacing w:line="280"/>
            </w:pPr>
            <w:r>
              <w:rPr>
                <w:rFonts w:ascii="Calibri"/>
                <w:color w:val="000000"/>
                <w:sz w:val="21"/>
                <w:szCs w:val="21"/>
              </w:rPr>
              <w:t xml:space="preserve">MEDIUM</w:t>
            </w:r>
          </w:p>
        </w:tc>
        <w:tc>
          <w:tcPr>
            <w:tcW w:type="pct" w:w="63%"/>
            <w:tcMar>
              <w:top w:type="dxa" w:w="60"/>
              <w:left w:type="dxa" w:w="120"/>
              <w:bottom w:type="dxa" w:w="60"/>
              <w:right w:type="dxa" w:w="120"/>
            </w:tcMar>
          </w:tcPr>
          <w:p>
            <w:pPr>
              <w:spacing w:line="280"/>
            </w:pPr>
            <w:r>
              <w:rPr>
                <w:rFonts w:ascii="Calibri"/>
                <w:color w:val="000000"/>
                <w:sz w:val="21"/>
                <w:szCs w:val="21"/>
              </w:rPr>
              <w:t xml:space="preserve">Edge Runtime constraint prevents DB access in proxy. Route-level checkApiAuth compensates fully. No exploitable gap.</w:t>
            </w:r>
          </w:p>
        </w:tc>
      </w:tr>
      <w:tr>
        <w:trPr>
          <w:cantSplit/>
        </w:trPr>
        <w:tc>
          <w:tcPr>
            <w:tcW w:type="pct" w:w="25%"/>
            <w:shd w:fill="EDF3F5" w:val="clear"/>
            <w:tcMar>
              <w:top w:type="dxa" w:w="60"/>
              <w:left w:type="dxa" w:w="120"/>
              <w:bottom w:type="dxa" w:w="60"/>
              <w:right w:type="dxa" w:w="120"/>
            </w:tcMar>
          </w:tcPr>
          <w:p>
            <w:pPr>
              <w:spacing w:line="280"/>
            </w:pPr>
            <w:r>
              <w:rPr>
                <w:rFonts w:ascii="Calibri"/>
                <w:color w:val="000000"/>
                <w:sz w:val="21"/>
                <w:szCs w:val="21"/>
              </w:rPr>
              <w:t xml:space="preserve">In-memory rate limiting (per-instance)</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MEDIUM</w:t>
            </w:r>
          </w:p>
        </w:tc>
        <w:tc>
          <w:tcPr>
            <w:tcW w:type="pct" w:w="63%"/>
            <w:shd w:fill="EDF3F5" w:val="clear"/>
            <w:tcMar>
              <w:top w:type="dxa" w:w="60"/>
              <w:left w:type="dxa" w:w="120"/>
              <w:bottom w:type="dxa" w:w="60"/>
              <w:right w:type="dxa" w:w="120"/>
            </w:tcMar>
          </w:tcPr>
          <w:p>
            <w:pPr>
              <w:spacing w:line="280"/>
            </w:pPr>
            <w:r>
              <w:rPr>
                <w:rFonts w:ascii="Calibri"/>
                <w:color w:val="000000"/>
                <w:sz w:val="21"/>
                <w:szCs w:val="21"/>
              </w:rPr>
              <w:t xml:space="preserve">Adequate for single-instance deployment. Mitigation: if deploying to multiple serverless instances, migrate to Redis-backed store.</w:t>
            </w:r>
          </w:p>
        </w:tc>
      </w:tr>
      <w:tr>
        <w:trPr>
          <w:cantSplit/>
        </w:trPr>
        <w:tc>
          <w:tcPr>
            <w:tcW w:type="pct" w:w="25%"/>
            <w:tcMar>
              <w:top w:type="dxa" w:w="60"/>
              <w:left w:type="dxa" w:w="120"/>
              <w:bottom w:type="dxa" w:w="60"/>
              <w:right w:type="dxa" w:w="120"/>
            </w:tcMar>
          </w:tcPr>
          <w:p>
            <w:pPr>
              <w:spacing w:line="280"/>
            </w:pPr>
            <w:r>
              <w:rPr>
                <w:rFonts w:ascii="Calibri"/>
                <w:color w:val="000000"/>
                <w:sz w:val="21"/>
                <w:szCs w:val="21"/>
              </w:rPr>
              <w:t xml:space="preserve">CSP allows unsafe-inline and unsafe-eval</w:t>
            </w:r>
          </w:p>
        </w:tc>
        <w:tc>
          <w:tcPr>
            <w:tcW w:type="pct" w:w="12%"/>
            <w:tcMar>
              <w:top w:type="dxa" w:w="60"/>
              <w:left w:type="dxa" w:w="120"/>
              <w:bottom w:type="dxa" w:w="60"/>
              <w:right w:type="dxa" w:w="120"/>
            </w:tcMar>
          </w:tcPr>
          <w:p>
            <w:pPr>
              <w:spacing w:line="280"/>
            </w:pPr>
            <w:r>
              <w:rPr>
                <w:rFonts w:ascii="Calibri"/>
                <w:color w:val="000000"/>
                <w:sz w:val="21"/>
                <w:szCs w:val="21"/>
              </w:rPr>
              <w:t xml:space="preserve">MEDIUM</w:t>
            </w:r>
          </w:p>
        </w:tc>
        <w:tc>
          <w:tcPr>
            <w:tcW w:type="pct" w:w="63%"/>
            <w:tcMar>
              <w:top w:type="dxa" w:w="60"/>
              <w:left w:type="dxa" w:w="120"/>
              <w:bottom w:type="dxa" w:w="60"/>
              <w:right w:type="dxa" w:w="120"/>
            </w:tcMar>
          </w:tcPr>
          <w:p>
            <w:pPr>
              <w:spacing w:line="280"/>
            </w:pPr>
            <w:r>
              <w:rPr>
                <w:rFonts w:ascii="Calibri"/>
                <w:color w:val="000000"/>
                <w:sz w:val="21"/>
                <w:szCs w:val="21"/>
              </w:rPr>
              <w:t xml:space="preserve">XSS risk is low in admin-only single-user app. Refactoring all script loading to nonce-based CSP is a significant frontend effort.</w:t>
            </w:r>
          </w:p>
        </w:tc>
      </w:tr>
      <w:tr>
        <w:trPr>
          <w:cantSplit/>
        </w:trPr>
        <w:tc>
          <w:tcPr>
            <w:tcW w:type="pct" w:w="25%"/>
            <w:shd w:fill="EDF3F5" w:val="clear"/>
            <w:tcMar>
              <w:top w:type="dxa" w:w="60"/>
              <w:left w:type="dxa" w:w="120"/>
              <w:bottom w:type="dxa" w:w="60"/>
              <w:right w:type="dxa" w:w="120"/>
            </w:tcMar>
          </w:tcPr>
          <w:p>
            <w:pPr>
              <w:spacing w:line="280"/>
            </w:pPr>
            <w:r>
              <w:rPr>
                <w:rFonts w:ascii="Calibri"/>
                <w:color w:val="000000"/>
                <w:sz w:val="21"/>
                <w:szCs w:val="21"/>
              </w:rPr>
              <w:t xml:space="preserve">25 npm audit vulnerabilities (1 critical, 15 high)</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Mixed</w:t>
            </w:r>
          </w:p>
        </w:tc>
        <w:tc>
          <w:tcPr>
            <w:tcW w:type="pct" w:w="63%"/>
            <w:shd w:fill="EDF3F5" w:val="clear"/>
            <w:tcMar>
              <w:top w:type="dxa" w:w="60"/>
              <w:left w:type="dxa" w:w="120"/>
              <w:bottom w:type="dxa" w:w="60"/>
              <w:right w:type="dxa" w:w="120"/>
            </w:tcMar>
          </w:tcPr>
          <w:p>
            <w:pPr>
              <w:spacing w:line="280"/>
            </w:pPr>
            <w:r>
              <w:rPr>
                <w:rFonts w:ascii="Calibri"/>
                <w:color w:val="000000"/>
                <w:sz w:val="21"/>
                <w:szCs w:val="21"/>
              </w:rPr>
              <w:t xml:space="preserve">4 fixable via npm audit fix. Rest require breaking changes or have no available fix. Recommend per-dependency scoping.</w:t>
            </w:r>
          </w:p>
        </w:tc>
      </w:tr>
      <w:tr>
        <w:trPr>
          <w:cantSplit/>
        </w:trPr>
        <w:tc>
          <w:tcPr>
            <w:tcW w:type="pct" w:w="25%"/>
            <w:tcMar>
              <w:top w:type="dxa" w:w="60"/>
              <w:left w:type="dxa" w:w="120"/>
              <w:bottom w:type="dxa" w:w="60"/>
              <w:right w:type="dxa" w:w="120"/>
            </w:tcMar>
          </w:tcPr>
          <w:p>
            <w:pPr>
              <w:spacing w:line="280"/>
            </w:pPr>
            <w:r>
              <w:rPr>
                <w:rFonts w:ascii="Calibri"/>
                <w:color w:val="000000"/>
                <w:sz w:val="21"/>
                <w:szCs w:val="21"/>
              </w:rPr>
              <w:t xml:space="preserve">AUTHORIZED_EMAIL hardcoded in 3 locations</w:t>
            </w:r>
          </w:p>
        </w:tc>
        <w:tc>
          <w:tcPr>
            <w:tcW w:type="pct" w:w="12%"/>
            <w:tcMar>
              <w:top w:type="dxa" w:w="60"/>
              <w:left w:type="dxa" w:w="120"/>
              <w:bottom w:type="dxa" w:w="60"/>
              <w:right w:type="dxa" w:w="120"/>
            </w:tcMar>
          </w:tcPr>
          <w:p>
            <w:pPr>
              <w:spacing w:line="280"/>
            </w:pPr>
            <w:r>
              <w:rPr>
                <w:rFonts w:ascii="Calibri"/>
                <w:color w:val="000000"/>
                <w:sz w:val="21"/>
                <w:szCs w:val="21"/>
              </w:rPr>
              <w:t xml:space="preserve">LOW</w:t>
            </w:r>
          </w:p>
        </w:tc>
        <w:tc>
          <w:tcPr>
            <w:tcW w:type="pct" w:w="63%"/>
            <w:tcMar>
              <w:top w:type="dxa" w:w="60"/>
              <w:left w:type="dxa" w:w="120"/>
              <w:bottom w:type="dxa" w:w="60"/>
              <w:right w:type="dxa" w:w="120"/>
            </w:tcMar>
          </w:tcPr>
          <w:p>
            <w:pPr>
              <w:spacing w:line="280"/>
            </w:pPr>
            <w:r>
              <w:rPr>
                <w:rFonts w:ascii="Calibri"/>
                <w:color w:val="000000"/>
                <w:sz w:val="21"/>
                <w:szCs w:val="21"/>
              </w:rPr>
              <w:t xml:space="preserve">DRY violation but zero runtime risk. Single-tenant system with one authorized user. Consolidate during any auth-touching change.</w:t>
            </w:r>
          </w:p>
        </w:tc>
      </w:tr>
      <w:tr>
        <w:trPr>
          <w:cantSplit/>
        </w:trPr>
        <w:tc>
          <w:tcPr>
            <w:tcW w:type="pct" w:w="25%"/>
            <w:shd w:fill="EDF3F5" w:val="clear"/>
            <w:tcMar>
              <w:top w:type="dxa" w:w="60"/>
              <w:left w:type="dxa" w:w="120"/>
              <w:bottom w:type="dxa" w:w="60"/>
              <w:right w:type="dxa" w:w="120"/>
            </w:tcMar>
          </w:tcPr>
          <w:p>
            <w:pPr>
              <w:spacing w:line="280"/>
            </w:pPr>
            <w:r>
              <w:rPr>
                <w:rFonts w:ascii="Calibri"/>
                <w:color w:val="000000"/>
                <w:sz w:val="21"/>
                <w:szCs w:val="21"/>
              </w:rPr>
              <w:t xml:space="preserve">5 logAction callers missing userId</w:t>
            </w:r>
          </w:p>
        </w:tc>
        <w:tc>
          <w:tcPr>
            <w:tcW w:type="pct" w:w="12%"/>
            <w:shd w:fill="EDF3F5" w:val="clear"/>
            <w:tcMar>
              <w:top w:type="dxa" w:w="60"/>
              <w:left w:type="dxa" w:w="120"/>
              <w:bottom w:type="dxa" w:w="60"/>
              <w:right w:type="dxa" w:w="120"/>
            </w:tcMar>
          </w:tcPr>
          <w:p>
            <w:pPr>
              <w:spacing w:line="280"/>
            </w:pPr>
            <w:r>
              <w:rPr>
                <w:rFonts w:ascii="Calibri"/>
                <w:color w:val="000000"/>
                <w:sz w:val="21"/>
                <w:szCs w:val="21"/>
              </w:rPr>
              <w:t xml:space="preserve">LOW</w:t>
            </w:r>
          </w:p>
        </w:tc>
        <w:tc>
          <w:tcPr>
            <w:tcW w:type="pct" w:w="63%"/>
            <w:shd w:fill="EDF3F5" w:val="clear"/>
            <w:tcMar>
              <w:top w:type="dxa" w:w="60"/>
              <w:left w:type="dxa" w:w="120"/>
              <w:bottom w:type="dxa" w:w="60"/>
              <w:right w:type="dxa" w:w="120"/>
            </w:tcMar>
          </w:tcPr>
          <w:p>
            <w:pPr>
              <w:spacing w:line="280"/>
            </w:pPr>
            <w:r>
              <w:rPr>
                <w:rFonts w:ascii="Calibri"/>
                <w:color w:val="000000"/>
                <w:sz w:val="21"/>
                <w:szCs w:val="21"/>
              </w:rPr>
              <w:t xml:space="preserve">3 in dead data-intelligence code, 2 in webhook routes with no user context. No incremental fix available without pipeline refactoring.</w:t>
            </w:r>
          </w:p>
        </w:tc>
      </w:tr>
    </w:tbl>
    <w:p>
      <w:pPr>
        <w:spacing w:line="312"/>
      </w:pPr>
    </w:p>
    <w:p>
      <w:pPr>
        <w:pStyle w:val="Heading1"/>
        <w:keepNext/>
        <w:spacing w:after="120" w:before="360" w:line="312"/>
      </w:pPr>
      <w:bookmarkStart w:id="100010" w:name="_Toc100010"/>
      <w:r>
        <w:rPr>
          <w:rFonts w:ascii="Calibri" w:eastAsia="SimHei"/>
          <w:b/>
          <w:bCs/>
          <w:color w:val="0F2027"/>
          <w:sz w:val="32"/>
          <w:szCs w:val="32"/>
        </w:rPr>
        <w:t xml:space="preserve">7. Security Baseline and Forward Recommendations</w:t>
      </w:r>
      <w:bookmarkEnd w:id="100010"/>
    </w:p>
    <w:p>
      <w:pPr>
        <w:spacing w:after="120" w:line="312"/>
        <w:jc w:val="left"/>
      </w:pPr>
      <w:r>
        <w:rPr>
          <w:rFonts w:ascii="Calibri" w:eastAsia="Microsoft YaHei"/>
          <w:color w:val="000000"/>
          <w:sz w:val="24"/>
          <w:szCs w:val="24"/>
        </w:rPr>
        <w:t xml:space="preserve">The current state of the codebase has been tagged as security-baseline-v1 in the version control system. This tag represents a verified checkpoint where all verification gates pass: 56 test files, 1,868 passing tests, zero TypeScript compilation errors, and a successful Next.js production build. Any future code changes should be verified against this baseline to ensure no regression in security posture.</w:t>
      </w:r>
    </w:p>
    <w:p>
      <w:pPr>
        <w:spacing w:after="120" w:line="312"/>
        <w:jc w:val="left"/>
      </w:pPr>
      <w:r>
        <w:rPr>
          <w:rFonts w:ascii="Calibri" w:eastAsia="Microsoft YaHei"/>
          <w:color w:val="000000"/>
          <w:sz w:val="24"/>
          <w:szCs w:val="24"/>
        </w:rPr>
        <w:t xml:space="preserve">The security hardening program has reached diminishing returns for the current single-tenant architecture. All high-severity, low-effort fixes are resolved. The remaining items are either dependency-level (requiring breaking upgrades), architectural (requiring multi-instance infrastructure), or low-risk for the current deployment model. The recommended focus should now shift from security hardening to product capability, reliability, and business functionality development.</w:t>
      </w:r>
    </w:p>
    <w:p>
      <w:pPr>
        <w:spacing w:after="120" w:line="312"/>
        <w:jc w:val="left"/>
      </w:pPr>
      <w:r>
        <w:rPr>
          <w:rFonts w:ascii="Calibri" w:eastAsia="Microsoft YaHei"/>
          <w:color w:val="000000"/>
          <w:sz w:val="24"/>
          <w:szCs w:val="24"/>
        </w:rPr>
        <w:t xml:space="preserve">When the deployment model evolves, the following triggers should initiate a new security phase: transition to multi-user access, multi-instance serverless deployment, external file upload from non-admin users, or integration with additional third-party webhook providers. Each of these changes would invalidate current assumptions and necessitate re-evaluation of the deferred risk items.</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t xml:space="preserve">Page </w:t>
    </w:r>
    <w:r>
      <w:rPr>
        <w:rFonts w:ascii="Calibri"/>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06070"/>
        <w:sz w:val="18"/>
        <w:szCs w:val="18"/>
      </w:rPr>
      <w:t xml:space="preserve">DeepMindQ Security Hardening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F2027"/>
      <w:sz w:val="32"/>
      <w:szCs w:val="32"/>
    </w:rPr>
  </w:style>
  <w:style w:type="paragraph" w:styleId="Heading2">
    <w:pPr>
      <w:outlineLvl w:val="1"/>
    </w:pPr>
    <w:name w:val="Heading 2"/>
    <w:basedOn w:val="Normal"/>
    <w:next w:val="Normal"/>
    <w:qFormat/>
    <w:rPr>
      <w:rFonts w:ascii="Calibri" w:eastAsia="SimHei"/>
      <w:b/>
      <w:bCs/>
      <w:color w:val="0F2027"/>
      <w:sz w:val="28"/>
      <w:szCs w:val="28"/>
    </w:rPr>
  </w:style>
  <w:style w:type="paragraph" w:styleId="Heading3">
    <w:pPr>
      <w:outlineLvl w:val="2"/>
    </w:pPr>
    <w:name w:val="Heading 3"/>
    <w:basedOn w:val="Normal"/>
    <w:next w:val="Normal"/>
    <w:qFormat/>
    <w:rPr>
      <w:rFonts w:ascii="Calibri" w:eastAsia="SimHei"/>
      <w:b/>
      <w:bCs/>
      <w:color w:val="0F2027"/>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2026-08-01T07:59:43.081Z</dcterms:created>
  <dcterms:modified xsi:type="dcterms:W3CDTF">2026-08-01T07:59:43.082Z</dcterms:modified>
</cp:coreProperties>
</file>

<file path=docProps/custom.xml><?xml version="1.0" encoding="utf-8"?>
<Properties xmlns="http://schemas.openxmlformats.org/officeDocument/2006/custom-properties" xmlns:vt="http://schemas.openxmlformats.org/officeDocument/2006/docPropsVTypes"/>
</file>