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Block"/>
        <w:jc w:val="left"/>
      </w:pPr>
      <w:r>
        <w:rPr>
          <w:rFonts w:ascii="Calibri" w:hAnsi="Calibri"/>
          <w:b/>
          <w:color w:val="0B2545"/>
          <w:sz w:val="48"/>
        </w:rPr>
        <w:t>Lead Intelligence &amp; AI-Powered Outreach System</w:t>
      </w:r>
    </w:p>
    <w:p>
      <w:pPr>
        <w:pStyle w:val="SubtitleBlock"/>
        <w:jc w:val="left"/>
      </w:pPr>
      <w:r>
        <w:rPr>
          <w:rFonts w:ascii="Calibri" w:hAnsi="Calibri"/>
          <w:color w:val="555555"/>
          <w:sz w:val="22"/>
        </w:rPr>
        <w:t>Database and Schema Design | PostgreSQL Web App</w:t>
      </w:r>
    </w:p>
    <w:tbl>
      <w:tblPr>
        <w:tblStyle w:val="TableGrid"/>
        <w:tblW w:type="dxa" w:w="9360"/>
        <w:jc w:val="left"/>
        <w:tblLayout w:type="fixed"/>
        <w:tblLook w:firstColumn="1" w:firstRow="1" w:lastColumn="0" w:lastRow="0" w:noHBand="0" w:noVBand="1" w:val="04A0"/>
        <w:tblInd w:type="dxa" w:w="120"/>
      </w:tblPr>
      <w:tblGrid>
        <w:gridCol w:w="2400"/>
        <w:gridCol w:w="6960"/>
      </w:tblGrid>
      <w:tr>
        <w:trPr/>
        <w:tc>
          <w:tcPr>
            <w:tcW w:type="dxa" w:w="2400"/>
            <w:vAlign w:val="center"/>
            <w:shd w:fill="F2F4F7"/>
            <w:tcMar>
              <w:top w:w="80" w:type="dxa"/>
              <w:bottom w:w="80" w:type="dxa"/>
              <w:start w:w="120" w:type="dxa"/>
              <w:end w:w="120" w:type="dxa"/>
            </w:tcMar>
          </w:tcPr>
          <w:p>
            <w:pPr>
              <w:spacing w:before="0" w:after="0" w:line="240" w:lineRule="auto"/>
              <w:jc w:val="left"/>
            </w:pPr>
            <w:r/>
            <w:r>
              <w:rPr>
                <w:rFonts w:ascii="Calibri" w:hAnsi="Calibri"/>
                <w:b/>
                <w:color w:val="0B2545"/>
                <w:sz w:val="21"/>
              </w:rPr>
              <w:t>Database</w:t>
            </w:r>
          </w:p>
        </w:tc>
        <w:tc>
          <w:tcPr>
            <w:tcW w:type="dxa" w:w="69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21"/>
              </w:rPr>
              <w:t>PostgreSQL</w:t>
            </w:r>
          </w:p>
        </w:tc>
      </w:tr>
      <w:tr>
        <w:trPr/>
        <w:tc>
          <w:tcPr>
            <w:tcW w:type="dxa" w:w="2400"/>
            <w:vAlign w:val="center"/>
            <w:shd w:fill="F2F4F7"/>
            <w:tcMar>
              <w:top w:w="80" w:type="dxa"/>
              <w:bottom w:w="80" w:type="dxa"/>
              <w:start w:w="120" w:type="dxa"/>
              <w:end w:w="120" w:type="dxa"/>
            </w:tcMar>
          </w:tcPr>
          <w:p>
            <w:pPr>
              <w:spacing w:before="0" w:after="0" w:line="240" w:lineRule="auto"/>
              <w:jc w:val="left"/>
            </w:pPr>
            <w:r/>
            <w:r>
              <w:rPr>
                <w:rFonts w:ascii="Calibri" w:hAnsi="Calibri"/>
                <w:b/>
                <w:color w:val="0B2545"/>
                <w:sz w:val="21"/>
              </w:rPr>
              <w:t>Custom fields</w:t>
            </w:r>
          </w:p>
        </w:tc>
        <w:tc>
          <w:tcPr>
            <w:tcW w:type="dxa" w:w="69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21"/>
              </w:rPr>
              <w:t>JSONB snapshots plus typed definition/value tables</w:t>
            </w:r>
          </w:p>
        </w:tc>
      </w:tr>
      <w:tr>
        <w:trPr/>
        <w:tc>
          <w:tcPr>
            <w:tcW w:type="dxa" w:w="2400"/>
            <w:vAlign w:val="center"/>
            <w:shd w:fill="F2F4F7"/>
            <w:tcMar>
              <w:top w:w="80" w:type="dxa"/>
              <w:bottom w:w="80" w:type="dxa"/>
              <w:start w:w="120" w:type="dxa"/>
              <w:end w:w="120" w:type="dxa"/>
            </w:tcMar>
          </w:tcPr>
          <w:p>
            <w:pPr>
              <w:spacing w:before="0" w:after="0" w:line="240" w:lineRule="auto"/>
              <w:jc w:val="left"/>
            </w:pPr>
            <w:r/>
            <w:r>
              <w:rPr>
                <w:rFonts w:ascii="Calibri" w:hAnsi="Calibri"/>
                <w:b/>
                <w:color w:val="0B2545"/>
                <w:sz w:val="21"/>
              </w:rPr>
              <w:t>File storage</w:t>
            </w:r>
          </w:p>
        </w:tc>
        <w:tc>
          <w:tcPr>
            <w:tcW w:type="dxa" w:w="69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21"/>
              </w:rPr>
              <w:t>S3-compatible object storage</w:t>
            </w:r>
          </w:p>
        </w:tc>
      </w:tr>
      <w:tr>
        <w:trPr/>
        <w:tc>
          <w:tcPr>
            <w:tcW w:type="dxa" w:w="2400"/>
            <w:vAlign w:val="center"/>
            <w:shd w:fill="F2F4F7"/>
            <w:tcMar>
              <w:top w:w="80" w:type="dxa"/>
              <w:bottom w:w="80" w:type="dxa"/>
              <w:start w:w="120" w:type="dxa"/>
              <w:end w:w="120" w:type="dxa"/>
            </w:tcMar>
          </w:tcPr>
          <w:p>
            <w:pPr>
              <w:spacing w:before="0" w:after="0" w:line="240" w:lineRule="auto"/>
              <w:jc w:val="left"/>
            </w:pPr>
            <w:r/>
            <w:r>
              <w:rPr>
                <w:rFonts w:ascii="Calibri" w:hAnsi="Calibri"/>
                <w:b/>
                <w:color w:val="0B2545"/>
                <w:sz w:val="21"/>
              </w:rPr>
              <w:t>Queues / jobs</w:t>
            </w:r>
          </w:p>
        </w:tc>
        <w:tc>
          <w:tcPr>
            <w:tcW w:type="dxa" w:w="69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21"/>
              </w:rPr>
              <w:t>Redis + worker system</w:t>
            </w:r>
          </w:p>
        </w:tc>
      </w:tr>
      <w:tr>
        <w:trPr/>
        <w:tc>
          <w:tcPr>
            <w:tcW w:type="dxa" w:w="2400"/>
            <w:vAlign w:val="center"/>
            <w:shd w:fill="F2F4F7"/>
            <w:tcMar>
              <w:top w:w="80" w:type="dxa"/>
              <w:bottom w:w="80" w:type="dxa"/>
              <w:start w:w="120" w:type="dxa"/>
              <w:end w:w="120" w:type="dxa"/>
            </w:tcMar>
          </w:tcPr>
          <w:p>
            <w:pPr>
              <w:spacing w:before="0" w:after="0" w:line="240" w:lineRule="auto"/>
              <w:jc w:val="left"/>
            </w:pPr>
            <w:r/>
            <w:r>
              <w:rPr>
                <w:rFonts w:ascii="Calibri" w:hAnsi="Calibri"/>
                <w:b/>
                <w:color w:val="0B2545"/>
                <w:sz w:val="21"/>
              </w:rPr>
              <w:t>Identity</w:t>
            </w:r>
          </w:p>
        </w:tc>
        <w:tc>
          <w:tcPr>
            <w:tcW w:type="dxa" w:w="69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21"/>
              </w:rPr>
              <w:t>Single internal organization, role-based access</w:t>
            </w:r>
          </w:p>
        </w:tc>
      </w:tr>
      <w:tr>
        <w:trPr/>
        <w:tc>
          <w:tcPr>
            <w:tcW w:type="dxa" w:w="2400"/>
            <w:vAlign w:val="center"/>
            <w:shd w:fill="F2F4F7"/>
            <w:tcMar>
              <w:top w:w="80" w:type="dxa"/>
              <w:bottom w:w="80" w:type="dxa"/>
              <w:start w:w="120" w:type="dxa"/>
              <w:end w:w="120" w:type="dxa"/>
            </w:tcMar>
          </w:tcPr>
          <w:p>
            <w:pPr>
              <w:spacing w:before="0" w:after="0" w:line="240" w:lineRule="auto"/>
              <w:jc w:val="left"/>
            </w:pPr>
            <w:r/>
            <w:r>
              <w:rPr>
                <w:rFonts w:ascii="Calibri" w:hAnsi="Calibri"/>
                <w:b/>
                <w:color w:val="0B2545"/>
                <w:sz w:val="21"/>
              </w:rPr>
              <w:t>Mobile scope</w:t>
            </w:r>
          </w:p>
        </w:tc>
        <w:tc>
          <w:tcPr>
            <w:tcW w:type="dxa" w:w="69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21"/>
              </w:rPr>
              <w:t>Web only; no separate mobile tables or APIs</w:t>
            </w:r>
          </w:p>
        </w:tc>
      </w:tr>
      <w:tr>
        <w:trPr/>
        <w:tc>
          <w:tcPr>
            <w:tcW w:type="dxa" w:w="2400"/>
            <w:vAlign w:val="center"/>
            <w:shd w:fill="F2F4F7"/>
            <w:tcMar>
              <w:top w:w="80" w:type="dxa"/>
              <w:bottom w:w="80" w:type="dxa"/>
              <w:start w:w="120" w:type="dxa"/>
              <w:end w:w="120" w:type="dxa"/>
            </w:tcMar>
          </w:tcPr>
          <w:p>
            <w:pPr>
              <w:spacing w:before="0" w:after="0" w:line="240" w:lineRule="auto"/>
              <w:jc w:val="left"/>
            </w:pPr>
            <w:r/>
            <w:r>
              <w:rPr>
                <w:rFonts w:ascii="Calibri" w:hAnsi="Calibri"/>
                <w:b/>
                <w:color w:val="0B2545"/>
                <w:sz w:val="21"/>
              </w:rPr>
              <w:t>Revision date</w:t>
            </w:r>
          </w:p>
        </w:tc>
        <w:tc>
          <w:tcPr>
            <w:tcW w:type="dxa" w:w="69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21"/>
              </w:rPr>
              <w:t>2026-07-07</w:t>
            </w:r>
          </w:p>
        </w:tc>
      </w:tr>
    </w:tbl>
    <w:p>
      <w:pPr>
        <w:spacing w:before="240" w:after="160" w:line="269" w:lineRule="auto"/>
      </w:pPr>
      <w:r>
        <w:rPr>
          <w:rFonts w:ascii="Calibri" w:hAnsi="Calibri"/>
          <w:color w:val="000000"/>
          <w:sz w:val="22"/>
        </w:rPr>
        <w:t>This schema design favors a practical hybrid model. The core searchable data lives in first-class relational tables. Flexible or source-specific fields live in JSONB snapshots, and the fields that need validation, filtering, or AI prompt use are promoted into typed custom-field definition and value tables. High-volume events such as imports, health checks, sends, replies, and audit events are stored in append-only tables so the application can scale without losing history. The goal is not a perfect academic normalization model. The goal is a schema that is easy to build, easy to query, and easy to trust in an internal web application. The design assumes one internal company environment rather than a multi-tenant SaaS product. That decision keeps the schema simpler. There is still user identity, role-based access, mailbox ownership, audit history, and settings, but there is no need to model tenant billing or customer organizations. The database should be treated as the memory of the system, not as a generic CRM backend.</w:t>
      </w:r>
    </w:p>
    <w:p>
      <w:r>
        <w:br w:type="page"/>
      </w:r>
    </w:p>
    <w:p>
      <w:pPr>
        <w:pStyle w:val="Heading1"/>
        <w:spacing w:before="320" w:after="120" w:line="264" w:lineRule="auto"/>
      </w:pPr>
      <w:r>
        <w:rPr>
          <w:rFonts w:ascii="Calibri" w:hAnsi="Calibri"/>
          <w:b w:val="0"/>
          <w:i w:val="0"/>
          <w:color w:val="2E74B5"/>
          <w:sz w:val="32"/>
        </w:rPr>
        <w:t>1. Modeling Principles</w:t>
      </w:r>
    </w:p>
    <w:p>
      <w:pPr>
        <w:pStyle w:val="ListBullet"/>
        <w:spacing w:before="0" w:after="80" w:line="264" w:lineRule="auto"/>
        <w:ind w:left="360" w:hanging="360"/>
      </w:pPr>
      <w:r>
        <w:rPr>
          <w:rFonts w:ascii="Calibri" w:hAnsi="Calibri"/>
          <w:color w:val="000000"/>
          <w:sz w:val="22"/>
        </w:rPr>
        <w:t>Use PostgreSQL as the system of record.</w:t>
      </w:r>
    </w:p>
    <w:p>
      <w:pPr>
        <w:pStyle w:val="ListBullet"/>
        <w:spacing w:before="0" w:after="80" w:line="264" w:lineRule="auto"/>
        <w:ind w:left="360" w:hanging="360"/>
      </w:pPr>
      <w:r>
        <w:rPr>
          <w:rFonts w:ascii="Calibri" w:hAnsi="Calibri"/>
          <w:color w:val="000000"/>
          <w:sz w:val="22"/>
        </w:rPr>
        <w:t>Use UUID primary keys everywhere.</w:t>
      </w:r>
    </w:p>
    <w:p>
      <w:pPr>
        <w:pStyle w:val="ListBullet"/>
        <w:spacing w:before="0" w:after="80" w:line="264" w:lineRule="auto"/>
        <w:ind w:left="360" w:hanging="360"/>
      </w:pPr>
      <w:r>
        <w:rPr>
          <w:rFonts w:ascii="Calibri" w:hAnsi="Calibri"/>
          <w:color w:val="000000"/>
          <w:sz w:val="22"/>
        </w:rPr>
        <w:t>Keep core searchable fields in columns, raw snapshots in JSONB, and queryable custom fields in typed definition/value tables.</w:t>
      </w:r>
    </w:p>
    <w:p>
      <w:pPr>
        <w:pStyle w:val="ListBullet"/>
        <w:spacing w:before="0" w:after="80" w:line="264" w:lineRule="auto"/>
        <w:ind w:left="360" w:hanging="360"/>
      </w:pPr>
      <w:r>
        <w:rPr>
          <w:rFonts w:ascii="Calibri" w:hAnsi="Calibri"/>
          <w:color w:val="000000"/>
          <w:sz w:val="22"/>
        </w:rPr>
        <w:t>Use append-only tables for events, audits, sends, replies, and health checks.</w:t>
      </w:r>
    </w:p>
    <w:p>
      <w:pPr>
        <w:pStyle w:val="ListBullet"/>
        <w:spacing w:before="0" w:after="80" w:line="264" w:lineRule="auto"/>
        <w:ind w:left="360" w:hanging="360"/>
      </w:pPr>
      <w:r>
        <w:rPr>
          <w:rFonts w:ascii="Calibri" w:hAnsi="Calibri"/>
          <w:color w:val="000000"/>
          <w:sz w:val="22"/>
        </w:rPr>
        <w:t>Preserve raw imported payloads, normalized payloads, and edited values separately.</w:t>
      </w:r>
    </w:p>
    <w:p>
      <w:pPr>
        <w:pStyle w:val="ListBullet"/>
        <w:spacing w:before="0" w:after="80" w:line="264" w:lineRule="auto"/>
        <w:ind w:left="360" w:hanging="360"/>
      </w:pPr>
      <w:r>
        <w:rPr>
          <w:rFonts w:ascii="Calibri" w:hAnsi="Calibri"/>
          <w:color w:val="000000"/>
          <w:sz w:val="22"/>
        </w:rPr>
        <w:t>Model the system for a single internal company; do not add tenant billing or multi-customer isolation.</w:t>
      </w:r>
    </w:p>
    <w:p>
      <w:pPr>
        <w:pStyle w:val="Heading1"/>
        <w:spacing w:before="240" w:after="120" w:line="264" w:lineRule="auto"/>
      </w:pPr>
      <w:r>
        <w:rPr>
          <w:rFonts w:ascii="Calibri" w:hAnsi="Calibri"/>
          <w:b w:val="0"/>
          <w:i w:val="0"/>
          <w:color w:val="2E74B5"/>
          <w:sz w:val="32"/>
        </w:rPr>
        <w:t>2. Entity Relationship Summary</w:t>
      </w:r>
    </w:p>
    <w:tbl>
      <w:tblPr>
        <w:tblStyle w:val="TableGrid"/>
        <w:tblW w:type="dxa" w:w="9360"/>
        <w:jc w:val="left"/>
        <w:tblLayout w:type="fixed"/>
        <w:tblLook w:firstColumn="1" w:firstRow="1" w:lastColumn="0" w:lastRow="0" w:noHBand="0" w:noVBand="1" w:val="04A0"/>
        <w:tblInd w:type="dxa" w:w="120"/>
      </w:tblPr>
      <w:tblGrid>
        <w:gridCol w:w="1400"/>
        <w:gridCol w:w="1400"/>
        <w:gridCol w:w="900"/>
        <w:gridCol w:w="5660"/>
      </w:tblGrid>
      <w:tr>
        <w:trPr/>
        <w:tc>
          <w:tcPr>
            <w:tcW w:type="dxa" w:w="14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Parent</w:t>
            </w:r>
          </w:p>
        </w:tc>
        <w:tc>
          <w:tcPr>
            <w:tcW w:type="dxa" w:w="14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Child</w:t>
            </w:r>
          </w:p>
        </w:tc>
        <w:tc>
          <w:tcPr>
            <w:tcW w:type="dxa" w:w="9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Cardinality</w:t>
            </w:r>
          </w:p>
        </w:tc>
        <w:tc>
          <w:tcPr>
            <w:tcW w:type="dxa" w:w="566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Notes</w:t>
            </w:r>
          </w:p>
        </w:tc>
      </w:tr>
      <w:tr>
        <w:trPr/>
        <w:tc>
          <w:tcPr>
            <w:tcW w:type="dxa" w:w="14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Company</w:t>
            </w:r>
          </w:p>
        </w:tc>
        <w:tc>
          <w:tcPr>
            <w:tcW w:type="dxa" w:w="14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w:t>
            </w:r>
          </w:p>
        </w:tc>
        <w:tc>
          <w:tcPr>
            <w:tcW w:type="dxa" w:w="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1 to many</w:t>
            </w:r>
          </w:p>
        </w:tc>
        <w:tc>
          <w:tcPr>
            <w:tcW w:type="dxa" w:w="56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Every contact belongs to one company; placeholders are allowed if the company name is missing.</w:t>
            </w:r>
          </w:p>
        </w:tc>
      </w:tr>
      <w:tr>
        <w:trPr/>
        <w:tc>
          <w:tcPr>
            <w:tcW w:type="dxa" w:w="14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Company</w:t>
            </w:r>
          </w:p>
        </w:tc>
        <w:tc>
          <w:tcPr>
            <w:tcW w:type="dxa" w:w="14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Company notes</w:t>
            </w:r>
          </w:p>
        </w:tc>
        <w:tc>
          <w:tcPr>
            <w:tcW w:type="dxa" w:w="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1 to many</w:t>
            </w:r>
          </w:p>
        </w:tc>
        <w:tc>
          <w:tcPr>
            <w:tcW w:type="dxa" w:w="56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Multiple notes can be attached, but the latest context should be easy to surface.</w:t>
            </w:r>
          </w:p>
        </w:tc>
      </w:tr>
      <w:tr>
        <w:trPr/>
        <w:tc>
          <w:tcPr>
            <w:tcW w:type="dxa" w:w="14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Company</w:t>
            </w:r>
          </w:p>
        </w:tc>
        <w:tc>
          <w:tcPr>
            <w:tcW w:type="dxa" w:w="14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Company research card</w:t>
            </w:r>
          </w:p>
        </w:tc>
        <w:tc>
          <w:tcPr>
            <w:tcW w:type="dxa" w:w="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1 to 1 active</w:t>
            </w:r>
          </w:p>
        </w:tc>
        <w:tc>
          <w:tcPr>
            <w:tcW w:type="dxa" w:w="56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One active research summary per company with source history.</w:t>
            </w:r>
          </w:p>
        </w:tc>
      </w:tr>
      <w:tr>
        <w:trPr/>
        <w:tc>
          <w:tcPr>
            <w:tcW w:type="dxa" w:w="14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Company</w:t>
            </w:r>
          </w:p>
        </w:tc>
        <w:tc>
          <w:tcPr>
            <w:tcW w:type="dxa" w:w="14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Research sources</w:t>
            </w:r>
          </w:p>
        </w:tc>
        <w:tc>
          <w:tcPr>
            <w:tcW w:type="dxa" w:w="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1 to many</w:t>
            </w:r>
          </w:p>
        </w:tc>
        <w:tc>
          <w:tcPr>
            <w:tcW w:type="dxa" w:w="56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Stores the curated sources and excerpts that support the card.</w:t>
            </w:r>
          </w:p>
        </w:tc>
      </w:tr>
      <w:tr>
        <w:trPr/>
        <w:tc>
          <w:tcPr>
            <w:tcW w:type="dxa" w:w="14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Company</w:t>
            </w:r>
          </w:p>
        </w:tc>
        <w:tc>
          <w:tcPr>
            <w:tcW w:type="dxa" w:w="14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Capability snippets</w:t>
            </w:r>
          </w:p>
        </w:tc>
        <w:tc>
          <w:tcPr>
            <w:tcW w:type="dxa" w:w="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indirect</w:t>
            </w:r>
          </w:p>
        </w:tc>
        <w:tc>
          <w:tcPr>
            <w:tcW w:type="dxa" w:w="56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Capability items are global assets but can be linked to company-level context in drafts.</w:t>
            </w:r>
          </w:p>
        </w:tc>
      </w:tr>
      <w:tr>
        <w:trPr/>
        <w:tc>
          <w:tcPr>
            <w:tcW w:type="dxa" w:w="14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 / Company</w:t>
            </w:r>
          </w:p>
        </w:tc>
        <w:tc>
          <w:tcPr>
            <w:tcW w:type="dxa" w:w="14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Custom field values</w:t>
            </w:r>
          </w:p>
        </w:tc>
        <w:tc>
          <w:tcPr>
            <w:tcW w:type="dxa" w:w="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1 to many</w:t>
            </w:r>
          </w:p>
        </w:tc>
        <w:tc>
          <w:tcPr>
            <w:tcW w:type="dxa" w:w="56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Typed, searchable values produced from mapped spreadsheet columns.</w:t>
            </w:r>
          </w:p>
        </w:tc>
      </w:tr>
      <w:tr>
        <w:trPr/>
        <w:tc>
          <w:tcPr>
            <w:tcW w:type="dxa" w:w="14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w:t>
            </w:r>
          </w:p>
        </w:tc>
        <w:tc>
          <w:tcPr>
            <w:tcW w:type="dxa" w:w="14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Drafts</w:t>
            </w:r>
          </w:p>
        </w:tc>
        <w:tc>
          <w:tcPr>
            <w:tcW w:type="dxa" w:w="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1 to many</w:t>
            </w:r>
          </w:p>
        </w:tc>
        <w:tc>
          <w:tcPr>
            <w:tcW w:type="dxa" w:w="56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 contact can have multiple draft versions over time.</w:t>
            </w:r>
          </w:p>
        </w:tc>
      </w:tr>
      <w:tr>
        <w:trPr/>
        <w:tc>
          <w:tcPr>
            <w:tcW w:type="dxa" w:w="14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w:t>
            </w:r>
          </w:p>
        </w:tc>
        <w:tc>
          <w:tcPr>
            <w:tcW w:type="dxa" w:w="14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Inbound / outbound messages</w:t>
            </w:r>
          </w:p>
        </w:tc>
        <w:tc>
          <w:tcPr>
            <w:tcW w:type="dxa" w:w="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1 to many</w:t>
            </w:r>
          </w:p>
        </w:tc>
        <w:tc>
          <w:tcPr>
            <w:tcW w:type="dxa" w:w="56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The message log stores communication history.</w:t>
            </w:r>
          </w:p>
        </w:tc>
      </w:tr>
      <w:tr>
        <w:trPr/>
        <w:tc>
          <w:tcPr>
            <w:tcW w:type="dxa" w:w="14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w:t>
            </w:r>
          </w:p>
        </w:tc>
        <w:tc>
          <w:tcPr>
            <w:tcW w:type="dxa" w:w="14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Suppression entries</w:t>
            </w:r>
          </w:p>
        </w:tc>
        <w:tc>
          <w:tcPr>
            <w:tcW w:type="dxa" w:w="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1 to many</w:t>
            </w:r>
          </w:p>
        </w:tc>
        <w:tc>
          <w:tcPr>
            <w:tcW w:type="dxa" w:w="56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Most contacts will have zero or one active suppression entry.</w:t>
            </w:r>
          </w:p>
        </w:tc>
      </w:tr>
      <w:tr>
        <w:trPr/>
        <w:tc>
          <w:tcPr>
            <w:tcW w:type="dxa" w:w="14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Batch</w:t>
            </w:r>
          </w:p>
        </w:tc>
        <w:tc>
          <w:tcPr>
            <w:tcW w:type="dxa" w:w="14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Batch rows</w:t>
            </w:r>
          </w:p>
        </w:tc>
        <w:tc>
          <w:tcPr>
            <w:tcW w:type="dxa" w:w="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1 to many</w:t>
            </w:r>
          </w:p>
        </w:tc>
        <w:tc>
          <w:tcPr>
            <w:tcW w:type="dxa" w:w="56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Rows remain traceable to the source upload.</w:t>
            </w:r>
          </w:p>
        </w:tc>
      </w:tr>
      <w:tr>
        <w:trPr/>
        <w:tc>
          <w:tcPr>
            <w:tcW w:type="dxa" w:w="14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w:t>
            </w:r>
          </w:p>
        </w:tc>
        <w:tc>
          <w:tcPr>
            <w:tcW w:type="dxa" w:w="14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 versions</w:t>
            </w:r>
          </w:p>
        </w:tc>
        <w:tc>
          <w:tcPr>
            <w:tcW w:type="dxa" w:w="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1 to many</w:t>
            </w:r>
          </w:p>
        </w:tc>
        <w:tc>
          <w:tcPr>
            <w:tcW w:type="dxa" w:w="56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Each edit is versioned for review and accountability.</w:t>
            </w:r>
          </w:p>
        </w:tc>
      </w:tr>
    </w:tbl>
    <w:p>
      <w:pPr>
        <w:pStyle w:val="Heading1"/>
        <w:spacing w:before="320" w:after="120" w:line="264" w:lineRule="auto"/>
      </w:pPr>
      <w:r>
        <w:rPr>
          <w:rFonts w:ascii="Calibri" w:hAnsi="Calibri"/>
          <w:b w:val="0"/>
          <w:i w:val="0"/>
          <w:color w:val="2E74B5"/>
          <w:sz w:val="32"/>
        </w:rPr>
        <w:t>3. Identity and Access</w:t>
      </w:r>
    </w:p>
    <w:p>
      <w:pPr>
        <w:spacing w:before="0" w:after="120" w:line="264" w:lineRule="auto"/>
      </w:pPr>
      <w:r>
        <w:rPr>
          <w:rFonts w:ascii="Calibri" w:hAnsi="Calibri"/>
          <w:b w:val="0"/>
          <w:i w:val="0"/>
          <w:color w:val="000000"/>
          <w:sz w:val="22"/>
        </w:rPr>
        <w:t>These tables control who can use the web app, what they can do, and which mailbox or settings they can operate.</w:t>
      </w:r>
    </w:p>
    <w:tbl>
      <w:tblPr>
        <w:tblStyle w:val="TableGrid"/>
        <w:tblW w:type="dxa" w:w="9360"/>
        <w:jc w:val="left"/>
        <w:tblLayout w:type="fixed"/>
        <w:tblLook w:firstColumn="1" w:firstRow="1" w:lastColumn="0" w:lastRow="0" w:noHBand="0" w:noVBand="1" w:val="04A0"/>
        <w:tblInd w:type="dxa" w:w="120"/>
      </w:tblPr>
      <w:tblGrid>
        <w:gridCol w:w="1900"/>
        <w:gridCol w:w="2200"/>
        <w:gridCol w:w="5260"/>
      </w:tblGrid>
      <w:tr>
        <w:trPr/>
        <w:tc>
          <w:tcPr>
            <w:tcW w:type="dxa" w:w="19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Field</w:t>
            </w:r>
          </w:p>
        </w:tc>
        <w:tc>
          <w:tcPr>
            <w:tcW w:type="dxa" w:w="22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Type / constraints</w:t>
            </w:r>
          </w:p>
        </w:tc>
        <w:tc>
          <w:tcPr>
            <w:tcW w:type="dxa" w:w="526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Purpose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users.user_id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PK</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Primary user identifier.</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users.email_address</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citext unique not null</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Login identity and notification address.</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users.display_name</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Visible name in the UI and audit logs.</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users.auth_provider</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Local auth or SSO provider name.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users.auth_subject</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unique</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External subject identifier if using SSO.</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users.is_active</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boolean default true</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Soft disable without deleting history.</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users.last_login_at</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timestamptz</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Operational tracking.</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roles.role_id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PK</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Role identifier.</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roles.name</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unique not null</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Examples: admin, reviewer, sender, viewer.</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user_roles.user_id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users</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User-to-role join.</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user_roles.role_id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roles</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User-to-role join.</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mailboxes.mailbox_id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PK</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Connected Outlook mailbox record.</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mailboxes.user_id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users</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Owner of the mailbox.</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mailboxes.outlook_email</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citext not null</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Connected sending address.</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mailboxes.graph_user_id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Microsoft Graph user identifier.</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mailboxes.send_enabled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boolean default false</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Mailbox can participate in sending.</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mailboxes.daily_limit</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integer</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Per-day sending cap.</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mailboxes.hourly_limit</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integer</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Per-hour sending cap.</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mailboxes.working_hours_jsonb</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jsonb</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Allowed send windows by day.</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app_settings.setting_key</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PK</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Simple single-org configuration key.</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app_settings.setting_value</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jsonb not null</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Settings payload.</w:t>
            </w:r>
          </w:p>
        </w:tc>
      </w:tr>
    </w:tbl>
    <w:p>
      <w:pPr>
        <w:pStyle w:val="Heading1"/>
        <w:spacing w:before="320" w:after="120" w:line="264" w:lineRule="auto"/>
      </w:pPr>
      <w:r>
        <w:rPr>
          <w:rFonts w:ascii="Calibri" w:hAnsi="Calibri"/>
          <w:b w:val="0"/>
          <w:i w:val="0"/>
          <w:color w:val="2E74B5"/>
          <w:sz w:val="32"/>
        </w:rPr>
        <w:t>4. Core Master Data</w:t>
      </w:r>
    </w:p>
    <w:p>
      <w:pPr>
        <w:spacing w:before="0" w:after="120" w:line="264" w:lineRule="auto"/>
      </w:pPr>
      <w:r>
        <w:rPr>
          <w:rFonts w:ascii="Calibri" w:hAnsi="Calibri"/>
          <w:b w:val="0"/>
          <w:i w:val="0"/>
          <w:color w:val="000000"/>
          <w:sz w:val="22"/>
        </w:rPr>
        <w:t>These tables represent the current truth for companies and contacts.</w:t>
      </w:r>
    </w:p>
    <w:tbl>
      <w:tblPr>
        <w:tblStyle w:val="TableGrid"/>
        <w:tblW w:type="dxa" w:w="9360"/>
        <w:jc w:val="left"/>
        <w:tblLayout w:type="fixed"/>
        <w:tblLook w:firstColumn="1" w:firstRow="1" w:lastColumn="0" w:lastRow="0" w:noHBand="0" w:noVBand="1" w:val="04A0"/>
        <w:tblInd w:type="dxa" w:w="120"/>
      </w:tblPr>
      <w:tblGrid>
        <w:gridCol w:w="1800"/>
        <w:gridCol w:w="2200"/>
        <w:gridCol w:w="5360"/>
      </w:tblGrid>
      <w:tr>
        <w:trPr/>
        <w:tc>
          <w:tcPr>
            <w:tcW w:type="dxa" w:w="18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Field</w:t>
            </w:r>
          </w:p>
        </w:tc>
        <w:tc>
          <w:tcPr>
            <w:tcW w:type="dxa" w:w="22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Type / constraints</w:t>
            </w:r>
          </w:p>
        </w:tc>
        <w:tc>
          <w:tcPr>
            <w:tcW w:type="dxa" w:w="536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Purpose</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companies.company_id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PK</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Primary company record.</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companies.name_raw</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Original display name from import or manual entry.</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companies.name_normalized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Canonical match key used for duplicate detection.</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companies.domain</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citext</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Normalized website domain; should be indexed and ideally unique when known.</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companies.linkedin_url_raw</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Raw company LinkedIn URL from import or manual entry.</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companies.linkedin_url_normalized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Canonical company LinkedIn page URL used for matching.</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companies.website</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Canonical website URL.</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companies.industry</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Primary industry classification.</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companies.employee_size_band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Headcount band such as 1-10, 11-50, 51-200, 201-500, 501-1000, 1000+.</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companies.location</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Main location or headquarters.</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companies.research_summary</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Short company context summary.</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companies.custom_fields</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jsonb</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Flexible company-specific fields from source files.</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contacts.contact_id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PK</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Primary person record.</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contacts.company_id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companies</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Mandatory company link.</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contacts.batch_id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ingestion_batches</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Origin batch traceability.</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contacts.name_raw</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Original name from source.</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contacts.name_normalized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Normalized match key for contact identity.</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contacts.name_edited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Current user-corrected name, if changed.</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contacts.email_address</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citext</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 email address; nullable for non-send-ready records.</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contacts.linkedin_url_raw</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Raw person LinkedIn profile URL or handle.</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contacts.linkedin_url_normalized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Canonical LinkedIn profile URL used for matching.</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contacts.job_title_raw</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Original imported job title.</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contacts.role_bucket</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Normalized persona bucket such as executive, manager, technical, operations, sales, or other.</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contacts.phone</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Phone number when available.</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contacts.location</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Person location when available.</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contacts.status</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 lifecycle state such as imported, cleaned, duplicate, ready, drafted, approved, queued, sent, replied, bounced, invalid, risky, suppressed, archived.</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contacts.email_health_status</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valid, risky, invalid, unknown; drives queue eligibility.</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contacts.email_health_score</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smallint</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0-100 confidence or risk score.</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contacts.consent_status</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unconfirmed, confirmed, expired, revoked, or not_applicable.</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contacts.consent_source</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batch_import, manual_entry, web_form, list_upload, other.</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contacts.consent_timestamp</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timestamptz</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When the current consent state was recorded.</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contacts.data_source</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Batch id or manual source reference.</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contacts.raw_payload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jsonb</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Raw imported row snapshot.</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contacts.normalized_payload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jsonb</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Normalized machine-readable snapshot.</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contacts.edited_payload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jsonb</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Current user-edited field snapshot.</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contacts.custom_fields</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jsonb</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Any unmapped or extra imported fields.</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contacts.last_contacted_at</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timestamptz</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Most recent outbound communication.</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contacts.last_validated_at</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timestamptz</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Most recent health check.</w:t>
            </w:r>
          </w:p>
        </w:tc>
      </w:tr>
      <w:tr>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contacts.archived_at</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timestamptz</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Soft archive marker.</w:t>
            </w:r>
          </w:p>
        </w:tc>
      </w:tr>
    </w:tbl>
    <w:p>
      <w:pPr>
        <w:pStyle w:val="Heading1"/>
        <w:spacing w:before="320" w:after="120" w:line="264" w:lineRule="auto"/>
      </w:pPr>
      <w:r>
        <w:rPr>
          <w:rFonts w:ascii="Calibri" w:hAnsi="Calibri"/>
          <w:b w:val="0"/>
          <w:i w:val="0"/>
          <w:color w:val="2E74B5"/>
          <w:sz w:val="32"/>
        </w:rPr>
        <w:t>4.1 Custom Field Definitions and Typed Values</w:t>
      </w:r>
    </w:p>
    <w:p>
      <w:pPr>
        <w:spacing w:before="0" w:after="120" w:line="264" w:lineRule="auto"/>
      </w:pPr>
      <w:r>
        <w:rPr>
          <w:rFonts w:ascii="Calibri" w:hAnsi="Calibri"/>
          <w:b w:val="0"/>
          <w:i w:val="0"/>
          <w:color w:val="000000"/>
          <w:sz w:val="22"/>
        </w:rPr>
        <w:t>Custom fields let the importer preserve the original spreadsheet shape while still exposing only the fields that matter for filtering, scoring, and prompt assembly. Each value row should point to exactly one contact or one company, never both.</w:t>
      </w:r>
    </w:p>
    <w:tbl>
      <w:tblPr>
        <w:tblStyle w:val="TableGrid"/>
        <w:tblW w:type="dxa" w:w="9360"/>
        <w:jc w:val="left"/>
        <w:tblLayout w:type="fixed"/>
        <w:tblLook w:firstColumn="1" w:firstRow="1" w:lastColumn="0" w:lastRow="0" w:noHBand="0" w:noVBand="1" w:val="04A0"/>
        <w:tblInd w:type="dxa" w:w="120"/>
      </w:tblPr>
      <w:tblGrid>
        <w:gridCol w:w="2100"/>
        <w:gridCol w:w="2350"/>
        <w:gridCol w:w="4910"/>
      </w:tblGrid>
      <w:tr>
        <w:trPr/>
        <w:tc>
          <w:tcPr>
            <w:tcW w:type="dxa" w:w="21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Field</w:t>
            </w:r>
          </w:p>
        </w:tc>
        <w:tc>
          <w:tcPr>
            <w:tcW w:type="dxa" w:w="235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Type / constraints</w:t>
            </w:r>
          </w:p>
        </w:tc>
        <w:tc>
          <w:tcPr>
            <w:tcW w:type="dxa" w:w="491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Purpose</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custom_field_definitions.field_id</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PK</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Definition identifier.</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custom_field_definitions.entity_type</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 or company.</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custom_field_definitions.source_header</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Original spreadsheet header.</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custom_field_definitions.internal_key</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Canonical internal field name.</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custom_field_definitions.display_name</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UI-friendly label.</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custom_field_definitions.data_type</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number, date, boolean, url, enum, json.</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custom_field_definitions.is_searchable</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boolean default false</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Whether the value should be searchable.</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custom_field_definitions.is_filterable</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boolean default false</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Whether the value should appear in filters.</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custom_field_definitions.include_in_prompt</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boolean default false</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Whether AI may use it in draft assembly.</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custom_field_definitions.validation_pattern</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Optional regex or validation rule.</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custom_field_definitions.allowed_values</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jsonb</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Optional enum values or lookup hints.</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custom_field_definitions.is_active</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boolean default true</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Definition lifecycle flag.</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custom_field_values.value_id</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PK</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Materialized custom field value.</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custom_field_values.field_id</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custom_field_definitions</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Field definition.</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custom_field_values.contact_id</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contacts null</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Contact-scoped value, if applicable.</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custom_field_values.company_id</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companies null</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Company-scoped value, if applicable.</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custom_field_values.source_batch_id</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ingestion_batches</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Origin batch for traceability.</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custom_field_values.raw_value_text</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Original value as imported.</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custom_field_values.normalized_value_text</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Normalized text representation.</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custom_field_values.value_number</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numeric</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Typed numeric value when applicable.</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custom_field_values.value_date</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date</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Typed date value when applicable.</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custom_field_values.value_boolean</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boolean</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Typed boolean value when applicable.</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custom_field_values.value_jsonb</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jsonb</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Structured value when needed.</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custom_field_values.created_at</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timestamptz</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Insert timestamp.</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custom_field_values.updated_at</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timestamptz</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Last update timestamp.</w:t>
            </w:r>
          </w:p>
        </w:tc>
      </w:tr>
    </w:tbl>
    <w:p>
      <w:pPr>
        <w:pStyle w:val="Heading1"/>
        <w:spacing w:before="320" w:after="120" w:line="264" w:lineRule="auto"/>
      </w:pPr>
      <w:r>
        <w:rPr>
          <w:rFonts w:ascii="Calibri" w:hAnsi="Calibri"/>
          <w:b w:val="0"/>
          <w:i w:val="0"/>
          <w:color w:val="2E74B5"/>
          <w:sz w:val="32"/>
        </w:rPr>
        <w:t>5. Notes and Research</w:t>
      </w:r>
    </w:p>
    <w:p>
      <w:pPr>
        <w:spacing w:before="0" w:after="120" w:line="264" w:lineRule="auto"/>
      </w:pPr>
      <w:r>
        <w:rPr>
          <w:rFonts w:ascii="Calibri" w:hAnsi="Calibri"/>
          <w:b w:val="0"/>
          <w:i w:val="0"/>
          <w:color w:val="000000"/>
          <w:sz w:val="22"/>
        </w:rPr>
        <w:t>Notes are separate from the core master record so company context and contact observations can evolve independently.</w:t>
      </w:r>
    </w:p>
    <w:tbl>
      <w:tblPr>
        <w:tblStyle w:val="TableGrid"/>
        <w:tblW w:type="dxa" w:w="9360"/>
        <w:jc w:val="left"/>
        <w:tblLayout w:type="fixed"/>
        <w:tblLook w:firstColumn="1" w:firstRow="1" w:lastColumn="0" w:lastRow="0" w:noHBand="0" w:noVBand="1" w:val="04A0"/>
        <w:tblInd w:type="dxa" w:w="120"/>
      </w:tblPr>
      <w:tblGrid>
        <w:gridCol w:w="1900"/>
        <w:gridCol w:w="2100"/>
        <w:gridCol w:w="5360"/>
      </w:tblGrid>
      <w:tr>
        <w:trPr/>
        <w:tc>
          <w:tcPr>
            <w:tcW w:type="dxa" w:w="19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Field</w:t>
            </w:r>
          </w:p>
        </w:tc>
        <w:tc>
          <w:tcPr>
            <w:tcW w:type="dxa" w:w="21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Type / constraints</w:t>
            </w:r>
          </w:p>
        </w:tc>
        <w:tc>
          <w:tcPr>
            <w:tcW w:type="dxa" w:w="536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Purpose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company_notes.note_id</w:t>
            </w:r>
          </w:p>
        </w:tc>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PK</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Individual company note entry.</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company_notes.company_id</w:t>
            </w:r>
          </w:p>
        </w:tc>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companies</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Parent company.</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company_notes.body</w:t>
            </w:r>
          </w:p>
        </w:tc>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Long-form strategic note.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company_notes.note_type</w:t>
            </w:r>
          </w:p>
        </w:tc>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Optional classification such as research, call_note, objection, follow_up.</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company_notes.author_id</w:t>
            </w:r>
          </w:p>
        </w:tc>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users</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Who added the note.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company_notes.created_at</w:t>
            </w:r>
          </w:p>
        </w:tc>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timestamptz</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Creation timestamp.</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contact_notes.note_id</w:t>
            </w:r>
          </w:p>
        </w:tc>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PK</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Individual contact note entry.</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contact_notes.contact_id</w:t>
            </w:r>
          </w:p>
        </w:tc>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contacts</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Parent contact.</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contact_notes.body</w:t>
            </w:r>
          </w:p>
        </w:tc>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Person-specific observation.</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contact_notes.note_type</w:t>
            </w:r>
          </w:p>
        </w:tc>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Optional classification.</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contact_notes.author_id</w:t>
            </w:r>
          </w:p>
        </w:tc>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users</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Who added the note.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company_research_cards.card_id</w:t>
            </w:r>
          </w:p>
        </w:tc>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PK</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Active or historical company research card.</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company_research_cards.company_id</w:t>
            </w:r>
          </w:p>
        </w:tc>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companies</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Parent company.</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company_research_cards.summary</w:t>
            </w:r>
          </w:p>
        </w:tc>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Concise company context for drafting.</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company_research_cards.pain_points</w:t>
            </w:r>
          </w:p>
        </w:tc>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Observed or inferred business problems.</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company_research_cards.opportunity_hypotheses</w:t>
            </w:r>
          </w:p>
        </w:tc>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Internal hypotheses only; not factual claims.</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company_research_cards.confidence_score</w:t>
            </w:r>
          </w:p>
        </w:tc>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smallint</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Research confidence or completeness score.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company_research_cards.last_researched_at</w:t>
            </w:r>
          </w:p>
        </w:tc>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timestamptz</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Freshness marker.</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company_research_sources.source_id</w:t>
            </w:r>
          </w:p>
        </w:tc>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PK</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Curated source entry.</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company_research_sources.company_id</w:t>
            </w:r>
          </w:p>
        </w:tc>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companies</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Parent company.</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company_research_sources.source_type</w:t>
            </w:r>
          </w:p>
        </w:tc>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web, manual_note, call_note, internal_reference.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company_research_sources.source_url</w:t>
            </w:r>
          </w:p>
        </w:tc>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Reference URL when applicable.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company_research_sources.excerpt</w:t>
            </w:r>
          </w:p>
        </w:tc>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Snippet or observation from source.</w:t>
            </w:r>
          </w:p>
        </w:tc>
      </w:tr>
    </w:tbl>
    <w:p>
      <w:pPr>
        <w:pStyle w:val="Heading1"/>
        <w:spacing w:before="320" w:after="120" w:line="264" w:lineRule="auto"/>
      </w:pPr>
      <w:r>
        <w:rPr>
          <w:rFonts w:ascii="Calibri" w:hAnsi="Calibri"/>
          <w:b w:val="0"/>
          <w:i w:val="0"/>
          <w:color w:val="2E74B5"/>
          <w:sz w:val="32"/>
        </w:rPr>
        <w:t>6. Ingestion and Batch Control</w:t>
      </w:r>
    </w:p>
    <w:p>
      <w:pPr>
        <w:spacing w:before="0" w:after="120" w:line="264" w:lineRule="auto"/>
      </w:pPr>
      <w:r>
        <w:rPr>
          <w:rFonts w:ascii="Calibri" w:hAnsi="Calibri"/>
          <w:b w:val="0"/>
          <w:i w:val="0"/>
          <w:color w:val="000000"/>
          <w:sz w:val="22"/>
        </w:rPr>
        <w:t>These tables preserve source-file lineage and let the system stage, validate, and review data before it reaches the master tables.</w:t>
      </w:r>
    </w:p>
    <w:tbl>
      <w:tblPr>
        <w:tblStyle w:val="TableGrid"/>
        <w:tblW w:type="dxa" w:w="9360"/>
        <w:jc w:val="left"/>
        <w:tblLayout w:type="fixed"/>
        <w:tblLook w:firstColumn="1" w:firstRow="1" w:lastColumn="0" w:lastRow="0" w:noHBand="0" w:noVBand="1" w:val="04A0"/>
        <w:tblInd w:type="dxa" w:w="120"/>
      </w:tblPr>
      <w:tblGrid>
        <w:gridCol w:w="1900"/>
        <w:gridCol w:w="2300"/>
        <w:gridCol w:w="5160"/>
      </w:tblGrid>
      <w:tr>
        <w:trPr/>
        <w:tc>
          <w:tcPr>
            <w:tcW w:type="dxa" w:w="19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Field</w:t>
            </w:r>
          </w:p>
        </w:tc>
        <w:tc>
          <w:tcPr>
            <w:tcW w:type="dxa" w:w="23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Type / constraints</w:t>
            </w:r>
          </w:p>
        </w:tc>
        <w:tc>
          <w:tcPr>
            <w:tcW w:type="dxa" w:w="516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Purpose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import_profiles.profile_id</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PK</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Saved mapping profile.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import_profiles.name</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Human-readable profile name.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import_profiles.header_hash</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unique</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Header-row signature for auto-mapping.</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import_profiles.mapping_jsonb</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jsonb not null</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Source header to target field map.</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import_profiles.last_used_at</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timestamptz</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Usage tracking.</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ingestion_batches.batch_id</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PK</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One uploaded file.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ingestion_batches.file_name</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Original file name.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ingestion_batches.file_hash</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unique not null</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SHA-256 hash of the upload.</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ingestion_batches.profile_id</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import_profiles</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Mapping profile used.</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ingestion_batches.uploaded_by</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users</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Uploader.</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ingestion_batches.status</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staged, reviewing, committed, rejected, archived.</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ingestion_batches.total_rows</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integer</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Total rows seen.</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ingestion_batches.accepted_rows</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integer</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Rows committed to master.</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ingestion_batches.duplicate_rows</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integer</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Rows flagged as duplicates.</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ingestion_batch_rows.batch_row_id</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PK</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Staging row record.</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ingestion_batch_rows.batch_id</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ingestion_batches</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Parent batch.</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ingestion_batch_rows.row_number</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integer</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Original spreadsheet row number.</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ingestion_batch_rows.row_status</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clean, invalid, duplicate, review, accepted, rejected.</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ingestion_batch_rows.row_reason</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Human-readable validation reason.</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ingestion_batch_rows.raw_row</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jsonb not null</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Original raw source row.</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ingestion_batch_rows.mapped_row</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jsonb</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Mapped internal field structure.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ingestion_batch_rows.matched_contact_id</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contacts</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Resolved contact if known.</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ingestion_batch_rows.matched_company_id</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companies</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Resolved company if known.</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ingestion_batch_rows.duplicate_candidate_id</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Pointer to duplicate review candidate.</w:t>
            </w:r>
          </w:p>
        </w:tc>
      </w:tr>
    </w:tbl>
    <w:p>
      <w:pPr>
        <w:pStyle w:val="Heading1"/>
        <w:spacing w:before="320" w:after="120" w:line="264" w:lineRule="auto"/>
      </w:pPr>
      <w:r>
        <w:rPr>
          <w:rFonts w:ascii="Calibri" w:hAnsi="Calibri"/>
          <w:b w:val="0"/>
          <w:i w:val="0"/>
          <w:color w:val="2E74B5"/>
          <w:sz w:val="32"/>
        </w:rPr>
        <w:t>7. Duplicate Resolution and Merge History</w:t>
      </w:r>
    </w:p>
    <w:p>
      <w:pPr>
        <w:spacing w:before="0" w:after="120" w:line="264" w:lineRule="auto"/>
      </w:pPr>
      <w:r>
        <w:rPr>
          <w:rFonts w:ascii="Calibri" w:hAnsi="Calibri"/>
          <w:b w:val="0"/>
          <w:i w:val="0"/>
          <w:color w:val="000000"/>
          <w:sz w:val="22"/>
        </w:rPr>
        <w:t>These tables capture exact or fuzzy matches, the human review process, and the final merge outcome.</w:t>
      </w:r>
    </w:p>
    <w:tbl>
      <w:tblPr>
        <w:tblStyle w:val="TableGrid"/>
        <w:tblW w:type="dxa" w:w="9360"/>
        <w:jc w:val="left"/>
        <w:tblLayout w:type="fixed"/>
        <w:tblLook w:firstColumn="1" w:firstRow="1" w:lastColumn="0" w:lastRow="0" w:noHBand="0" w:noVBand="1" w:val="04A0"/>
        <w:tblInd w:type="dxa" w:w="120"/>
      </w:tblPr>
      <w:tblGrid>
        <w:gridCol w:w="1900"/>
        <w:gridCol w:w="2300"/>
        <w:gridCol w:w="5160"/>
      </w:tblGrid>
      <w:tr>
        <w:trPr/>
        <w:tc>
          <w:tcPr>
            <w:tcW w:type="dxa" w:w="19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Field</w:t>
            </w:r>
          </w:p>
        </w:tc>
        <w:tc>
          <w:tcPr>
            <w:tcW w:type="dxa" w:w="23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Type / constraints</w:t>
            </w:r>
          </w:p>
        </w:tc>
        <w:tc>
          <w:tcPr>
            <w:tcW w:type="dxa" w:w="516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Purpose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duplicate_candidates.candidate_id</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PK</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One possible duplicate relationship.</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duplicate_candidates.entity_type</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 or company.</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duplicate_candidates.existing_entity_id</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not null</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Known existing record.</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duplicate_candidates.source_entity_id</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not null</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New or staged record.</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duplicate_candidates.match_rule</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email, linkedin, name+company, domain, fuzzy_name, fuzzy_company.</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duplicate_candidates.match_score</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numeric</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Similarity score.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duplicate_candidates.review_status</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pending, accepted, rejected, merged.</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duplicate_candidates.assigned_to</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users</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Reviewer currently assigned.</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duplicate_candidates.assigned_at</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timestamptz</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Assignment timestamp.</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duplicate_candidates.resolved_by</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users</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Reviewer who handled the candidate.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merge_events.merge_id</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PK</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Completed merge record.</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merge_events.entity_type</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 or company.</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merge_events.survivor_entity_id</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not null</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Record that remains active.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merge_events.merged_entity_id</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not null</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Record that was absorbed.</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merge_events.merge_reason</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Why the merge happened.</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merge_events.conflict_resolution_jsonb</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jsonb</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Field-level before/after resolution data.</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merge_events.created_by</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users</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Who approved or triggered the merge.</w:t>
            </w:r>
          </w:p>
        </w:tc>
      </w:tr>
    </w:tbl>
    <w:p>
      <w:pPr>
        <w:pStyle w:val="Heading1"/>
        <w:spacing w:before="320" w:after="120" w:line="264" w:lineRule="auto"/>
      </w:pPr>
      <w:r>
        <w:rPr>
          <w:rFonts w:ascii="Calibri" w:hAnsi="Calibri"/>
          <w:b w:val="0"/>
          <w:i w:val="0"/>
          <w:color w:val="2E74B5"/>
          <w:sz w:val="32"/>
        </w:rPr>
        <w:t>8. Scoring, Health, and Suppression</w:t>
      </w:r>
    </w:p>
    <w:p>
      <w:pPr>
        <w:spacing w:before="0" w:after="120" w:line="264" w:lineRule="auto"/>
      </w:pPr>
      <w:r>
        <w:rPr>
          <w:rFonts w:ascii="Calibri" w:hAnsi="Calibri"/>
          <w:b w:val="0"/>
          <w:i w:val="0"/>
          <w:color w:val="000000"/>
          <w:sz w:val="22"/>
        </w:rPr>
        <w:t>These tables model quality, readiness, and do-not-contact behavior.</w:t>
      </w:r>
    </w:p>
    <w:tbl>
      <w:tblPr>
        <w:tblStyle w:val="TableGrid"/>
        <w:tblW w:type="dxa" w:w="9360"/>
        <w:jc w:val="left"/>
        <w:tblLayout w:type="fixed"/>
        <w:tblLook w:firstColumn="1" w:firstRow="1" w:lastColumn="0" w:lastRow="0" w:noHBand="0" w:noVBand="1" w:val="04A0"/>
        <w:tblInd w:type="dxa" w:w="120"/>
      </w:tblPr>
      <w:tblGrid>
        <w:gridCol w:w="1900"/>
        <w:gridCol w:w="2200"/>
        <w:gridCol w:w="5260"/>
      </w:tblGrid>
      <w:tr>
        <w:trPr/>
        <w:tc>
          <w:tcPr>
            <w:tcW w:type="dxa" w:w="19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Field</w:t>
            </w:r>
          </w:p>
        </w:tc>
        <w:tc>
          <w:tcPr>
            <w:tcW w:type="dxa" w:w="22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Type / constraints</w:t>
            </w:r>
          </w:p>
        </w:tc>
        <w:tc>
          <w:tcPr>
            <w:tcW w:type="dxa" w:w="526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Purpose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contact_scores.score_id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PK</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Score snapshot.</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contact_scores.contact_id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contacts</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Scored contact.</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contact_scores.total_score</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smallint</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Aggregate score.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contact_scores.score_band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Hot, warm, cold, or custom.</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contact_scores.rule_breakdown</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jsonb</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Explanation for the score.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contact_scores.evaluated_at</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timestamptz</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When the score was calculated.</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email_health_checks.health_check_id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PK</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One validation snapshot.</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email_health_checks.contact_id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contacts</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Checked contact.</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email_health_checks.status</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valid, risky, invalid, unknown.</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email_health_checks.score</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smallint</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Risk or confidence score.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email_health_checks.action_recommendation</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allow, review, or block based on score thresholds.</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email_health_checks.syntax_ok</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boolean</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Syntax test result.</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email_health_checks.domain_ok</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boolean</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Domain resolution result.</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email_health_checks.mx_ok</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boolean</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MX lookup result.</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email_health_checks.disposable_ok</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boolean</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Disposable-domain check result.</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email_health_checks.bounce_count</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integer</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Observed bounce count.</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email_health_checks.checked_at</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timestamptz</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Validation timestamp.</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suppression_entries.suppression_id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PK</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Suppression record.</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suppression_entries.contact_id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contacts</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Suppressed contact.</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suppression_entries.company_id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companies</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Optional company-level suppression.</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suppression_entries.suppression_type</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unsubscribed, bounce_soft, bounce_hard, manual_dnc, temporary_pause.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suppression_entries.reason</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Human-readable reason or opt-out note.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suppression_entries.source_channel</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outlook_reply, list_unsubscribe, admin_action, import, webhook.</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suppression_entries.source_message_id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Related inbound or outbound message identifier.</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suppression_entries.expires_at</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timestamptz</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Optional expiry for temporary pauses.</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suppression_entries.is_active</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boolean default true</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Active suppression state.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suppression_entries.created_by</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users</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Who created the suppression.</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suppression_entries.removed_by</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users</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Who removed it, if ever.</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suppression_entries.removed_at</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timestamptz</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Removal timestamp.</w:t>
            </w:r>
          </w:p>
        </w:tc>
      </w:tr>
    </w:tbl>
    <w:p>
      <w:pPr>
        <w:pStyle w:val="Heading1"/>
        <w:spacing w:before="320" w:after="120" w:line="264" w:lineRule="auto"/>
      </w:pPr>
      <w:r>
        <w:rPr>
          <w:rFonts w:ascii="Calibri" w:hAnsi="Calibri"/>
          <w:b w:val="0"/>
          <w:i w:val="0"/>
          <w:color w:val="2E74B5"/>
          <w:sz w:val="32"/>
        </w:rPr>
        <w:t>8.1 Contact Scoring Rules</w:t>
      </w:r>
    </w:p>
    <w:p>
      <w:pPr>
        <w:spacing w:before="0" w:after="120" w:line="264" w:lineRule="auto"/>
      </w:pPr>
      <w:r>
        <w:rPr>
          <w:rFonts w:ascii="Calibri" w:hAnsi="Calibri"/>
          <w:b w:val="0"/>
          <w:i w:val="0"/>
          <w:color w:val="000000"/>
          <w:sz w:val="22"/>
        </w:rPr>
        <w:t>These tables let the admin tune the initial rules-based scoring model without changing application code.</w:t>
      </w:r>
    </w:p>
    <w:tbl>
      <w:tblPr>
        <w:tblStyle w:val="TableGrid"/>
        <w:tblW w:type="dxa" w:w="9360"/>
        <w:jc w:val="left"/>
        <w:tblLayout w:type="fixed"/>
        <w:tblLook w:firstColumn="1" w:firstRow="1" w:lastColumn="0" w:lastRow="0" w:noHBand="0" w:noVBand="1" w:val="04A0"/>
        <w:tblInd w:type="dxa" w:w="120"/>
      </w:tblPr>
      <w:tblGrid>
        <w:gridCol w:w="2100"/>
        <w:gridCol w:w="2350"/>
        <w:gridCol w:w="4910"/>
      </w:tblGrid>
      <w:tr>
        <w:trPr/>
        <w:tc>
          <w:tcPr>
            <w:tcW w:type="dxa" w:w="21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Field</w:t>
            </w:r>
          </w:p>
        </w:tc>
        <w:tc>
          <w:tcPr>
            <w:tcW w:type="dxa" w:w="235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Type / constraints</w:t>
            </w:r>
          </w:p>
        </w:tc>
        <w:tc>
          <w:tcPr>
            <w:tcW w:type="dxa" w:w="491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Purpose</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contact_scoring_rules.rule_id</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PK</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One scoring rule.</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contact_scoring_rules.name</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Human-readable rule name.</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contact_scoring_rules.description</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What the rule is intended to capture.</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contact_scoring_rules.applies_to</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 or company scope.</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contact_scoring_rules.condition_jsonb</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jsonb not null</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Condition definition.</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contact_scoring_rules.weight</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smallint not null</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Rule weight in points.</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contact_scoring_rules.sort_order</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smallint</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Execution order.</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contact_scoring_rules.is_active</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boolean default true</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Rule on/off flag.</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contact_scoring_rules.created_by</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users</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Rule author.</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contact_scoring_rules.created_at</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timestamptz</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Creation timestamp.</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contact_scoring_rules.updated_at</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timestamptz</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Last update timestamp.</w:t>
            </w:r>
          </w:p>
        </w:tc>
      </w:tr>
    </w:tbl>
    <w:p>
      <w:pPr>
        <w:pStyle w:val="Heading1"/>
        <w:spacing w:before="320" w:after="120" w:line="264" w:lineRule="auto"/>
      </w:pPr>
      <w:r>
        <w:rPr>
          <w:rFonts w:ascii="Calibri" w:hAnsi="Calibri"/>
          <w:b w:val="0"/>
          <w:i w:val="0"/>
          <w:color w:val="2E74B5"/>
          <w:sz w:val="32"/>
        </w:rPr>
        <w:t>9. AI Drafting and Approval</w:t>
      </w:r>
    </w:p>
    <w:p>
      <w:pPr>
        <w:spacing w:before="0" w:after="120" w:line="264" w:lineRule="auto"/>
      </w:pPr>
      <w:r>
        <w:rPr>
          <w:rFonts w:ascii="Calibri" w:hAnsi="Calibri"/>
          <w:b w:val="0"/>
          <w:i w:val="0"/>
          <w:color w:val="000000"/>
          <w:sz w:val="22"/>
        </w:rPr>
        <w:t>These tables store generated output, human edits, and the metadata that explains why a draft exists.</w:t>
      </w:r>
    </w:p>
    <w:tbl>
      <w:tblPr>
        <w:tblStyle w:val="TableGrid"/>
        <w:tblW w:type="dxa" w:w="9360"/>
        <w:jc w:val="left"/>
        <w:tblLayout w:type="fixed"/>
        <w:tblLook w:firstColumn="1" w:firstRow="1" w:lastColumn="0" w:lastRow="0" w:noHBand="0" w:noVBand="1" w:val="04A0"/>
        <w:tblInd w:type="dxa" w:w="120"/>
      </w:tblPr>
      <w:tblGrid>
        <w:gridCol w:w="1900"/>
        <w:gridCol w:w="2200"/>
        <w:gridCol w:w="5260"/>
      </w:tblGrid>
      <w:tr>
        <w:trPr/>
        <w:tc>
          <w:tcPr>
            <w:tcW w:type="dxa" w:w="19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Field</w:t>
            </w:r>
          </w:p>
        </w:tc>
        <w:tc>
          <w:tcPr>
            <w:tcW w:type="dxa" w:w="22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Type / constraints</w:t>
            </w:r>
          </w:p>
        </w:tc>
        <w:tc>
          <w:tcPr>
            <w:tcW w:type="dxa" w:w="526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Purpose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drafts.draft_id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PK</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Primary draft record.</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drafts.contact_id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contacts</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 target.</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drafts.company_id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companies</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 context anchor.</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drafts.sequence_run_id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contact_sequence_runs</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Optional sequence linkage.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drafts.subject</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Email subject line.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drafts.body</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Email body.</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drafts.cta</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Short call-to-action line.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drafts.model_provider</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AI provider such as OpenAI or another approved API provider.</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drafts.model_name</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AI model used.</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drafts.model_version</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Pinned model version or snapshot.</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drafts.prompt_template_id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prompt_templates</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Prompt template used for generation.</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drafts.prompt_version</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Prompt template version label.</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drafts.prompt_tokens</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integer</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Prompt token usage.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drafts.completion_tokens</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integer</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Completion token usage.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drafts.estimated_cost_usd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numeric</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Estimated generation cost.</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drafts.confidence_score</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smallint</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Model or reviewer confidence.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drafts.status</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generated, reviewed, approved, rejected.</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drafts.source_context_jsonb</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jsonb</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Contact/company/capability inputs used.</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drafts.assumptions_jsonb</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jsonb</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Any clearly labeled assumptions.</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drafts.review_assigned_to</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users</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Reviewer currently assigned.</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drafts.review_assigned_at</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timestamptz</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Assignment timestamp.</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drafts.reviewed_by</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users</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Reviewer who handled the draft.</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drafts.reviewed_at</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timestamptz</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Review timestamp.</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drafts.review_notes</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Reviewer notes or feedback.</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drafts.rejected_by</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users</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Reviewer who rejected the draft.</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drafts.rejected_at</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timestamptz</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Rejection timestamp.</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drafts.rejection_reason</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Reason for rejection.</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drafts.approved_by</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users</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Reviewer who approved.</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drafts.approved_at</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timestamptz</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Approval time.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draft_versions.version_id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PK</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Version row.</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draft_versions.draft_id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drafts</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Parent draft.</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draft_versions.version_number</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integer</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Monotonic revision number.</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draft_versions.subject</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Versioned subject.</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draft_versions.body</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Versioned body.</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draft_versions.edited_by</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users</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Who changed it.</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draft_versions.edited_at</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timestamptz</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Edit timestamp.</w:t>
            </w:r>
          </w:p>
        </w:tc>
      </w:tr>
    </w:tbl>
    <w:p>
      <w:pPr>
        <w:pStyle w:val="Heading1"/>
        <w:spacing w:before="320" w:after="120" w:line="264" w:lineRule="auto"/>
      </w:pPr>
      <w:r>
        <w:rPr>
          <w:rFonts w:ascii="Calibri" w:hAnsi="Calibri"/>
          <w:b w:val="0"/>
          <w:i w:val="0"/>
          <w:color w:val="2E74B5"/>
          <w:sz w:val="32"/>
        </w:rPr>
        <w:t>9.1 Prompt Templates and AI Runs</w:t>
      </w:r>
    </w:p>
    <w:p>
      <w:pPr>
        <w:spacing w:before="0" w:after="120" w:line="264" w:lineRule="auto"/>
      </w:pPr>
      <w:r>
        <w:rPr>
          <w:rFonts w:ascii="Calibri" w:hAnsi="Calibri"/>
          <w:b w:val="0"/>
          <w:i w:val="0"/>
          <w:color w:val="000000"/>
          <w:sz w:val="22"/>
        </w:rPr>
        <w:t>These tables pin the prompt structure and keep a history of each AI generation attempt, including cost and failure state.</w:t>
      </w:r>
    </w:p>
    <w:tbl>
      <w:tblPr>
        <w:tblStyle w:val="TableGrid"/>
        <w:tblW w:type="dxa" w:w="9360"/>
        <w:jc w:val="left"/>
        <w:tblLayout w:type="fixed"/>
        <w:tblLook w:firstColumn="1" w:firstRow="1" w:lastColumn="0" w:lastRow="0" w:noHBand="0" w:noVBand="1" w:val="04A0"/>
        <w:tblInd w:type="dxa" w:w="120"/>
      </w:tblPr>
      <w:tblGrid>
        <w:gridCol w:w="2100"/>
        <w:gridCol w:w="2350"/>
        <w:gridCol w:w="4910"/>
      </w:tblGrid>
      <w:tr>
        <w:trPr/>
        <w:tc>
          <w:tcPr>
            <w:tcW w:type="dxa" w:w="21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Field</w:t>
            </w:r>
          </w:p>
        </w:tc>
        <w:tc>
          <w:tcPr>
            <w:tcW w:type="dxa" w:w="235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Type / constraints</w:t>
            </w:r>
          </w:p>
        </w:tc>
        <w:tc>
          <w:tcPr>
            <w:tcW w:type="dxa" w:w="491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Purpose</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prompt_templates.template_id</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PK</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Prompt template identifier.</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prompt_templates.name</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Human-readable template name.</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prompt_templates.version_number</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integer not null</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Template version.</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prompt_templates.provider</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Provider the template is intended for.</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prompt_templates.model_family</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Model family hint such as gpt-4-class.</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prompt_templates.system_prompt</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System instructions.</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prompt_templates.user_prompt</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User prompt body or template.</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prompt_templates.output_schema_jsonb</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jsonb</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Expected structured output contract.</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prompt_templates.is_active</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boolean default true</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Active template flag.</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prompt_templates.superseded_by</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prompt_templates</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Next active template version.</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prompt_templates.created_by</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users</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Template author.</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prompt_templates.created_at</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timestamptz</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Creation timestamp.</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ai_generation_runs.run_id</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PK</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One generation attempt.</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ai_generation_runs.draft_id</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drafts</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Generated draft.</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ai_generation_runs.prompt_template_id</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prompt_templates</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Template used.</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ai_generation_runs.provider</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Provider name.</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ai_generation_runs.model_name</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Model name.</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ai_generation_runs.model_version</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Pinned version or snapshot.</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ai_generation_runs.input_tokens</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integer</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Prompt token count.</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ai_generation_runs.output_tokens</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integer</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Completion token count.</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ai_generation_runs.estimated_cost_usd</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numeric</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Estimated cost for the run.</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ai_generation_runs.status</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queued, running, succeeded, failed.</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ai_generation_runs.error_message</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Failure reason if any.</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ai_generation_runs.started_at</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timestamptz</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Start timestamp.</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ai_generation_runs.completed_at</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timestamptz</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Completion timestamp.</w:t>
            </w:r>
          </w:p>
        </w:tc>
      </w:tr>
    </w:tbl>
    <w:p>
      <w:pPr>
        <w:pStyle w:val="Heading1"/>
        <w:spacing w:before="320" w:after="120" w:line="264" w:lineRule="auto"/>
      </w:pPr>
      <w:r>
        <w:rPr>
          <w:rFonts w:ascii="Calibri" w:hAnsi="Calibri"/>
          <w:b w:val="0"/>
          <w:i w:val="0"/>
          <w:color w:val="2E74B5"/>
          <w:sz w:val="32"/>
        </w:rPr>
        <w:t>10. Sequence and Outbox Execution</w:t>
      </w:r>
    </w:p>
    <w:p>
      <w:pPr>
        <w:spacing w:before="0" w:after="120" w:line="264" w:lineRule="auto"/>
      </w:pPr>
      <w:r>
        <w:rPr>
          <w:rFonts w:ascii="Calibri" w:hAnsi="Calibri"/>
          <w:b w:val="0"/>
          <w:i w:val="0"/>
          <w:color w:val="000000"/>
          <w:sz w:val="22"/>
        </w:rPr>
        <w:t>These tables control follow-up sequencing, scheduling, delivery, retries, and send state.</w:t>
      </w:r>
    </w:p>
    <w:tbl>
      <w:tblPr>
        <w:tblStyle w:val="TableGrid"/>
        <w:tblW w:type="dxa" w:w="9360"/>
        <w:jc w:val="left"/>
        <w:tblLayout w:type="fixed"/>
        <w:tblLook w:firstColumn="1" w:firstRow="1" w:lastColumn="0" w:lastRow="0" w:noHBand="0" w:noVBand="1" w:val="04A0"/>
        <w:tblInd w:type="dxa" w:w="120"/>
      </w:tblPr>
      <w:tblGrid>
        <w:gridCol w:w="1900"/>
        <w:gridCol w:w="2200"/>
        <w:gridCol w:w="5260"/>
      </w:tblGrid>
      <w:tr>
        <w:trPr/>
        <w:tc>
          <w:tcPr>
            <w:tcW w:type="dxa" w:w="19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Field</w:t>
            </w:r>
          </w:p>
        </w:tc>
        <w:tc>
          <w:tcPr>
            <w:tcW w:type="dxa" w:w="22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Type / constraints</w:t>
            </w:r>
          </w:p>
        </w:tc>
        <w:tc>
          <w:tcPr>
            <w:tcW w:type="dxa" w:w="526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Purpose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outreach_sequences.sequence_id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PK</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Simple reusable sequence definition.</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outreach_sequences.name</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Sequence name.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outreach_sequences.is_active</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boolean default true</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Availability flag.</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outreach_sequence_steps.step_id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PK</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Step record.</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outreach_sequence_steps.sequence_id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outreach_sequences</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Parent sequence.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outreach_sequence_steps.step_order</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smallint not null</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1, 2, 3, etc.</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outreach_sequence_steps.delay_days</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smallint not null</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Delay after the previous step.</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outreach_sequence_steps.step_type</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initial or followup.</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contact_sequence_runs.run_id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PK</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Per-contact sequence progress.</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contact_sequence_runs.contact_id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contacts</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Tracked contact.</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contact_sequence_runs.sequence_id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outreach_sequences</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Selected sequence.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contact_sequence_runs.current_step</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smallint</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Current step number.</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contact_sequence_runs.status</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running, paused, completed, stopped.</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contact_sequence_runs.next_step_at</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timestamptz</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Next scheduled action.</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outbound_messages.message_id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PK</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Queue item / delivery record.</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outbound_messages.draft_id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drafts</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Source approved draft.</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outbound_messages.contact_id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contacts</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Recipient.</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outbound_messages.mailbox_id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mailboxes</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Sending mailbox.</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outbound_messages.delivery_mode</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production or dry_run.</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outbound_messages.provider_message_id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unique</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Microsoft Graph message identifier.</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outbound_messages.thread_id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Conversation thread identifier.</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outbound_messages.status</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queued, sending, sent, failed, paused, dry_run.</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outbound_messages.scheduled_for</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timestamptz</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Planned send time.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outbound_messages.sent_at</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timestamptz</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Actual send time.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outbound_message_attempts.attempt_id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PK</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Retry record.</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outbound_message_attempts.message_id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outbound_messages</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Parent message.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outbound_message_attempts.attempt_number</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smallint</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1, 2, 3...</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outbound_message_attempts.attempt_status</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success or failed.</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outbound_message_attempts.error_code</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Provider or network error code.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outbound_message_attempts.error_message</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Human-readable failure reason.</w:t>
            </w:r>
          </w:p>
        </w:tc>
      </w:tr>
    </w:tbl>
    <w:p>
      <w:pPr>
        <w:pStyle w:val="Heading1"/>
        <w:spacing w:before="320" w:after="120" w:line="264" w:lineRule="auto"/>
      </w:pPr>
      <w:r>
        <w:rPr>
          <w:rFonts w:ascii="Calibri" w:hAnsi="Calibri"/>
          <w:b w:val="0"/>
          <w:i w:val="0"/>
          <w:color w:val="2E74B5"/>
          <w:sz w:val="32"/>
        </w:rPr>
        <w:t>11. Inbound Replies and Bounce Tracking</w:t>
      </w:r>
    </w:p>
    <w:p>
      <w:pPr>
        <w:spacing w:before="0" w:after="120" w:line="264" w:lineRule="auto"/>
      </w:pPr>
      <w:r>
        <w:rPr>
          <w:rFonts w:ascii="Calibri" w:hAnsi="Calibri"/>
          <w:b w:val="0"/>
          <w:i w:val="0"/>
          <w:color w:val="000000"/>
          <w:sz w:val="22"/>
        </w:rPr>
        <w:t>These tables capture incoming email signals and tie them back to the correct contact and thread.</w:t>
      </w:r>
    </w:p>
    <w:tbl>
      <w:tblPr>
        <w:tblStyle w:val="TableGrid"/>
        <w:tblW w:type="dxa" w:w="9360"/>
        <w:jc w:val="left"/>
        <w:tblLayout w:type="fixed"/>
        <w:tblLook w:firstColumn="1" w:firstRow="1" w:lastColumn="0" w:lastRow="0" w:noHBand="0" w:noVBand="1" w:val="04A0"/>
        <w:tblInd w:type="dxa" w:w="120"/>
      </w:tblPr>
      <w:tblGrid>
        <w:gridCol w:w="1900"/>
        <w:gridCol w:w="2200"/>
        <w:gridCol w:w="5260"/>
      </w:tblGrid>
      <w:tr>
        <w:trPr/>
        <w:tc>
          <w:tcPr>
            <w:tcW w:type="dxa" w:w="19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Field</w:t>
            </w:r>
          </w:p>
        </w:tc>
        <w:tc>
          <w:tcPr>
            <w:tcW w:type="dxa" w:w="22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Type / constraints</w:t>
            </w:r>
          </w:p>
        </w:tc>
        <w:tc>
          <w:tcPr>
            <w:tcW w:type="dxa" w:w="526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Purpose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inbound_messages.inbound_message_id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PK</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Received message record.</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inbound_messages.contact_id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contacts</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Matched contact.</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inbound_messages.company_id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companies</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Matched company.</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inbound_messages.provider_message_id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unique</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Message identifier from Outlook or Graph.</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inbound_messages.thread_id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Thread identifier used to group the conversation.</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inbound_messages.subject</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Incoming subject.</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inbound_messages.body_text</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Plain text body.</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inbound_messages.classification</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positive_interest, negative_interest, out_of_office, unsubscribe, neutral, unknown_requires_review.</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inbound_messages.classification_confidence</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smallint</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Confidence in the reply classification.</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inbound_messages.received_at</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timestamptz</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Received timestamp.</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inbound_messages.raw_payload</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jsonb</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Provider response for traceability.</w:t>
            </w:r>
          </w:p>
        </w:tc>
      </w:tr>
    </w:tbl>
    <w:p>
      <w:pPr>
        <w:pStyle w:val="Heading1"/>
        <w:spacing w:before="320" w:after="120" w:line="264" w:lineRule="auto"/>
      </w:pPr>
      <w:r>
        <w:rPr>
          <w:rFonts w:ascii="Calibri" w:hAnsi="Calibri"/>
          <w:b w:val="0"/>
          <w:i w:val="0"/>
          <w:color w:val="2E74B5"/>
          <w:sz w:val="32"/>
        </w:rPr>
        <w:t>11.1 Bounce Events</w:t>
      </w:r>
    </w:p>
    <w:p>
      <w:pPr>
        <w:spacing w:before="0" w:after="120" w:line="264" w:lineRule="auto"/>
      </w:pPr>
      <w:r>
        <w:rPr>
          <w:rFonts w:ascii="Calibri" w:hAnsi="Calibri"/>
          <w:b w:val="0"/>
          <w:i w:val="0"/>
          <w:color w:val="000000"/>
          <w:sz w:val="22"/>
        </w:rPr>
        <w:t>Bounce events are stored separately from replies so the system can distinguish deliverability failures from ordinary conversation replies.</w:t>
      </w:r>
    </w:p>
    <w:tbl>
      <w:tblPr>
        <w:tblStyle w:val="TableGrid"/>
        <w:tblW w:type="dxa" w:w="9360"/>
        <w:jc w:val="left"/>
        <w:tblLayout w:type="fixed"/>
        <w:tblLook w:firstColumn="1" w:firstRow="1" w:lastColumn="0" w:lastRow="0" w:noHBand="0" w:noVBand="1" w:val="04A0"/>
        <w:tblInd w:type="dxa" w:w="120"/>
      </w:tblPr>
      <w:tblGrid>
        <w:gridCol w:w="2100"/>
        <w:gridCol w:w="2350"/>
        <w:gridCol w:w="4910"/>
      </w:tblGrid>
      <w:tr>
        <w:trPr/>
        <w:tc>
          <w:tcPr>
            <w:tcW w:type="dxa" w:w="21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Field</w:t>
            </w:r>
          </w:p>
        </w:tc>
        <w:tc>
          <w:tcPr>
            <w:tcW w:type="dxa" w:w="235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Type / constraints</w:t>
            </w:r>
          </w:p>
        </w:tc>
        <w:tc>
          <w:tcPr>
            <w:tcW w:type="dxa" w:w="491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Purpose</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bounce_events.bounce_id</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PK</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Bounce record identifier.</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bounce_events.outbound_message_id</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outbound_messages</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Message that bounced.</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bounce_events.contact_id</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contacts</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Affected contact.</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bounce_events.company_id</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companies</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Affected company.</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bounce_events.bounce_type</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hard, soft, mailbox_full, policy, unknown.</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bounce_events.reason</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Bounce explanation.</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bounce_events.provider_message_id</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Provider bounce identifier.</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bounce_events.received_at</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timestamptz</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Bounce timestamp.</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bounce_events.raw_payload</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jsonb</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Provider response for traceability.</w:t>
            </w:r>
          </w:p>
        </w:tc>
      </w:tr>
    </w:tbl>
    <w:p>
      <w:pPr>
        <w:pStyle w:val="Heading1"/>
        <w:spacing w:before="320" w:after="120" w:line="264" w:lineRule="auto"/>
      </w:pPr>
      <w:r>
        <w:rPr>
          <w:rFonts w:ascii="Calibri" w:hAnsi="Calibri"/>
          <w:b w:val="0"/>
          <w:i w:val="0"/>
          <w:color w:val="2E74B5"/>
          <w:sz w:val="32"/>
        </w:rPr>
        <w:t>12. Knowledge Base Assets</w:t>
      </w:r>
    </w:p>
    <w:p>
      <w:pPr>
        <w:spacing w:before="0" w:after="120" w:line="264" w:lineRule="auto"/>
      </w:pPr>
      <w:r>
        <w:rPr>
          <w:rFonts w:ascii="Calibri" w:hAnsi="Calibri"/>
          <w:b w:val="0"/>
          <w:i w:val="0"/>
          <w:color w:val="000000"/>
          <w:sz w:val="22"/>
        </w:rPr>
        <w:t>These tables store the internal service library that powers AI drafting and manual reuse.</w:t>
      </w:r>
    </w:p>
    <w:tbl>
      <w:tblPr>
        <w:tblStyle w:val="TableGrid"/>
        <w:tblW w:type="dxa" w:w="9360"/>
        <w:jc w:val="left"/>
        <w:tblLayout w:type="fixed"/>
        <w:tblLook w:firstColumn="1" w:firstRow="1" w:lastColumn="0" w:lastRow="0" w:noHBand="0" w:noVBand="1" w:val="04A0"/>
        <w:tblInd w:type="dxa" w:w="120"/>
      </w:tblPr>
      <w:tblGrid>
        <w:gridCol w:w="1900"/>
        <w:gridCol w:w="2300"/>
        <w:gridCol w:w="5160"/>
      </w:tblGrid>
      <w:tr>
        <w:trPr/>
        <w:tc>
          <w:tcPr>
            <w:tcW w:type="dxa" w:w="19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Field</w:t>
            </w:r>
          </w:p>
        </w:tc>
        <w:tc>
          <w:tcPr>
            <w:tcW w:type="dxa" w:w="23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Type / constraints</w:t>
            </w:r>
          </w:p>
        </w:tc>
        <w:tc>
          <w:tcPr>
            <w:tcW w:type="dxa" w:w="516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Purpose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capability_documents.document_id</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PK</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Primary capability document.</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capability_documents.title</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Document title.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capability_documents.category</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Service line, case study, objection, CTA, playbook, etc.</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capability_documents.status</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active, archived, draft.</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capability_documents.active_version_id</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capability_document_versions</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Currently approved version.</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capability_document_versions.version_id</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PK</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Version row.</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capability_document_versions.document_id</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capability_documents</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Parent document.</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capability_document_versions.version_number</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integer not null</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Monotonic version number.</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capability_document_versions.file_name</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Original file name.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capability_document_versions.file_path</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Object storage pointer.</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capability_document_versions.extracted_text</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Raw text extraction.</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capability_document_versions.summary</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Structured human-readable summary.</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capability_document_versions.is_active</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boolean default true</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Version state.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capability_snippets.snippet_id</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PK</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Reusable AI input unit.</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capability_snippets.document_version_id</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capability_document_versions</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Source version.</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capability_snippets.snippet_type</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service, proof_point, objection, CTA, industry_fit.</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capability_snippets.title</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Short snippet title.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capability_snippets.body</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Snippet content.</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capability_snippets.keywords</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Search and retrieval keywords.</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capability_snippets.target_industries</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Industry tags.</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capability_snippets.target_roles</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Role or persona tags.</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capability_snippets.is_active</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boolean default true</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Enable or disable snippet use.</w:t>
            </w:r>
          </w:p>
        </w:tc>
      </w:tr>
    </w:tbl>
    <w:p>
      <w:pPr>
        <w:pStyle w:val="Heading1"/>
        <w:spacing w:before="320" w:after="120" w:line="264" w:lineRule="auto"/>
      </w:pPr>
      <w:r>
        <w:rPr>
          <w:rFonts w:ascii="Calibri" w:hAnsi="Calibri"/>
          <w:b w:val="0"/>
          <w:i w:val="0"/>
          <w:color w:val="2E74B5"/>
          <w:sz w:val="32"/>
        </w:rPr>
        <w:t>13. Reporting and Audit</w:t>
      </w:r>
    </w:p>
    <w:p>
      <w:pPr>
        <w:spacing w:before="0" w:after="120" w:line="264" w:lineRule="auto"/>
      </w:pPr>
      <w:r>
        <w:rPr>
          <w:rFonts w:ascii="Calibri" w:hAnsi="Calibri"/>
          <w:b w:val="0"/>
          <w:i w:val="0"/>
          <w:color w:val="000000"/>
          <w:sz w:val="22"/>
        </w:rPr>
        <w:t>These tables provide the operational memory of the system and must remain append-only or at least highly controlled.</w:t>
      </w:r>
    </w:p>
    <w:tbl>
      <w:tblPr>
        <w:tblStyle w:val="TableGrid"/>
        <w:tblW w:type="dxa" w:w="9360"/>
        <w:jc w:val="left"/>
        <w:tblLayout w:type="fixed"/>
        <w:tblLook w:firstColumn="1" w:firstRow="1" w:lastColumn="0" w:lastRow="0" w:noHBand="0" w:noVBand="1" w:val="04A0"/>
        <w:tblInd w:type="dxa" w:w="120"/>
      </w:tblPr>
      <w:tblGrid>
        <w:gridCol w:w="1900"/>
        <w:gridCol w:w="2300"/>
        <w:gridCol w:w="5160"/>
      </w:tblGrid>
      <w:tr>
        <w:trPr/>
        <w:tc>
          <w:tcPr>
            <w:tcW w:type="dxa" w:w="19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Field</w:t>
            </w:r>
          </w:p>
        </w:tc>
        <w:tc>
          <w:tcPr>
            <w:tcW w:type="dxa" w:w="23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Type / constraints</w:t>
            </w:r>
          </w:p>
        </w:tc>
        <w:tc>
          <w:tcPr>
            <w:tcW w:type="dxa" w:w="516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Purpose</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audit_logs.audit_id</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PK</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Immutable change record.</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audit_logs.actor_user_id</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users</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Who performed the action.</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audit_logs.entity_type</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contacts, companies, drafts, batches, settings, etc.</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audit_logs.entity_id</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not null</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The affected row.</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audit_logs.action</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Created, updated, approved, merged, sent, suppressed, etc.</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audit_logs.before_data</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jsonb</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Before state snapshot.</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audit_logs.after_data</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jsonb</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After state snapshot.</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audit_logs.metadata</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jsonb</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Extra diagnostic information.</w:t>
            </w:r>
          </w:p>
        </w:tc>
      </w:tr>
      <w:tr>
        <w:trPr/>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audit_logs.created_at</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timestamptz</w:t>
            </w:r>
          </w:p>
        </w:tc>
        <w:tc>
          <w:tcPr>
            <w:tcW w:type="dxa" w:w="51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Append time.</w:t>
            </w:r>
          </w:p>
        </w:tc>
      </w:tr>
    </w:tbl>
    <w:p>
      <w:pPr>
        <w:pStyle w:val="Heading1"/>
        <w:spacing w:before="320" w:after="120" w:line="264" w:lineRule="auto"/>
      </w:pPr>
      <w:r>
        <w:rPr>
          <w:rFonts w:ascii="Calibri" w:hAnsi="Calibri"/>
          <w:b w:val="0"/>
          <w:i w:val="0"/>
          <w:color w:val="2E74B5"/>
          <w:sz w:val="32"/>
        </w:rPr>
        <w:t>13.1 Export Jobs</w:t>
      </w:r>
    </w:p>
    <w:p>
      <w:pPr>
        <w:spacing w:before="0" w:after="120" w:line="264" w:lineRule="auto"/>
      </w:pPr>
      <w:r>
        <w:rPr>
          <w:rFonts w:ascii="Calibri" w:hAnsi="Calibri"/>
          <w:b w:val="0"/>
          <w:i w:val="0"/>
          <w:color w:val="000000"/>
          <w:sz w:val="22"/>
        </w:rPr>
        <w:t>Export jobs make it possible to generate shareable CSVs or audit extracts without losing traceability.</w:t>
      </w:r>
    </w:p>
    <w:tbl>
      <w:tblPr>
        <w:tblStyle w:val="TableGrid"/>
        <w:tblW w:type="dxa" w:w="9360"/>
        <w:jc w:val="left"/>
        <w:tblLayout w:type="fixed"/>
        <w:tblLook w:firstColumn="1" w:firstRow="1" w:lastColumn="0" w:lastRow="0" w:noHBand="0" w:noVBand="1" w:val="04A0"/>
        <w:tblInd w:type="dxa" w:w="120"/>
      </w:tblPr>
      <w:tblGrid>
        <w:gridCol w:w="2100"/>
        <w:gridCol w:w="2350"/>
        <w:gridCol w:w="4910"/>
      </w:tblGrid>
      <w:tr>
        <w:trPr/>
        <w:tc>
          <w:tcPr>
            <w:tcW w:type="dxa" w:w="21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Field</w:t>
            </w:r>
          </w:p>
        </w:tc>
        <w:tc>
          <w:tcPr>
            <w:tcW w:type="dxa" w:w="235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Type / constraints</w:t>
            </w:r>
          </w:p>
        </w:tc>
        <w:tc>
          <w:tcPr>
            <w:tcW w:type="dxa" w:w="491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Purpose</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export_jobs.export_id</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PK</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Export job identifier.</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export_jobs.requested_by</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uuid FK -&gt; users</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User who requested the export.</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export_jobs.export_type</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contacts, companies, audit_logs, suppression_list, or custom.</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export_jobs.filters_jsonb</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jsonb</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Filter criteria used for the export.</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export_jobs.file_path</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Object storage path for the result.</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export_jobs.row_count</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integer</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Rows included in the export.</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export_jobs.status</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text not null</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queued, running, succeeded, failed.</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export_jobs.created_at</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timestamptz</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Job creation time.</w:t>
            </w:r>
          </w:p>
        </w:tc>
      </w:tr>
      <w:tr>
        <w:trPr/>
        <w:tc>
          <w:tcPr>
            <w:tcW w:type="dxa" w:w="21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export_jobs.completed_at</w:t>
            </w:r>
          </w:p>
        </w:tc>
        <w:tc>
          <w:tcPr>
            <w:tcW w:type="dxa" w:w="2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timestamptz</w:t>
            </w:r>
          </w:p>
        </w:tc>
        <w:tc>
          <w:tcPr>
            <w:tcW w:type="dxa" w:w="49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Job completion time.</w:t>
            </w:r>
          </w:p>
        </w:tc>
      </w:tr>
    </w:tbl>
    <w:p>
      <w:pPr>
        <w:pStyle w:val="Heading1"/>
        <w:spacing w:before="240" w:after="120" w:line="264" w:lineRule="auto"/>
      </w:pPr>
      <w:r>
        <w:rPr>
          <w:rFonts w:ascii="Calibri" w:hAnsi="Calibri"/>
          <w:b w:val="0"/>
          <w:i w:val="0"/>
          <w:color w:val="2E74B5"/>
          <w:sz w:val="32"/>
        </w:rPr>
        <w:t>14. Index and Constraint Strategy</w:t>
      </w:r>
    </w:p>
    <w:p>
      <w:pPr>
        <w:pStyle w:val="ListBullet"/>
        <w:spacing w:before="0" w:after="80" w:line="264" w:lineRule="auto"/>
        <w:ind w:left="360" w:hanging="360"/>
      </w:pPr>
      <w:r>
        <w:rPr>
          <w:rFonts w:ascii="Calibri" w:hAnsi="Calibri"/>
          <w:color w:val="000000"/>
          <w:sz w:val="22"/>
        </w:rPr>
        <w:t>Unique or near-unique indexes: ingestion_batches.file_hash, import_profiles.header_hash, companies.domain when present, inbound_messages.provider_message_id, outbound_messages.provider_message_id, users.email_address.</w:t>
      </w:r>
    </w:p>
    <w:p>
      <w:pPr>
        <w:pStyle w:val="ListBullet"/>
        <w:spacing w:before="0" w:after="80" w:line="264" w:lineRule="auto"/>
        <w:ind w:left="360" w:hanging="360"/>
      </w:pPr>
      <w:r>
        <w:rPr>
          <w:rFonts w:ascii="Calibri" w:hAnsi="Calibri"/>
          <w:color w:val="000000"/>
          <w:sz w:val="22"/>
        </w:rPr>
        <w:t>Search indexes: contacts.email_address, contacts.linkedin_url_normalized, contacts.name_normalized, companies.name_normalized, companies.domain, companies.linkedin_url_normalized, contacts.status, contacts.email_health_status, custom_field_definitions.internal_key, custom_field_values.normalized_value_text.</w:t>
      </w:r>
    </w:p>
    <w:p>
      <w:pPr>
        <w:pStyle w:val="ListBullet"/>
        <w:spacing w:before="0" w:after="80" w:line="264" w:lineRule="auto"/>
        <w:ind w:left="360" w:hanging="360"/>
      </w:pPr>
      <w:r>
        <w:rPr>
          <w:rFonts w:ascii="Calibri" w:hAnsi="Calibri"/>
          <w:color w:val="000000"/>
          <w:sz w:val="22"/>
        </w:rPr>
        <w:t>Foreign key indexes: all parent-child relationships used for search and joins.</w:t>
      </w:r>
    </w:p>
    <w:p>
      <w:pPr>
        <w:pStyle w:val="ListBullet"/>
        <w:spacing w:before="0" w:after="80" w:line="264" w:lineRule="auto"/>
        <w:ind w:left="360" w:hanging="360"/>
      </w:pPr>
      <w:r>
        <w:rPr>
          <w:rFonts w:ascii="Calibri" w:hAnsi="Calibri"/>
          <w:color w:val="000000"/>
          <w:sz w:val="22"/>
        </w:rPr>
        <w:t>JSONB indexes: contacts.custom_fields, companies.custom_fields, and settings payloads only where needed, with GIN indexing if queryable.</w:t>
      </w:r>
    </w:p>
    <w:p>
      <w:pPr>
        <w:pStyle w:val="ListBullet"/>
        <w:spacing w:before="0" w:after="80" w:line="264" w:lineRule="auto"/>
        <w:ind w:left="360" w:hanging="360"/>
      </w:pPr>
      <w:r>
        <w:rPr>
          <w:rFonts w:ascii="Calibri" w:hAnsi="Calibri"/>
          <w:color w:val="000000"/>
          <w:sz w:val="22"/>
        </w:rPr>
        <w:t>Temporal indexes: audit_logs.created_at, email_health_checks.checked_at, outbound_messages.scheduled_for, inbound_messages.received_at, ai_generation_runs.started_at.</w:t>
      </w:r>
    </w:p>
    <w:p>
      <w:pPr>
        <w:pStyle w:val="ListBullet"/>
        <w:spacing w:before="0" w:after="80" w:line="264" w:lineRule="auto"/>
        <w:ind w:left="360" w:hanging="360"/>
      </w:pPr>
      <w:r>
        <w:rPr>
          <w:rFonts w:ascii="Calibri" w:hAnsi="Calibri"/>
          <w:color w:val="000000"/>
          <w:sz w:val="22"/>
        </w:rPr>
        <w:t>Partitioning is optional at first but can later be added for audit_logs, outbound_messages, inbound_messages, email_health_checks, and ai_generation_runs if volume grows sharply.</w:t>
      </w:r>
    </w:p>
    <w:p>
      <w:pPr>
        <w:pStyle w:val="Heading1"/>
        <w:spacing w:before="240" w:after="120" w:line="264" w:lineRule="auto"/>
      </w:pPr>
      <w:r>
        <w:rPr>
          <w:rFonts w:ascii="Calibri" w:hAnsi="Calibri"/>
          <w:b w:val="0"/>
          <w:i w:val="0"/>
          <w:color w:val="2E74B5"/>
          <w:sz w:val="32"/>
        </w:rPr>
        <w:t>15. Recommended Constraints</w:t>
      </w:r>
    </w:p>
    <w:p>
      <w:pPr>
        <w:pStyle w:val="ListBullet"/>
        <w:spacing w:before="0" w:after="80" w:line="264" w:lineRule="auto"/>
        <w:ind w:left="360" w:hanging="360"/>
      </w:pPr>
      <w:r>
        <w:rPr>
          <w:rFonts w:ascii="Calibri" w:hAnsi="Calibri"/>
          <w:color w:val="000000"/>
          <w:sz w:val="22"/>
        </w:rPr>
        <w:t>A contact must always point to a company, even if the company is a placeholder.</w:t>
      </w:r>
    </w:p>
    <w:p>
      <w:pPr>
        <w:pStyle w:val="ListBullet"/>
        <w:spacing w:before="0" w:after="80" w:line="264" w:lineRule="auto"/>
        <w:ind w:left="360" w:hanging="360"/>
      </w:pPr>
      <w:r>
        <w:rPr>
          <w:rFonts w:ascii="Calibri" w:hAnsi="Calibri"/>
          <w:color w:val="000000"/>
          <w:sz w:val="22"/>
        </w:rPr>
        <w:t>A company must always have a normalized name for duplicate detection.</w:t>
      </w:r>
    </w:p>
    <w:p>
      <w:pPr>
        <w:pStyle w:val="ListBullet"/>
        <w:spacing w:before="0" w:after="80" w:line="264" w:lineRule="auto"/>
        <w:ind w:left="360" w:hanging="360"/>
      </w:pPr>
      <w:r>
        <w:rPr>
          <w:rFonts w:ascii="Calibri" w:hAnsi="Calibri"/>
          <w:color w:val="000000"/>
          <w:sz w:val="22"/>
        </w:rPr>
        <w:t>A batch file hash should never be imported twice without an explicit override path.</w:t>
      </w:r>
    </w:p>
    <w:p>
      <w:pPr>
        <w:pStyle w:val="ListBullet"/>
        <w:spacing w:before="0" w:after="80" w:line="264" w:lineRule="auto"/>
        <w:ind w:left="360" w:hanging="360"/>
      </w:pPr>
      <w:r>
        <w:rPr>
          <w:rFonts w:ascii="Calibri" w:hAnsi="Calibri"/>
          <w:color w:val="000000"/>
          <w:sz w:val="22"/>
        </w:rPr>
        <w:t>A suppression entry should block drafting and sending until removed by an authorized user.</w:t>
      </w:r>
    </w:p>
    <w:p>
      <w:pPr>
        <w:pStyle w:val="ListBullet"/>
        <w:spacing w:before="0" w:after="80" w:line="264" w:lineRule="auto"/>
        <w:ind w:left="360" w:hanging="360"/>
      </w:pPr>
      <w:r>
        <w:rPr>
          <w:rFonts w:ascii="Calibri" w:hAnsi="Calibri"/>
          <w:color w:val="000000"/>
          <w:sz w:val="22"/>
        </w:rPr>
        <w:t>A revoked consent state or a hard suppression should block all future sends immediately.</w:t>
      </w:r>
    </w:p>
    <w:p>
      <w:pPr>
        <w:pStyle w:val="ListBullet"/>
        <w:spacing w:before="0" w:after="80" w:line="264" w:lineRule="auto"/>
        <w:ind w:left="360" w:hanging="360"/>
      </w:pPr>
      <w:r>
        <w:rPr>
          <w:rFonts w:ascii="Calibri" w:hAnsi="Calibri"/>
          <w:color w:val="000000"/>
          <w:sz w:val="22"/>
        </w:rPr>
        <w:t>A health score below the block threshold should prevent queueing unless an authorized override is recorded.</w:t>
      </w:r>
    </w:p>
    <w:p>
      <w:pPr>
        <w:pStyle w:val="ListBullet"/>
        <w:spacing w:before="0" w:after="80" w:line="264" w:lineRule="auto"/>
        <w:ind w:left="360" w:hanging="360"/>
      </w:pPr>
      <w:r>
        <w:rPr>
          <w:rFonts w:ascii="Calibri" w:hAnsi="Calibri"/>
          <w:color w:val="000000"/>
          <w:sz w:val="22"/>
        </w:rPr>
        <w:t>A draft should not move to outbound_messages until it has been approved.</w:t>
      </w:r>
    </w:p>
    <w:p>
      <w:pPr>
        <w:pStyle w:val="ListBullet"/>
        <w:spacing w:before="0" w:after="80" w:line="264" w:lineRule="auto"/>
        <w:ind w:left="360" w:hanging="360"/>
      </w:pPr>
      <w:r>
        <w:rPr>
          <w:rFonts w:ascii="Calibri" w:hAnsi="Calibri"/>
          <w:color w:val="000000"/>
          <w:sz w:val="22"/>
        </w:rPr>
        <w:t>Approved drafts should create outbound_messages in queued state instead of bypassing the queue.</w:t>
      </w:r>
    </w:p>
    <w:p>
      <w:pPr>
        <w:pStyle w:val="ListBullet"/>
        <w:spacing w:before="0" w:after="80" w:line="264" w:lineRule="auto"/>
        <w:ind w:left="360" w:hanging="360"/>
      </w:pPr>
      <w:r>
        <w:rPr>
          <w:rFonts w:ascii="Calibri" w:hAnsi="Calibri"/>
          <w:color w:val="000000"/>
          <w:sz w:val="22"/>
        </w:rPr>
        <w:t>An outbound message should not send outside the configured working window unless the user explicitly overrides the queue.</w:t>
      </w:r>
    </w:p>
    <w:p>
      <w:pPr>
        <w:pStyle w:val="ListBullet"/>
        <w:spacing w:before="0" w:after="80" w:line="264" w:lineRule="auto"/>
        <w:ind w:left="360" w:hanging="360"/>
      </w:pPr>
      <w:r>
        <w:rPr>
          <w:rFonts w:ascii="Calibri" w:hAnsi="Calibri"/>
          <w:color w:val="000000"/>
          <w:sz w:val="22"/>
        </w:rPr>
        <w:t>Dry-run mode should record outbound_messages but skip actual Graph send calls.</w:t>
      </w:r>
    </w:p>
    <w:p>
      <w:pPr>
        <w:pStyle w:val="Heading1"/>
        <w:spacing w:before="240" w:after="120" w:line="264" w:lineRule="auto"/>
      </w:pPr>
      <w:r>
        <w:rPr>
          <w:rFonts w:ascii="Calibri" w:hAnsi="Calibri"/>
          <w:b w:val="0"/>
          <w:i w:val="0"/>
          <w:color w:val="2E74B5"/>
          <w:sz w:val="32"/>
        </w:rPr>
        <w:t>16. Example SQL Conventions</w:t>
      </w:r>
    </w:p>
    <w:p>
      <w:pPr>
        <w:pStyle w:val="CodeBlock"/>
        <w:spacing w:before="0" w:after="0" w:line="240" w:lineRule="auto"/>
      </w:pPr>
      <w:r>
        <w:rPr>
          <w:rFonts w:ascii="Courier New" w:hAnsi="Courier New"/>
          <w:color w:val="000000"/>
          <w:sz w:val="18"/>
        </w:rPr>
        <w:t>-- Example conventions only, not the full DDL</w:t>
      </w:r>
    </w:p>
    <w:p>
      <w:pPr>
        <w:pStyle w:val="CodeBlock"/>
        <w:spacing w:before="0" w:after="0" w:line="240" w:lineRule="auto"/>
      </w:pPr>
      <w:r>
        <w:rPr>
          <w:rFonts w:ascii="Courier New" w:hAnsi="Courier New"/>
          <w:color w:val="000000"/>
          <w:sz w:val="18"/>
        </w:rPr>
        <w:t>create table companies (</w:t>
      </w:r>
    </w:p>
    <w:p>
      <w:pPr>
        <w:pStyle w:val="CodeBlock"/>
        <w:spacing w:before="0" w:after="0" w:line="240" w:lineRule="auto"/>
      </w:pPr>
      <w:r>
        <w:rPr>
          <w:rFonts w:ascii="Courier New" w:hAnsi="Courier New"/>
          <w:color w:val="000000"/>
          <w:sz w:val="18"/>
        </w:rPr>
        <w:t xml:space="preserve">    company_id uuid primary key,</w:t>
      </w:r>
    </w:p>
    <w:p>
      <w:pPr>
        <w:pStyle w:val="CodeBlock"/>
        <w:spacing w:before="0" w:after="0" w:line="240" w:lineRule="auto"/>
      </w:pPr>
      <w:r>
        <w:rPr>
          <w:rFonts w:ascii="Courier New" w:hAnsi="Courier New"/>
          <w:color w:val="000000"/>
          <w:sz w:val="18"/>
        </w:rPr>
        <w:t xml:space="preserve">    name_raw text not null,</w:t>
      </w:r>
    </w:p>
    <w:p>
      <w:pPr>
        <w:pStyle w:val="CodeBlock"/>
        <w:spacing w:before="0" w:after="0" w:line="240" w:lineRule="auto"/>
      </w:pPr>
      <w:r>
        <w:rPr>
          <w:rFonts w:ascii="Courier New" w:hAnsi="Courier New"/>
          <w:color w:val="000000"/>
          <w:sz w:val="18"/>
        </w:rPr>
        <w:t xml:space="preserve">    name_normalized text not null,</w:t>
      </w:r>
    </w:p>
    <w:p>
      <w:pPr>
        <w:pStyle w:val="CodeBlock"/>
        <w:spacing w:before="0" w:after="0" w:line="240" w:lineRule="auto"/>
      </w:pPr>
      <w:r>
        <w:rPr>
          <w:rFonts w:ascii="Courier New" w:hAnsi="Courier New"/>
          <w:color w:val="000000"/>
          <w:sz w:val="18"/>
        </w:rPr>
        <w:t xml:space="preserve">    domain citext,</w:t>
      </w:r>
    </w:p>
    <w:p>
      <w:pPr>
        <w:pStyle w:val="CodeBlock"/>
        <w:spacing w:before="0" w:after="0" w:line="240" w:lineRule="auto"/>
      </w:pPr>
      <w:r>
        <w:rPr>
          <w:rFonts w:ascii="Courier New" w:hAnsi="Courier New"/>
          <w:color w:val="000000"/>
          <w:sz w:val="18"/>
        </w:rPr>
        <w:t xml:space="preserve">    custom_fields jsonb not null default '{}'::jsonb,</w:t>
      </w:r>
    </w:p>
    <w:p>
      <w:pPr>
        <w:pStyle w:val="CodeBlock"/>
        <w:spacing w:before="0" w:after="0" w:line="240" w:lineRule="auto"/>
      </w:pPr>
      <w:r>
        <w:rPr>
          <w:rFonts w:ascii="Courier New" w:hAnsi="Courier New"/>
          <w:color w:val="000000"/>
          <w:sz w:val="18"/>
        </w:rPr>
        <w:t xml:space="preserve">    created_at timestamptz not null default now(),</w:t>
      </w:r>
    </w:p>
    <w:p>
      <w:pPr>
        <w:pStyle w:val="CodeBlock"/>
        <w:spacing w:before="0" w:after="0" w:line="240" w:lineRule="auto"/>
      </w:pPr>
      <w:r>
        <w:rPr>
          <w:rFonts w:ascii="Courier New" w:hAnsi="Courier New"/>
          <w:color w:val="000000"/>
          <w:sz w:val="18"/>
        </w:rPr>
        <w:t xml:space="preserve">    updated_at timestamptz not null default now()</w:t>
      </w:r>
    </w:p>
    <w:p>
      <w:pPr>
        <w:pStyle w:val="CodeBlock"/>
        <w:spacing w:before="0" w:after="0" w:line="240" w:lineRule="auto"/>
      </w:pPr>
      <w:r>
        <w:rPr>
          <w:rFonts w:ascii="Courier New" w:hAnsi="Courier New"/>
          <w:color w:val="000000"/>
          <w:sz w:val="18"/>
        </w:rPr>
        <w:t>);</w:t>
      </w:r>
    </w:p>
    <w:p>
      <w:pPr>
        <w:pStyle w:val="CodeBlock"/>
        <w:spacing w:before="0" w:after="0" w:line="240" w:lineRule="auto"/>
      </w:pPr>
      <w:r>
        <w:rPr>
          <w:rFonts w:ascii="Courier New" w:hAnsi="Courier New"/>
          <w:color w:val="000000"/>
          <w:sz w:val="18"/>
        </w:rPr>
      </w:r>
    </w:p>
    <w:p>
      <w:pPr>
        <w:pStyle w:val="CodeBlock"/>
        <w:spacing w:before="0" w:after="0" w:line="240" w:lineRule="auto"/>
      </w:pPr>
      <w:r>
        <w:rPr>
          <w:rFonts w:ascii="Courier New" w:hAnsi="Courier New"/>
          <w:color w:val="000000"/>
          <w:sz w:val="18"/>
        </w:rPr>
        <w:t>create index idx_companies_domain on companies(domain);</w:t>
      </w:r>
    </w:p>
    <w:p>
      <w:pPr>
        <w:pStyle w:val="CodeBlock"/>
        <w:spacing w:before="0" w:after="0" w:line="240" w:lineRule="auto"/>
      </w:pPr>
      <w:r>
        <w:rPr>
          <w:rFonts w:ascii="Courier New" w:hAnsi="Courier New"/>
          <w:color w:val="000000"/>
          <w:sz w:val="18"/>
        </w:rPr>
        <w:t>create index idx_companies_name_normalized on companies(name_normalized);</w:t>
      </w:r>
    </w:p>
    <w:p>
      <w:pPr>
        <w:pStyle w:val="Heading1"/>
        <w:spacing w:before="240" w:after="120" w:line="264" w:lineRule="auto"/>
      </w:pPr>
      <w:r>
        <w:rPr>
          <w:rFonts w:ascii="Calibri" w:hAnsi="Calibri"/>
          <w:b w:val="0"/>
          <w:i w:val="0"/>
          <w:color w:val="2E74B5"/>
          <w:sz w:val="32"/>
        </w:rPr>
        <w:t>17. Practical Notes</w:t>
      </w:r>
    </w:p>
    <w:p>
      <w:pPr>
        <w:pStyle w:val="ListBullet"/>
        <w:spacing w:before="0" w:after="80" w:line="264" w:lineRule="auto"/>
        <w:ind w:left="360" w:hanging="360"/>
      </w:pPr>
      <w:r>
        <w:rPr>
          <w:rFonts w:ascii="Calibri" w:hAnsi="Calibri"/>
          <w:color w:val="000000"/>
          <w:sz w:val="22"/>
        </w:rPr>
        <w:t>Keep the schema wide enough for current spreadsheet reality, but not so wide that every field needs a migration.</w:t>
      </w:r>
    </w:p>
    <w:p>
      <w:pPr>
        <w:pStyle w:val="ListBullet"/>
        <w:spacing w:before="0" w:after="80" w:line="264" w:lineRule="auto"/>
        <w:ind w:left="360" w:hanging="360"/>
      </w:pPr>
      <w:r>
        <w:rPr>
          <w:rFonts w:ascii="Calibri" w:hAnsi="Calibri"/>
          <w:color w:val="000000"/>
          <w:sz w:val="22"/>
        </w:rPr>
        <w:t>Favor JSONB for source-specific custom data and relational columns for everything that must be filtered, sorted, or reported often.</w:t>
      </w:r>
    </w:p>
    <w:p>
      <w:pPr>
        <w:pStyle w:val="ListBullet"/>
        <w:spacing w:before="0" w:after="80" w:line="264" w:lineRule="auto"/>
        <w:ind w:left="360" w:hanging="360"/>
      </w:pPr>
      <w:r>
        <w:rPr>
          <w:rFonts w:ascii="Calibri" w:hAnsi="Calibri"/>
          <w:color w:val="000000"/>
          <w:sz w:val="22"/>
        </w:rPr>
        <w:t>Use custom_field_definitions plus custom_field_values when a custom column needs validation, filtering, or prompt access.</w:t>
      </w:r>
    </w:p>
    <w:p>
      <w:pPr>
        <w:pStyle w:val="ListBullet"/>
        <w:spacing w:before="0" w:after="80" w:line="264" w:lineRule="auto"/>
        <w:ind w:left="360" w:hanging="360"/>
      </w:pPr>
      <w:r>
        <w:rPr>
          <w:rFonts w:ascii="Calibri" w:hAnsi="Calibri"/>
          <w:color w:val="000000"/>
          <w:sz w:val="22"/>
        </w:rPr>
        <w:t>Keep event tables append-only wherever possible.</w:t>
      </w:r>
    </w:p>
    <w:p>
      <w:pPr>
        <w:pStyle w:val="ListBullet"/>
        <w:spacing w:before="0" w:after="80" w:line="264" w:lineRule="auto"/>
        <w:ind w:left="360" w:hanging="360"/>
      </w:pPr>
      <w:r>
        <w:rPr>
          <w:rFonts w:ascii="Calibri" w:hAnsi="Calibri"/>
          <w:color w:val="000000"/>
          <w:sz w:val="22"/>
        </w:rPr>
        <w:t>Use audit logs for who changed what and when, but use history tables for operational traces that need fast lookup.</w:t>
      </w:r>
    </w:p>
    <w:p>
      <w:pPr>
        <w:pStyle w:val="ListBullet"/>
        <w:spacing w:before="0" w:after="80" w:line="264" w:lineRule="auto"/>
        <w:ind w:left="360" w:hanging="360"/>
      </w:pPr>
      <w:r>
        <w:rPr>
          <w:rFonts w:ascii="Calibri" w:hAnsi="Calibri"/>
          <w:color w:val="000000"/>
          <w:sz w:val="22"/>
        </w:rPr>
        <w:t>The schema should support the web app without requiring a separate mobile data model.</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color w:val="555555"/>
        <w:sz w:val="18"/>
      </w:rPr>
      <w:t xml:space="preserve">Page </w:t>
    </w:r>
    <w:r>
      <w:rPr>
        <w:rFonts w:ascii="Calibri" w:hAnsi="Calibri"/>
        <w:color w:val="555555"/>
        <w:sz w:val="18"/>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color w:val="555555"/>
        <w:sz w:val="18"/>
      </w:rPr>
      <w:t>Lead Intelligence &amp; AI-Powered Outreach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Block">
    <w:name w:val="Title Block"/>
    <w:pPr>
      <w:spacing w:before="0" w:after="60" w:line="240" w:lineRule="auto"/>
    </w:pPr>
    <w:rPr>
      <w:rFonts w:ascii="Calibri" w:hAnsi="Calibri"/>
      <w:b/>
      <w:color w:val="0B2545"/>
      <w:sz w:val="48"/>
    </w:rPr>
  </w:style>
  <w:style w:type="paragraph" w:customStyle="1" w:styleId="SubtitleBlock">
    <w:name w:val="Subtitle Block"/>
    <w:pPr>
      <w:spacing w:before="0" w:after="160" w:line="240" w:lineRule="auto"/>
    </w:pPr>
    <w:rPr>
      <w:rFonts w:ascii="Calibri" w:hAnsi="Calibri"/>
      <w:color w:val="555555"/>
      <w:sz w:val="22"/>
    </w:rPr>
  </w:style>
  <w:style w:type="paragraph" w:customStyle="1" w:styleId="BodySmall">
    <w:name w:val="Body Small"/>
    <w:pPr>
      <w:spacing w:before="0" w:after="80" w:line="252" w:lineRule="auto"/>
    </w:pPr>
    <w:rPr>
      <w:rFonts w:ascii="Calibri" w:hAnsi="Calibri"/>
      <w:color w:val="000000"/>
      <w:sz w:val="19"/>
    </w:rPr>
  </w:style>
  <w:style w:type="paragraph" w:customStyle="1" w:styleId="CodeBlock">
    <w:name w:val="Code Block"/>
    <w:pPr>
      <w:spacing w:before="0" w:after="0" w:line="240" w:lineRule="auto"/>
      <w:ind w:left="360" w:right="360"/>
    </w:pPr>
    <w:rPr>
      <w:rFonts w:ascii="Courier New" w:hAnsi="Courier New"/>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 Intelligence &amp; AI-Powered Outreach System</dc:title>
  <dc:subject>Internal web-only software design document</dc:subject>
  <dc:creator>Codex</dc:creator>
  <cp:keywords>lead intelligence, outreach, web app, schema, architecture, internal capabilities</cp:keywords>
  <dc:description>Lead intelligence and outreach platform design</dc:description>
  <cp:lastModifiedBy/>
  <cp:revision>1</cp:revision>
  <dcterms:created xsi:type="dcterms:W3CDTF">2013-12-23T23:15:00Z</dcterms:created>
  <dcterms:modified xsi:type="dcterms:W3CDTF">2013-12-23T23:15:00Z</dcterms:modified>
  <cp:category>Software Design Document</cp:category>
  <dc:language>en-US</dc:language>
</cp:coreProperties>
</file>