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lock"/>
        <w:jc w:val="left"/>
      </w:pPr>
      <w:r>
        <w:rPr>
          <w:rFonts w:ascii="Calibri" w:hAnsi="Calibri"/>
          <w:b/>
          <w:color w:val="0B2545"/>
          <w:sz w:val="48"/>
        </w:rPr>
        <w:t>Lead Intelligence &amp; AI-Powered Outreach System</w:t>
      </w:r>
    </w:p>
    <w:p>
      <w:pPr>
        <w:pStyle w:val="SubtitleBlock"/>
        <w:jc w:val="left"/>
      </w:pPr>
      <w:r>
        <w:rPr>
          <w:rFonts w:ascii="Calibri" w:hAnsi="Calibri"/>
          <w:color w:val="555555"/>
          <w:sz w:val="22"/>
        </w:rPr>
        <w:t>Build-Ready Implementation Blueprint | Web Only</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Platform scope</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Browser-based internal application only</w:t>
            </w:r>
          </w:p>
        </w:tc>
      </w:tr>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Mobile scope</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No native mobile app; desktop-first web UX</w:t>
            </w:r>
          </w:p>
        </w:tc>
      </w:tr>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Primary objective</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Import, clean, dedupe, research, draft, approve, send</w:t>
            </w:r>
          </w:p>
        </w:tc>
      </w:tr>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Primary constraint</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Internal capabilities first; company and industry context second</w:t>
            </w:r>
          </w:p>
        </w:tc>
      </w:tr>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Mail transport</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Microsoft Outlook / Microsoft Graph</w:t>
            </w:r>
          </w:p>
        </w:tc>
      </w:tr>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Target scale</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100K+ records with room to grow</w:t>
            </w:r>
          </w:p>
        </w:tc>
      </w:tr>
      <w:tr>
        <w:trPr/>
        <w:tc>
          <w:tcPr>
            <w:tcW w:type="dxa" w:w="2400"/>
            <w:vAlign w:val="center"/>
            <w:shd w:fill="F2F4F7"/>
            <w:tcMar>
              <w:top w:w="80" w:type="dxa"/>
              <w:bottom w:w="80" w:type="dxa"/>
              <w:start w:w="120" w:type="dxa"/>
              <w:end w:w="120" w:type="dxa"/>
            </w:tcMar>
          </w:tcPr>
          <w:p>
            <w:pPr>
              <w:spacing w:before="0" w:after="0" w:line="240" w:lineRule="auto"/>
              <w:jc w:val="left"/>
            </w:pPr>
            <w:r/>
            <w:r>
              <w:rPr>
                <w:rFonts w:ascii="Calibri" w:hAnsi="Calibri"/>
                <w:b/>
                <w:color w:val="0B2545"/>
                <w:sz w:val="21"/>
              </w:rPr>
              <w:t>Revision date</w:t>
            </w:r>
          </w:p>
        </w:tc>
        <w:tc>
          <w:tcPr>
            <w:tcW w:type="dxa" w:w="69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21"/>
              </w:rPr>
              <w:t>2026-07-07</w:t>
            </w:r>
          </w:p>
        </w:tc>
      </w:tr>
    </w:tbl>
    <w:p>
      <w:pPr>
        <w:spacing w:before="240" w:after="160" w:line="269" w:lineRule="auto"/>
      </w:pPr>
      <w:r>
        <w:rPr>
          <w:rFonts w:ascii="Calibri" w:hAnsi="Calibri"/>
          <w:color w:val="000000"/>
          <w:sz w:val="22"/>
        </w:rPr>
        <w:t>This blueprint converts the product vision into an implementation plan a development team can execute without re-interpreting the intent at every step. The system is a web application only, optimized for desktop browsers and internal use. There is no separate mobile product, no native app shell, and no need to split design or code paths for phones. The platform should be pleasant in a browser, but the workflow is intentionally built for operators who work from a full screen, a keyboard, and a large list of records. The core principle is still the same: internal capabilities and solutions are the center of gravity. The platform should preserve the company’s own knowledge about what it sells, how it solves problems, what proof it can cite, and what calls-to-action are already approved. AI is only the drafting assistant that arranges this knowledge against a company-specific context card. When external context is used, it must stay limited to the company and its industry through curated sources, not open-ended internet invention. Build the product as a controlled pipeline rather than a feature pile. The user should move from upload to review to context to draft to approval to send with minimal friction and maximum traceability. Every module, service, table, and screen in this blueprint supports that one loop. Anything that does not support that loop should be postponed.</w:t>
      </w:r>
    </w:p>
    <w:p>
      <w:r>
        <w:br w:type="page"/>
      </w:r>
    </w:p>
    <w:p>
      <w:pPr>
        <w:pStyle w:val="Heading1"/>
        <w:spacing w:before="320" w:after="160" w:line="264" w:lineRule="auto"/>
      </w:pPr>
      <w:r>
        <w:rPr>
          <w:rFonts w:ascii="Calibri" w:hAnsi="Calibri"/>
          <w:b w:val="0"/>
          <w:i w:val="0"/>
          <w:color w:val="2E74B5"/>
          <w:sz w:val="32"/>
        </w:rPr>
        <w:t>1. Product Definition</w:t>
      </w:r>
    </w:p>
    <w:p>
      <w:pPr>
        <w:spacing w:before="0" w:after="120" w:line="264" w:lineRule="auto"/>
      </w:pPr>
      <w:r>
        <w:rPr>
          <w:rFonts w:ascii="Calibri" w:hAnsi="Calibri"/>
          <w:b w:val="0"/>
          <w:i w:val="0"/>
          <w:color w:val="000000"/>
          <w:sz w:val="22"/>
        </w:rPr>
        <w:t>The product is an internal lead intelligence and outreach web application that converts spreadsheet contacts into cleaned, company-linked, AI-assisted, human-approved email activity.</w:t>
      </w:r>
    </w:p>
    <w:p>
      <w:pPr>
        <w:spacing w:before="0" w:after="40" w:line="264" w:lineRule="auto"/>
      </w:pPr>
      <w:r>
        <w:rPr>
          <w:rFonts w:ascii="Calibri" w:hAnsi="Calibri"/>
          <w:b/>
          <w:i w:val="0"/>
          <w:color w:val="000000"/>
          <w:sz w:val="22"/>
        </w:rPr>
        <w:t>The implementation should be built around a single loop:</w:t>
      </w:r>
    </w:p>
    <w:p>
      <w:pPr>
        <w:pStyle w:val="ListNumber"/>
        <w:spacing w:before="0" w:after="80" w:line="264" w:lineRule="auto"/>
        <w:ind w:left="360" w:hanging="360"/>
      </w:pPr>
      <w:r>
        <w:rPr>
          <w:rFonts w:ascii="Calibri" w:hAnsi="Calibri"/>
          <w:color w:val="000000"/>
          <w:sz w:val="22"/>
        </w:rPr>
        <w:t>Import raw Excel or CSV batches.</w:t>
      </w:r>
    </w:p>
    <w:p>
      <w:pPr>
        <w:pStyle w:val="ListNumber"/>
        <w:spacing w:before="0" w:after="80" w:line="264" w:lineRule="auto"/>
        <w:ind w:left="360" w:hanging="360"/>
      </w:pPr>
      <w:r>
        <w:rPr>
          <w:rFonts w:ascii="Calibri" w:hAnsi="Calibri"/>
          <w:color w:val="000000"/>
          <w:sz w:val="22"/>
        </w:rPr>
        <w:t>Stage and validate the rows before master write.</w:t>
      </w:r>
    </w:p>
    <w:p>
      <w:pPr>
        <w:pStyle w:val="ListNumber"/>
        <w:spacing w:before="0" w:after="80" w:line="264" w:lineRule="auto"/>
        <w:ind w:left="360" w:hanging="360"/>
      </w:pPr>
      <w:r>
        <w:rPr>
          <w:rFonts w:ascii="Calibri" w:hAnsi="Calibri"/>
          <w:color w:val="000000"/>
          <w:sz w:val="22"/>
        </w:rPr>
        <w:t>Normalize contact and company data.</w:t>
      </w:r>
    </w:p>
    <w:p>
      <w:pPr>
        <w:pStyle w:val="ListNumber"/>
        <w:spacing w:before="0" w:after="80" w:line="264" w:lineRule="auto"/>
        <w:ind w:left="360" w:hanging="360"/>
      </w:pPr>
      <w:r>
        <w:rPr>
          <w:rFonts w:ascii="Calibri" w:hAnsi="Calibri"/>
          <w:color w:val="000000"/>
          <w:sz w:val="22"/>
        </w:rPr>
        <w:t>Detect duplicates and resolve conflicts.</w:t>
      </w:r>
    </w:p>
    <w:p>
      <w:pPr>
        <w:pStyle w:val="ListNumber"/>
        <w:spacing w:before="0" w:after="80" w:line="264" w:lineRule="auto"/>
        <w:ind w:left="360" w:hanging="360"/>
      </w:pPr>
      <w:r>
        <w:rPr>
          <w:rFonts w:ascii="Calibri" w:hAnsi="Calibri"/>
          <w:color w:val="000000"/>
          <w:sz w:val="22"/>
        </w:rPr>
        <w:t>Attach research and internal capability context.</w:t>
      </w:r>
    </w:p>
    <w:p>
      <w:pPr>
        <w:pStyle w:val="ListNumber"/>
        <w:spacing w:before="0" w:after="80" w:line="264" w:lineRule="auto"/>
        <w:ind w:left="360" w:hanging="360"/>
      </w:pPr>
      <w:r>
        <w:rPr>
          <w:rFonts w:ascii="Calibri" w:hAnsi="Calibri"/>
          <w:color w:val="000000"/>
          <w:sz w:val="22"/>
        </w:rPr>
        <w:t>Generate a draft using constrained AI inputs.</w:t>
      </w:r>
    </w:p>
    <w:p>
      <w:pPr>
        <w:pStyle w:val="ListNumber"/>
        <w:spacing w:before="0" w:after="80" w:line="264" w:lineRule="auto"/>
        <w:ind w:left="360" w:hanging="360"/>
      </w:pPr>
      <w:r>
        <w:rPr>
          <w:rFonts w:ascii="Calibri" w:hAnsi="Calibri"/>
          <w:color w:val="000000"/>
          <w:sz w:val="22"/>
        </w:rPr>
        <w:t>Review and approve the draft inside the web app.</w:t>
      </w:r>
    </w:p>
    <w:p>
      <w:pPr>
        <w:pStyle w:val="ListNumber"/>
        <w:spacing w:before="0" w:after="80" w:line="264" w:lineRule="auto"/>
        <w:ind w:left="360" w:hanging="360"/>
      </w:pPr>
      <w:r>
        <w:rPr>
          <w:rFonts w:ascii="Calibri" w:hAnsi="Calibri"/>
          <w:color w:val="000000"/>
          <w:sz w:val="22"/>
        </w:rPr>
        <w:t>Push the approved message into Outlook send flow.</w:t>
      </w:r>
    </w:p>
    <w:p>
      <w:pPr>
        <w:pStyle w:val="ListNumber"/>
        <w:spacing w:before="0" w:after="80" w:line="264" w:lineRule="auto"/>
        <w:ind w:left="360" w:hanging="360"/>
      </w:pPr>
      <w:r>
        <w:rPr>
          <w:rFonts w:ascii="Calibri" w:hAnsi="Calibri"/>
          <w:color w:val="000000"/>
          <w:sz w:val="22"/>
        </w:rPr>
        <w:t>Capture replies, bounces, suppressions, and follow-up state.</w:t>
      </w:r>
    </w:p>
    <w:p>
      <w:pPr>
        <w:pStyle w:val="ListNumber"/>
        <w:spacing w:before="0" w:after="80" w:line="264" w:lineRule="auto"/>
        <w:ind w:left="360" w:hanging="360"/>
      </w:pPr>
      <w:r>
        <w:rPr>
          <w:rFonts w:ascii="Calibri" w:hAnsi="Calibri"/>
          <w:color w:val="000000"/>
          <w:sz w:val="22"/>
        </w:rPr>
        <w:t>Refresh email health on a schedule so the list stays active.</w:t>
      </w:r>
    </w:p>
    <w:p>
      <w:pPr>
        <w:pStyle w:val="Heading2"/>
        <w:spacing w:before="200" w:after="120" w:line="264" w:lineRule="auto"/>
      </w:pPr>
      <w:r>
        <w:rPr>
          <w:rFonts w:ascii="Calibri" w:hAnsi="Calibri"/>
          <w:b w:val="0"/>
          <w:i w:val="0"/>
          <w:color w:val="2E74B5"/>
          <w:sz w:val="30"/>
        </w:rPr>
        <w:t>5.1 Canonical Data Rules</w:t>
      </w:r>
    </w:p>
    <w:p>
      <w:pPr>
        <w:pStyle w:val="ListBullet"/>
        <w:spacing w:before="0" w:after="80" w:line="264" w:lineRule="auto"/>
        <w:ind w:left="360" w:hanging="360"/>
      </w:pPr>
      <w:r>
        <w:rPr>
          <w:rFonts w:ascii="Calibri" w:hAnsi="Calibri"/>
          <w:color w:val="000000"/>
          <w:sz w:val="22"/>
        </w:rPr>
        <w:t>Contact is the canonical person entity. The word lead may be used in product language, but the data model should stay contact-first.</w:t>
      </w:r>
    </w:p>
    <w:p>
      <w:pPr>
        <w:pStyle w:val="ListBullet"/>
        <w:spacing w:before="0" w:after="80" w:line="264" w:lineRule="auto"/>
        <w:ind w:left="360" w:hanging="360"/>
      </w:pPr>
      <w:r>
        <w:rPr>
          <w:rFonts w:ascii="Calibri" w:hAnsi="Calibri"/>
          <w:color w:val="000000"/>
          <w:sz w:val="22"/>
        </w:rPr>
        <w:t>Email address is the canonical contact email field. The system should treat it as a normalized, case-insensitive identity field when present.</w:t>
      </w:r>
    </w:p>
    <w:p>
      <w:pPr>
        <w:pStyle w:val="ListBullet"/>
        <w:spacing w:before="0" w:after="80" w:line="264" w:lineRule="auto"/>
        <w:ind w:left="360" w:hanging="360"/>
      </w:pPr>
      <w:r>
        <w:rPr>
          <w:rFonts w:ascii="Calibri" w:hAnsi="Calibri"/>
          <w:color w:val="000000"/>
          <w:sz w:val="22"/>
        </w:rPr>
        <w:t>LinkedIn URLs must be normalized before matching. Contact profile URLs and company page URLs are separate fields and must never be mixed.</w:t>
      </w:r>
    </w:p>
    <w:p>
      <w:pPr>
        <w:pStyle w:val="ListBullet"/>
        <w:spacing w:before="0" w:after="80" w:line="264" w:lineRule="auto"/>
        <w:ind w:left="360" w:hanging="360"/>
      </w:pPr>
      <w:r>
        <w:rPr>
          <w:rFonts w:ascii="Calibri" w:hAnsi="Calibri"/>
          <w:color w:val="000000"/>
          <w:sz w:val="22"/>
        </w:rPr>
        <w:t>Job title is the raw imported value; role bucket is the normalized persona used for filtering and scoring.</w:t>
      </w:r>
    </w:p>
    <w:p>
      <w:pPr>
        <w:pStyle w:val="ListBullet"/>
        <w:spacing w:before="0" w:after="80" w:line="264" w:lineRule="auto"/>
        <w:ind w:left="360" w:hanging="360"/>
      </w:pPr>
      <w:r>
        <w:rPr>
          <w:rFonts w:ascii="Calibri" w:hAnsi="Calibri"/>
          <w:color w:val="000000"/>
          <w:sz w:val="22"/>
        </w:rPr>
        <w:t>Custom fields are defined by import mapping and field definitions. Only fields marked searchable, filterable, or include_in_prompt are promoted into indexed query paths or AI prompt context.</w:t>
      </w:r>
    </w:p>
    <w:p>
      <w:pPr>
        <w:pStyle w:val="ListBullet"/>
        <w:spacing w:before="0" w:after="80" w:line="264" w:lineRule="auto"/>
        <w:ind w:left="360" w:hanging="360"/>
      </w:pPr>
      <w:r>
        <w:rPr>
          <w:rFonts w:ascii="Calibri" w:hAnsi="Calibri"/>
          <w:color w:val="000000"/>
          <w:sz w:val="22"/>
        </w:rPr>
        <w:t>Consent status and email health are separate gates. A record can be clean but still blocked from sending, or valid but still waiting for approval.</w:t>
      </w:r>
    </w:p>
    <w:p>
      <w:pPr>
        <w:pStyle w:val="ListBullet"/>
        <w:spacing w:before="0" w:after="80" w:line="264" w:lineRule="auto"/>
        <w:ind w:left="360" w:hanging="360"/>
      </w:pPr>
      <w:r>
        <w:rPr>
          <w:rFonts w:ascii="Calibri" w:hAnsi="Calibri"/>
          <w:color w:val="000000"/>
          <w:sz w:val="22"/>
        </w:rPr>
        <w:t>Queue eligibility should be explicit: health score 80+ may queue after approval, 50-79 requires manual review before queue, and below 50 is blocked unless an authorized override exists.</w:t>
      </w:r>
    </w:p>
    <w:p>
      <w:pPr>
        <w:pStyle w:val="ListBullet"/>
        <w:spacing w:before="0" w:after="80" w:line="264" w:lineRule="auto"/>
        <w:ind w:left="360" w:hanging="360"/>
      </w:pPr>
      <w:r>
        <w:rPr>
          <w:rFonts w:ascii="Calibri" w:hAnsi="Calibri"/>
          <w:color w:val="000000"/>
          <w:sz w:val="22"/>
        </w:rPr>
        <w:t>Unsubscribe replies, list-unsubscribe headers, and hard bounces should create type-specific suppression records immediately.</w:t>
      </w:r>
    </w:p>
    <w:p>
      <w:pPr>
        <w:pStyle w:val="ListBullet"/>
        <w:spacing w:before="0" w:after="80" w:line="264" w:lineRule="auto"/>
        <w:ind w:left="360" w:hanging="360"/>
      </w:pPr>
      <w:r>
        <w:rPr>
          <w:rFonts w:ascii="Calibri" w:hAnsi="Calibri"/>
          <w:color w:val="000000"/>
          <w:sz w:val="22"/>
        </w:rPr>
        <w:t>Draft approval creates an outbound send record. A draft should not be queued as if it were already sent-ready.</w:t>
      </w:r>
    </w:p>
    <w:p>
      <w:pPr>
        <w:pStyle w:val="Heading1"/>
        <w:spacing w:before="240" w:after="120" w:line="264" w:lineRule="auto"/>
      </w:pPr>
      <w:r>
        <w:rPr>
          <w:rFonts w:ascii="Calibri" w:hAnsi="Calibri"/>
          <w:b w:val="0"/>
          <w:i w:val="0"/>
          <w:color w:val="2E74B5"/>
          <w:sz w:val="32"/>
        </w:rPr>
        <w:t>2. Web-Only Product Rules</w:t>
      </w:r>
    </w:p>
    <w:p>
      <w:pPr>
        <w:pStyle w:val="ListBullet"/>
        <w:spacing w:before="0" w:after="80" w:line="264" w:lineRule="auto"/>
        <w:ind w:left="360" w:hanging="360"/>
      </w:pPr>
      <w:r>
        <w:rPr>
          <w:rFonts w:ascii="Calibri" w:hAnsi="Calibri"/>
          <w:color w:val="000000"/>
          <w:sz w:val="22"/>
        </w:rPr>
        <w:t>The product is browser-based and desktop-first.</w:t>
      </w:r>
    </w:p>
    <w:p>
      <w:pPr>
        <w:pStyle w:val="ListBullet"/>
        <w:spacing w:before="0" w:after="80" w:line="264" w:lineRule="auto"/>
        <w:ind w:left="360" w:hanging="360"/>
      </w:pPr>
      <w:r>
        <w:rPr>
          <w:rFonts w:ascii="Calibri" w:hAnsi="Calibri"/>
          <w:color w:val="000000"/>
          <w:sz w:val="22"/>
        </w:rPr>
        <w:t>There is no native mobile app, no tablet-specific code path, and no separate mobile UX backlog.</w:t>
      </w:r>
    </w:p>
    <w:p>
      <w:pPr>
        <w:pStyle w:val="ListBullet"/>
        <w:spacing w:before="0" w:after="80" w:line="264" w:lineRule="auto"/>
        <w:ind w:left="360" w:hanging="360"/>
      </w:pPr>
      <w:r>
        <w:rPr>
          <w:rFonts w:ascii="Calibri" w:hAnsi="Calibri"/>
          <w:color w:val="000000"/>
          <w:sz w:val="22"/>
        </w:rPr>
        <w:t>The UI should remain usable in a browser on smaller screens, but that is not a primary design target.</w:t>
      </w:r>
    </w:p>
    <w:p>
      <w:pPr>
        <w:pStyle w:val="ListBullet"/>
        <w:spacing w:before="0" w:after="80" w:line="264" w:lineRule="auto"/>
        <w:ind w:left="360" w:hanging="360"/>
      </w:pPr>
      <w:r>
        <w:rPr>
          <w:rFonts w:ascii="Calibri" w:hAnsi="Calibri"/>
          <w:color w:val="000000"/>
          <w:sz w:val="22"/>
        </w:rPr>
        <w:t>File upload, table scanning, side-by-side review, and long-form drafting should assume a full desktop viewport.</w:t>
      </w:r>
    </w:p>
    <w:p>
      <w:pPr>
        <w:pStyle w:val="ListBullet"/>
        <w:spacing w:before="0" w:after="80" w:line="264" w:lineRule="auto"/>
        <w:ind w:left="360" w:hanging="360"/>
      </w:pPr>
      <w:r>
        <w:rPr>
          <w:rFonts w:ascii="Calibri" w:hAnsi="Calibri"/>
          <w:color w:val="000000"/>
          <w:sz w:val="22"/>
        </w:rPr>
        <w:t>Keyboard-friendly flow matters more than touch-first interaction patterns.</w:t>
      </w:r>
    </w:p>
    <w:p>
      <w:pPr>
        <w:pStyle w:val="Heading1"/>
        <w:spacing w:before="240" w:after="120" w:line="264" w:lineRule="auto"/>
      </w:pPr>
      <w:r>
        <w:rPr>
          <w:rFonts w:ascii="Calibri" w:hAnsi="Calibri"/>
          <w:b w:val="0"/>
          <w:i w:val="0"/>
          <w:color w:val="2E74B5"/>
          <w:sz w:val="32"/>
        </w:rPr>
        <w:t>3. Recommended Technical Stack</w:t>
      </w:r>
    </w:p>
    <w:tbl>
      <w:tblPr>
        <w:tblStyle w:val="TableGrid"/>
        <w:tblW w:type="dxa" w:w="9360"/>
        <w:jc w:val="left"/>
        <w:tblLayout w:type="fixed"/>
        <w:tblLook w:firstColumn="1" w:firstRow="1" w:lastColumn="0" w:lastRow="0" w:noHBand="0" w:noVBand="1" w:val="04A0"/>
        <w:tblInd w:type="dxa" w:w="120"/>
      </w:tblPr>
      <w:tblGrid>
        <w:gridCol w:w="1500"/>
        <w:gridCol w:w="2600"/>
        <w:gridCol w:w="5260"/>
      </w:tblGrid>
      <w:tr>
        <w:trPr/>
        <w:tc>
          <w:tcPr>
            <w:tcW w:type="dxa" w:w="15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8"/>
              </w:rPr>
              <w:t>Layer</w:t>
            </w:r>
          </w:p>
        </w:tc>
        <w:tc>
          <w:tcPr>
            <w:tcW w:type="dxa" w:w="26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8"/>
              </w:rPr>
              <w:t>Recommendation</w:t>
            </w:r>
          </w:p>
        </w:tc>
        <w:tc>
          <w:tcPr>
            <w:tcW w:type="dxa" w:w="52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8"/>
              </w:rPr>
              <w:t>Why it fits</w:t>
            </w:r>
          </w:p>
        </w:tc>
      </w:tr>
      <w:tr>
        <w:trPr/>
        <w:tc>
          <w:tcPr>
            <w:tcW w:type="dxa" w:w="15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Frontend</w:t>
            </w:r>
          </w:p>
        </w:tc>
        <w:tc>
          <w:tcPr>
            <w:tcW w:type="dxa" w:w="26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Next.js or React web app</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Strong list/detail UIs, reusable components, and easy browser deployment.</w:t>
            </w:r>
          </w:p>
        </w:tc>
      </w:tr>
      <w:tr>
        <w:trPr/>
        <w:tc>
          <w:tcPr>
            <w:tcW w:type="dxa" w:w="15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Backend API</w:t>
            </w:r>
          </w:p>
        </w:tc>
        <w:tc>
          <w:tcPr>
            <w:tcW w:type="dxa" w:w="26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FastAPI (Python)</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Fast to build, clear typing, good async support, easy integration with workers.</w:t>
            </w:r>
          </w:p>
        </w:tc>
      </w:tr>
      <w:tr>
        <w:trPr/>
        <w:tc>
          <w:tcPr>
            <w:tcW w:type="dxa" w:w="15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Database</w:t>
            </w:r>
          </w:p>
        </w:tc>
        <w:tc>
          <w:tcPr>
            <w:tcW w:type="dxa" w:w="26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PostgreSQL</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Best fit for relational core data, JSONB custom fields, and auditability.</w:t>
            </w:r>
          </w:p>
        </w:tc>
      </w:tr>
      <w:tr>
        <w:trPr/>
        <w:tc>
          <w:tcPr>
            <w:tcW w:type="dxa" w:w="15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Queue / cache</w:t>
            </w:r>
          </w:p>
        </w:tc>
        <w:tc>
          <w:tcPr>
            <w:tcW w:type="dxa" w:w="26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Redis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Supports async jobs, retries, and temporary task state.</w:t>
            </w:r>
          </w:p>
        </w:tc>
      </w:tr>
      <w:tr>
        <w:trPr/>
        <w:tc>
          <w:tcPr>
            <w:tcW w:type="dxa" w:w="15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Workers</w:t>
            </w:r>
          </w:p>
        </w:tc>
        <w:tc>
          <w:tcPr>
            <w:tcW w:type="dxa" w:w="26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Celery, RQ, or equivalent</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Handles imports, AI jobs, health refresh, and Outlook sync out of band.</w:t>
            </w:r>
          </w:p>
        </w:tc>
      </w:tr>
      <w:tr>
        <w:trPr/>
        <w:tc>
          <w:tcPr>
            <w:tcW w:type="dxa" w:w="15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File storage</w:t>
            </w:r>
          </w:p>
        </w:tc>
        <w:tc>
          <w:tcPr>
            <w:tcW w:type="dxa" w:w="26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S3-compatible object storage</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Keeps uploads, extracted text, and attachments out of the database.</w:t>
            </w:r>
          </w:p>
        </w:tc>
      </w:tr>
      <w:tr>
        <w:trPr/>
        <w:tc>
          <w:tcPr>
            <w:tcW w:type="dxa" w:w="15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Auth</w:t>
            </w:r>
          </w:p>
        </w:tc>
        <w:tc>
          <w:tcPr>
            <w:tcW w:type="dxa" w:w="26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Internal SSO or email/password with RBAC</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Keeps the tool internal and controllable.</w:t>
            </w:r>
          </w:p>
        </w:tc>
      </w:tr>
      <w:tr>
        <w:trPr/>
        <w:tc>
          <w:tcPr>
            <w:tcW w:type="dxa" w:w="15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Observability</w:t>
            </w:r>
          </w:p>
        </w:tc>
        <w:tc>
          <w:tcPr>
            <w:tcW w:type="dxa" w:w="26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Structured logs, metrics, traces</w:t>
            </w:r>
          </w:p>
        </w:tc>
        <w:tc>
          <w:tcPr>
            <w:tcW w:type="dxa" w:w="5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Needed for imports, send jobs, and AI generation diagnostics.</w:t>
            </w:r>
          </w:p>
        </w:tc>
      </w:tr>
    </w:tbl>
    <w:p>
      <w:pPr>
        <w:pStyle w:val="Heading1"/>
        <w:spacing w:before="240" w:after="120" w:line="264" w:lineRule="auto"/>
      </w:pPr>
      <w:r>
        <w:rPr>
          <w:rFonts w:ascii="Calibri" w:hAnsi="Calibri"/>
          <w:b w:val="0"/>
          <w:i w:val="0"/>
          <w:color w:val="2E74B5"/>
          <w:sz w:val="32"/>
        </w:rPr>
        <w:t>4. Module Map</w:t>
      </w:r>
    </w:p>
    <w:tbl>
      <w:tblPr>
        <w:tblStyle w:val="TableGrid"/>
        <w:tblW w:type="dxa" w:w="9360"/>
        <w:jc w:val="left"/>
        <w:tblLayout w:type="fixed"/>
        <w:tblLook w:firstColumn="1" w:firstRow="1" w:lastColumn="0" w:lastRow="0" w:noHBand="0" w:noVBand="1" w:val="04A0"/>
        <w:tblInd w:type="dxa" w:w="120"/>
      </w:tblPr>
      <w:tblGrid>
        <w:gridCol w:w="1300"/>
        <w:gridCol w:w="1800"/>
        <w:gridCol w:w="2400"/>
        <w:gridCol w:w="3860"/>
      </w:tblGrid>
      <w:tr>
        <w:trPr/>
        <w:tc>
          <w:tcPr>
            <w:tcW w:type="dxa" w:w="13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Module</w:t>
            </w:r>
          </w:p>
        </w:tc>
        <w:tc>
          <w:tcPr>
            <w:tcW w:type="dxa" w:w="18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User-facing role</w:t>
            </w:r>
          </w:p>
        </w:tc>
        <w:tc>
          <w:tcPr>
            <w:tcW w:type="dxa" w:w="24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Backend service</w:t>
            </w:r>
          </w:p>
        </w:tc>
        <w:tc>
          <w:tcPr>
            <w:tcW w:type="dxa" w:w="38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7"/>
              </w:rPr>
              <w:t>Primary tables</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Import</w:t>
            </w:r>
          </w:p>
        </w:tc>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Upload files, map columns, review exceptions</w:t>
            </w:r>
          </w:p>
        </w:tc>
        <w:tc>
          <w:tcPr>
            <w:tcW w:type="dxa" w:w="2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 service</w:t>
            </w:r>
          </w:p>
        </w:tc>
        <w:tc>
          <w:tcPr>
            <w:tcW w:type="dxa" w:w="38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ingestion_batches, ingestion_batch_rows, import_profiles</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Master data</w:t>
            </w:r>
          </w:p>
        </w:tc>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Edit contacts and companies</w:t>
            </w:r>
          </w:p>
        </w:tc>
        <w:tc>
          <w:tcPr>
            <w:tcW w:type="dxa" w:w="2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Entity service</w:t>
            </w:r>
          </w:p>
        </w:tc>
        <w:tc>
          <w:tcPr>
            <w:tcW w:type="dxa" w:w="38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contacts, companies, contact_notes, company_notes</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Duplicates</w:t>
            </w:r>
          </w:p>
        </w:tc>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Review ambiguous matches</w:t>
            </w:r>
          </w:p>
        </w:tc>
        <w:tc>
          <w:tcPr>
            <w:tcW w:type="dxa" w:w="2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Matching service</w:t>
            </w:r>
          </w:p>
        </w:tc>
        <w:tc>
          <w:tcPr>
            <w:tcW w:type="dxa" w:w="38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duplicate_candidates, merge_events</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Research</w:t>
            </w:r>
          </w:p>
        </w:tc>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Curate company context</w:t>
            </w:r>
          </w:p>
        </w:tc>
        <w:tc>
          <w:tcPr>
            <w:tcW w:type="dxa" w:w="2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Research service</w:t>
            </w:r>
          </w:p>
        </w:tc>
        <w:tc>
          <w:tcPr>
            <w:tcW w:type="dxa" w:w="38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company_research_cards, company_research_sources</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 library</w:t>
            </w:r>
          </w:p>
        </w:tc>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Maintain approved solution knowledge</w:t>
            </w:r>
          </w:p>
        </w:tc>
        <w:tc>
          <w:tcPr>
            <w:tcW w:type="dxa" w:w="2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Knowledge service</w:t>
            </w:r>
          </w:p>
        </w:tc>
        <w:tc>
          <w:tcPr>
            <w:tcW w:type="dxa" w:w="38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capability_documents, capability_document_versions, capability_snippets</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Drafting</w:t>
            </w:r>
          </w:p>
        </w:tc>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Generate and review messages</w:t>
            </w:r>
          </w:p>
        </w:tc>
        <w:tc>
          <w:tcPr>
            <w:tcW w:type="dxa" w:w="2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Prompt / draft service</w:t>
            </w:r>
          </w:p>
        </w:tc>
        <w:tc>
          <w:tcPr>
            <w:tcW w:type="dxa" w:w="38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drafts, draft_versions, ai_generation_runs, prompt_templates</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Send</w:t>
            </w:r>
          </w:p>
        </w:tc>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Queue and release messages through Outlook</w:t>
            </w:r>
          </w:p>
        </w:tc>
        <w:tc>
          <w:tcPr>
            <w:tcW w:type="dxa" w:w="2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Outbox service</w:t>
            </w:r>
          </w:p>
        </w:tc>
        <w:tc>
          <w:tcPr>
            <w:tcW w:type="dxa" w:w="38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outbound_messages, outbound_message_attempts, mailboxes</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Replies / bounce</w:t>
            </w:r>
          </w:p>
        </w:tc>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Track replies and delivery failures</w:t>
            </w:r>
          </w:p>
        </w:tc>
        <w:tc>
          <w:tcPr>
            <w:tcW w:type="dxa" w:w="2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Sync service</w:t>
            </w:r>
          </w:p>
        </w:tc>
        <w:tc>
          <w:tcPr>
            <w:tcW w:type="dxa" w:w="38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inbound_messages, suppression_entries, email_health_checks</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Admin</w:t>
            </w:r>
          </w:p>
        </w:tc>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Manage settings and permissions</w:t>
            </w:r>
          </w:p>
        </w:tc>
        <w:tc>
          <w:tcPr>
            <w:tcW w:type="dxa" w:w="2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Admin service</w:t>
            </w:r>
          </w:p>
        </w:tc>
        <w:tc>
          <w:tcPr>
            <w:tcW w:type="dxa" w:w="38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users, roles, user_roles, app_settings, audit_logs</w:t>
            </w:r>
          </w:p>
        </w:tc>
      </w:tr>
    </w:tbl>
    <w:p>
      <w:pPr>
        <w:pStyle w:val="Heading1"/>
        <w:spacing w:before="240" w:after="120" w:line="264" w:lineRule="auto"/>
      </w:pPr>
      <w:r>
        <w:rPr>
          <w:rFonts w:ascii="Calibri" w:hAnsi="Calibri"/>
          <w:b w:val="0"/>
          <w:i w:val="0"/>
          <w:color w:val="2E74B5"/>
          <w:sz w:val="32"/>
        </w:rPr>
        <w:t>5. Core Workflows</w:t>
      </w:r>
    </w:p>
    <w:p>
      <w:pPr>
        <w:pStyle w:val="ListNumber"/>
        <w:spacing w:before="0" w:after="80" w:line="264" w:lineRule="auto"/>
        <w:ind w:left="360" w:hanging="360"/>
      </w:pPr>
      <w:r>
        <w:rPr>
          <w:rFonts w:ascii="Calibri" w:hAnsi="Calibri"/>
          <w:color w:val="000000"/>
          <w:sz w:val="22"/>
        </w:rPr>
        <w:t>Import a batch and create a batch record with a file hash.</w:t>
      </w:r>
    </w:p>
    <w:p>
      <w:pPr>
        <w:pStyle w:val="ListNumber"/>
        <w:spacing w:before="0" w:after="80" w:line="264" w:lineRule="auto"/>
        <w:ind w:left="360" w:hanging="360"/>
      </w:pPr>
      <w:r>
        <w:rPr>
          <w:rFonts w:ascii="Calibri" w:hAnsi="Calibri"/>
          <w:color w:val="000000"/>
          <w:sz w:val="22"/>
        </w:rPr>
        <w:t>Map incoming columns to the master schema and save the mapping profile.</w:t>
      </w:r>
    </w:p>
    <w:p>
      <w:pPr>
        <w:pStyle w:val="ListNumber"/>
        <w:spacing w:before="0" w:after="80" w:line="264" w:lineRule="auto"/>
        <w:ind w:left="360" w:hanging="360"/>
      </w:pPr>
      <w:r>
        <w:rPr>
          <w:rFonts w:ascii="Calibri" w:hAnsi="Calibri"/>
          <w:color w:val="000000"/>
          <w:sz w:val="22"/>
        </w:rPr>
        <w:t>Stage the rows, normalize the data, and flag missing or risky records.</w:t>
      </w:r>
    </w:p>
    <w:p>
      <w:pPr>
        <w:pStyle w:val="ListNumber"/>
        <w:spacing w:before="0" w:after="80" w:line="264" w:lineRule="auto"/>
        <w:ind w:left="360" w:hanging="360"/>
      </w:pPr>
      <w:r>
        <w:rPr>
          <w:rFonts w:ascii="Calibri" w:hAnsi="Calibri"/>
          <w:color w:val="000000"/>
          <w:sz w:val="22"/>
        </w:rPr>
        <w:t>Run exact and fuzzy duplicate detection.</w:t>
      </w:r>
    </w:p>
    <w:p>
      <w:pPr>
        <w:pStyle w:val="ListNumber"/>
        <w:spacing w:before="0" w:after="80" w:line="264" w:lineRule="auto"/>
        <w:ind w:left="360" w:hanging="360"/>
      </w:pPr>
      <w:r>
        <w:rPr>
          <w:rFonts w:ascii="Calibri" w:hAnsi="Calibri"/>
          <w:color w:val="000000"/>
          <w:sz w:val="22"/>
        </w:rPr>
        <w:t>Resolve or review duplicate candidates.</w:t>
      </w:r>
    </w:p>
    <w:p>
      <w:pPr>
        <w:pStyle w:val="ListNumber"/>
        <w:spacing w:before="0" w:after="80" w:line="264" w:lineRule="auto"/>
        <w:ind w:left="360" w:hanging="360"/>
      </w:pPr>
      <w:r>
        <w:rPr>
          <w:rFonts w:ascii="Calibri" w:hAnsi="Calibri"/>
          <w:color w:val="000000"/>
          <w:sz w:val="22"/>
        </w:rPr>
        <w:t>Attach company records, research cards, and capability snippets.</w:t>
      </w:r>
    </w:p>
    <w:p>
      <w:pPr>
        <w:pStyle w:val="ListNumber"/>
        <w:spacing w:before="0" w:after="80" w:line="264" w:lineRule="auto"/>
        <w:ind w:left="360" w:hanging="360"/>
      </w:pPr>
      <w:r>
        <w:rPr>
          <w:rFonts w:ascii="Calibri" w:hAnsi="Calibri"/>
          <w:color w:val="000000"/>
          <w:sz w:val="22"/>
        </w:rPr>
        <w:t>Generate a draft from verified contact, company, and capability context.</w:t>
      </w:r>
    </w:p>
    <w:p>
      <w:pPr>
        <w:pStyle w:val="ListNumber"/>
        <w:spacing w:before="0" w:after="80" w:line="264" w:lineRule="auto"/>
        <w:ind w:left="360" w:hanging="360"/>
      </w:pPr>
      <w:r>
        <w:rPr>
          <w:rFonts w:ascii="Calibri" w:hAnsi="Calibri"/>
          <w:color w:val="000000"/>
          <w:sz w:val="22"/>
        </w:rPr>
        <w:t>Review the draft and approve it for Outlook.</w:t>
      </w:r>
    </w:p>
    <w:p>
      <w:pPr>
        <w:pStyle w:val="ListNumber"/>
        <w:spacing w:before="0" w:after="80" w:line="264" w:lineRule="auto"/>
        <w:ind w:left="360" w:hanging="360"/>
      </w:pPr>
      <w:r>
        <w:rPr>
          <w:rFonts w:ascii="Calibri" w:hAnsi="Calibri"/>
          <w:color w:val="000000"/>
          <w:sz w:val="22"/>
        </w:rPr>
        <w:t>Queue the message according to send rules and working hours.</w:t>
      </w:r>
    </w:p>
    <w:p>
      <w:pPr>
        <w:pStyle w:val="ListNumber"/>
        <w:spacing w:before="0" w:after="80" w:line="264" w:lineRule="auto"/>
        <w:ind w:left="360" w:hanging="360"/>
      </w:pPr>
      <w:r>
        <w:rPr>
          <w:rFonts w:ascii="Calibri" w:hAnsi="Calibri"/>
          <w:color w:val="000000"/>
          <w:sz w:val="22"/>
        </w:rPr>
        <w:t>Sync replies and bounces back into the contact and company records.</w:t>
      </w:r>
    </w:p>
    <w:p>
      <w:pPr>
        <w:pStyle w:val="ListNumber"/>
        <w:spacing w:before="0" w:after="80" w:line="264" w:lineRule="auto"/>
        <w:ind w:left="360" w:hanging="360"/>
      </w:pPr>
      <w:r>
        <w:rPr>
          <w:rFonts w:ascii="Calibri" w:hAnsi="Calibri"/>
          <w:color w:val="000000"/>
          <w:sz w:val="22"/>
        </w:rPr>
        <w:t>Run weekly email health refresh and suppression enforcement.</w:t>
      </w:r>
    </w:p>
    <w:p>
      <w:pPr>
        <w:pStyle w:val="Heading1"/>
        <w:spacing w:before="240" w:after="120" w:line="264" w:lineRule="auto"/>
      </w:pPr>
      <w:r>
        <w:rPr>
          <w:rFonts w:ascii="Calibri" w:hAnsi="Calibri"/>
          <w:b w:val="0"/>
          <w:i w:val="0"/>
          <w:color w:val="2E74B5"/>
          <w:sz w:val="32"/>
        </w:rPr>
        <w:t>6. Frontend Pages</w:t>
      </w:r>
    </w:p>
    <w:p>
      <w:pPr>
        <w:pStyle w:val="ListBullet"/>
        <w:spacing w:before="0" w:after="80" w:line="264" w:lineRule="auto"/>
        <w:ind w:left="360" w:hanging="360"/>
      </w:pPr>
      <w:r>
        <w:rPr>
          <w:rFonts w:ascii="Calibri" w:hAnsi="Calibri"/>
          <w:color w:val="000000"/>
          <w:sz w:val="22"/>
        </w:rPr>
        <w:t>Dashboard: counts, warnings, queue health, bounce rate, and review backlog.</w:t>
      </w:r>
    </w:p>
    <w:p>
      <w:pPr>
        <w:pStyle w:val="ListBullet"/>
        <w:spacing w:before="0" w:after="80" w:line="264" w:lineRule="auto"/>
        <w:ind w:left="360" w:hanging="360"/>
      </w:pPr>
      <w:r>
        <w:rPr>
          <w:rFonts w:ascii="Calibri" w:hAnsi="Calibri"/>
          <w:color w:val="000000"/>
          <w:sz w:val="22"/>
        </w:rPr>
        <w:t>Contacts: search, filter, edit, segment, draft, and bulk actions.</w:t>
      </w:r>
    </w:p>
    <w:p>
      <w:pPr>
        <w:pStyle w:val="ListBullet"/>
        <w:spacing w:before="0" w:after="80" w:line="264" w:lineRule="auto"/>
        <w:ind w:left="360" w:hanging="360"/>
      </w:pPr>
      <w:r>
        <w:rPr>
          <w:rFonts w:ascii="Calibri" w:hAnsi="Calibri"/>
          <w:color w:val="000000"/>
          <w:sz w:val="22"/>
        </w:rPr>
        <w:t>Company: one shared context card plus all linked contacts and history.</w:t>
      </w:r>
    </w:p>
    <w:p>
      <w:pPr>
        <w:pStyle w:val="ListBullet"/>
        <w:spacing w:before="0" w:after="80" w:line="264" w:lineRule="auto"/>
        <w:ind w:left="360" w:hanging="360"/>
      </w:pPr>
      <w:r>
        <w:rPr>
          <w:rFonts w:ascii="Calibri" w:hAnsi="Calibri"/>
          <w:color w:val="000000"/>
          <w:sz w:val="22"/>
        </w:rPr>
        <w:t>Import: upload, map columns, preview validation, commit batch.</w:t>
      </w:r>
    </w:p>
    <w:p>
      <w:pPr>
        <w:pStyle w:val="ListBullet"/>
        <w:spacing w:before="0" w:after="80" w:line="264" w:lineRule="auto"/>
        <w:ind w:left="360" w:hanging="360"/>
      </w:pPr>
      <w:r>
        <w:rPr>
          <w:rFonts w:ascii="Calibri" w:hAnsi="Calibri"/>
          <w:color w:val="000000"/>
          <w:sz w:val="22"/>
        </w:rPr>
        <w:t>Review queue: duplicates, risky emails, draft approval, rejections, escalations, and exceptions.</w:t>
      </w:r>
    </w:p>
    <w:p>
      <w:pPr>
        <w:pStyle w:val="ListBullet"/>
        <w:spacing w:before="0" w:after="80" w:line="264" w:lineRule="auto"/>
        <w:ind w:left="360" w:hanging="360"/>
      </w:pPr>
      <w:r>
        <w:rPr>
          <w:rFonts w:ascii="Calibri" w:hAnsi="Calibri"/>
          <w:color w:val="000000"/>
          <w:sz w:val="22"/>
        </w:rPr>
        <w:t>Draft editor: AI output, internal evidence, manual editing, approve or reject.</w:t>
      </w:r>
    </w:p>
    <w:p>
      <w:pPr>
        <w:pStyle w:val="ListBullet"/>
        <w:spacing w:before="0" w:after="80" w:line="264" w:lineRule="auto"/>
        <w:ind w:left="360" w:hanging="360"/>
      </w:pPr>
      <w:r>
        <w:rPr>
          <w:rFonts w:ascii="Calibri" w:hAnsi="Calibri"/>
          <w:color w:val="000000"/>
          <w:sz w:val="22"/>
        </w:rPr>
        <w:t>Queue: pending sends, scheduled sends, failures, retries, pause all, and dry-run mode.</w:t>
      </w:r>
    </w:p>
    <w:p>
      <w:pPr>
        <w:pStyle w:val="ListBullet"/>
        <w:spacing w:before="0" w:after="80" w:line="264" w:lineRule="auto"/>
        <w:ind w:left="360" w:hanging="360"/>
      </w:pPr>
      <w:r>
        <w:rPr>
          <w:rFonts w:ascii="Calibri" w:hAnsi="Calibri"/>
          <w:color w:val="000000"/>
          <w:sz w:val="22"/>
        </w:rPr>
        <w:t>Knowledge base: services, proof points, case studies, objections, CTAs.</w:t>
      </w:r>
    </w:p>
    <w:p>
      <w:pPr>
        <w:pStyle w:val="ListBullet"/>
        <w:spacing w:before="0" w:after="80" w:line="264" w:lineRule="auto"/>
        <w:ind w:left="360" w:hanging="360"/>
      </w:pPr>
      <w:r>
        <w:rPr>
          <w:rFonts w:ascii="Calibri" w:hAnsi="Calibri"/>
          <w:color w:val="000000"/>
          <w:sz w:val="22"/>
        </w:rPr>
        <w:t>Settings: mailbox, send limits, mappings, scoring rules, permissions, audit access, and suppression controls.</w:t>
      </w:r>
    </w:p>
    <w:p>
      <w:pPr>
        <w:pStyle w:val="ListBullet"/>
        <w:spacing w:before="0" w:after="80" w:line="264" w:lineRule="auto"/>
        <w:ind w:left="360" w:hanging="360"/>
      </w:pPr>
      <w:r>
        <w:rPr>
          <w:rFonts w:ascii="Calibri" w:hAnsi="Calibri"/>
          <w:color w:val="000000"/>
          <w:sz w:val="22"/>
        </w:rPr>
        <w:t>Audit: searchable event history with export tools for administrators.</w:t>
      </w:r>
    </w:p>
    <w:p>
      <w:pPr>
        <w:pStyle w:val="Heading1"/>
        <w:spacing w:before="240" w:after="120" w:line="264" w:lineRule="auto"/>
      </w:pPr>
      <w:r>
        <w:rPr>
          <w:rFonts w:ascii="Calibri" w:hAnsi="Calibri"/>
          <w:b w:val="0"/>
          <w:i w:val="0"/>
          <w:color w:val="2E74B5"/>
          <w:sz w:val="32"/>
        </w:rPr>
        <w:t>7. Backend Services and APIs</w:t>
      </w:r>
    </w:p>
    <w:tbl>
      <w:tblPr>
        <w:tblStyle w:val="TableGrid"/>
        <w:tblW w:type="dxa" w:w="9360"/>
        <w:jc w:val="left"/>
        <w:tblLayout w:type="fixed"/>
        <w:tblLook w:firstColumn="1" w:firstRow="1" w:lastColumn="0" w:lastRow="0" w:noHBand="0" w:noVBand="1" w:val="04A0"/>
        <w:tblInd w:type="dxa" w:w="120"/>
      </w:tblPr>
      <w:tblGrid>
        <w:gridCol w:w="1300"/>
        <w:gridCol w:w="4350"/>
        <w:gridCol w:w="3710"/>
      </w:tblGrid>
      <w:tr>
        <w:trPr/>
        <w:tc>
          <w:tcPr>
            <w:tcW w:type="dxa" w:w="13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8"/>
              </w:rPr>
              <w:t>API group</w:t>
            </w:r>
          </w:p>
        </w:tc>
        <w:tc>
          <w:tcPr>
            <w:tcW w:type="dxa" w:w="435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8"/>
              </w:rPr>
              <w:t>Main endpoints</w:t>
            </w:r>
          </w:p>
        </w:tc>
        <w:tc>
          <w:tcPr>
            <w:tcW w:type="dxa" w:w="371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8"/>
              </w:rPr>
              <w:t>Notes</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Imports</w:t>
            </w:r>
          </w:p>
        </w:tc>
        <w:tc>
          <w:tcPr>
            <w:tcW w:type="dxa" w:w="4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POST /api/import/batches, GET /api/import/batches/{id}, POST /api/import/batches/{id}/commit</w:t>
            </w:r>
          </w:p>
        </w:tc>
        <w:tc>
          <w:tcPr>
            <w:tcW w:type="dxa" w:w="37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Staging-first flow with preview and commit.</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Contacts</w:t>
            </w:r>
          </w:p>
        </w:tc>
        <w:tc>
          <w:tcPr>
            <w:tcW w:type="dxa" w:w="4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GET /api/contacts, GET /api/contacts/{id}, PATCH /api/contacts/{id}</w:t>
            </w:r>
          </w:p>
        </w:tc>
        <w:tc>
          <w:tcPr>
            <w:tcW w:type="dxa" w:w="37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Supports edits, status changes, notes, and history.</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Companies</w:t>
            </w:r>
          </w:p>
        </w:tc>
        <w:tc>
          <w:tcPr>
            <w:tcW w:type="dxa" w:w="4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GET /api/companies, GET /api/companies/{id}, PATCH /api/companies/{id}</w:t>
            </w:r>
          </w:p>
        </w:tc>
        <w:tc>
          <w:tcPr>
            <w:tcW w:type="dxa" w:w="37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Company is a first-class entity with shared context.</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Research</w:t>
            </w:r>
          </w:p>
        </w:tc>
        <w:tc>
          <w:tcPr>
            <w:tcW w:type="dxa" w:w="4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POST /api/companies/{id}/research, GET /api/companies/{id}/research</w:t>
            </w:r>
          </w:p>
        </w:tc>
        <w:tc>
          <w:tcPr>
            <w:tcW w:type="dxa" w:w="37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Manual plus optional curated public-source enrichment.</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Knowledge</w:t>
            </w:r>
          </w:p>
        </w:tc>
        <w:tc>
          <w:tcPr>
            <w:tcW w:type="dxa" w:w="4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GET /api/capabilities, POST /api/capabilities, POST /api/capabilities/{id}/versions</w:t>
            </w:r>
          </w:p>
        </w:tc>
        <w:tc>
          <w:tcPr>
            <w:tcW w:type="dxa" w:w="37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Capability library content and versioning.</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Drafts</w:t>
            </w:r>
          </w:p>
        </w:tc>
        <w:tc>
          <w:tcPr>
            <w:tcW w:type="dxa" w:w="4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POST /api/drafts/generate, GET /api/drafts/{id}, POST /api/drafts/{id}/approve</w:t>
            </w:r>
          </w:p>
        </w:tc>
        <w:tc>
          <w:tcPr>
            <w:tcW w:type="dxa" w:w="37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AI drafting with human approval gate.</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Send</w:t>
            </w:r>
          </w:p>
        </w:tc>
        <w:tc>
          <w:tcPr>
            <w:tcW w:type="dxa" w:w="4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POST /api/outbox/queue, POST /api/outbox/pause, POST /api/outbox/resume</w:t>
            </w:r>
          </w:p>
        </w:tc>
        <w:tc>
          <w:tcPr>
            <w:tcW w:type="dxa" w:w="37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Microsoft Graph Outlook send flow; no alternate provider in v1.</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Tracking</w:t>
            </w:r>
          </w:p>
        </w:tc>
        <w:tc>
          <w:tcPr>
            <w:tcW w:type="dxa" w:w="4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GET /api/replies, GET /api/bounces, GET /api/health-checks, GET /api/suppressions</w:t>
            </w:r>
          </w:p>
        </w:tc>
        <w:tc>
          <w:tcPr>
            <w:tcW w:type="dxa" w:w="37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Reply, bounce, validation, and suppression signals.</w:t>
            </w:r>
          </w:p>
        </w:tc>
      </w:tr>
      <w:tr>
        <w:trPr/>
        <w:tc>
          <w:tcPr>
            <w:tcW w:type="dxa" w:w="1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Exports / audit</w:t>
            </w:r>
          </w:p>
        </w:tc>
        <w:tc>
          <w:tcPr>
            <w:tcW w:type="dxa" w:w="43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GET /api/exports, POST /api/exports, GET /api/audit-logs</w:t>
            </w:r>
          </w:p>
        </w:tc>
        <w:tc>
          <w:tcPr>
            <w:tcW w:type="dxa" w:w="37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Bulk exports and audit access should be logged.</w:t>
            </w:r>
          </w:p>
        </w:tc>
      </w:tr>
    </w:tbl>
    <w:p>
      <w:pPr>
        <w:pStyle w:val="Heading1"/>
        <w:spacing w:before="240" w:after="120" w:line="264" w:lineRule="auto"/>
      </w:pPr>
      <w:r>
        <w:rPr>
          <w:rFonts w:ascii="Calibri" w:hAnsi="Calibri"/>
          <w:b w:val="0"/>
          <w:i w:val="0"/>
          <w:color w:val="2E74B5"/>
          <w:sz w:val="32"/>
        </w:rPr>
        <w:t>8. Background Jobs</w:t>
      </w:r>
    </w:p>
    <w:p>
      <w:pPr>
        <w:pStyle w:val="ListBullet"/>
        <w:spacing w:before="0" w:after="80" w:line="264" w:lineRule="auto"/>
        <w:ind w:left="360" w:hanging="360"/>
      </w:pPr>
      <w:r>
        <w:rPr>
          <w:rFonts w:ascii="Calibri" w:hAnsi="Calibri"/>
          <w:color w:val="000000"/>
          <w:sz w:val="22"/>
        </w:rPr>
        <w:t>Import processing job: validate, normalize, dedupe, and stage rows in chunks.</w:t>
      </w:r>
    </w:p>
    <w:p>
      <w:pPr>
        <w:pStyle w:val="ListBullet"/>
        <w:spacing w:before="0" w:after="80" w:line="264" w:lineRule="auto"/>
        <w:ind w:left="360" w:hanging="360"/>
      </w:pPr>
      <w:r>
        <w:rPr>
          <w:rFonts w:ascii="Calibri" w:hAnsi="Calibri"/>
          <w:color w:val="000000"/>
          <w:sz w:val="22"/>
        </w:rPr>
        <w:t>Duplicate scan job: re-evaluate recent edits and new batches.</w:t>
      </w:r>
    </w:p>
    <w:p>
      <w:pPr>
        <w:pStyle w:val="ListBullet"/>
        <w:spacing w:before="0" w:after="80" w:line="264" w:lineRule="auto"/>
        <w:ind w:left="360" w:hanging="360"/>
      </w:pPr>
      <w:r>
        <w:rPr>
          <w:rFonts w:ascii="Calibri" w:hAnsi="Calibri"/>
          <w:color w:val="000000"/>
          <w:sz w:val="22"/>
        </w:rPr>
        <w:t>Draft generation job: build AI output only after sufficient context exists.</w:t>
      </w:r>
    </w:p>
    <w:p>
      <w:pPr>
        <w:pStyle w:val="ListBullet"/>
        <w:spacing w:before="0" w:after="80" w:line="264" w:lineRule="auto"/>
        <w:ind w:left="360" w:hanging="360"/>
      </w:pPr>
      <w:r>
        <w:rPr>
          <w:rFonts w:ascii="Calibri" w:hAnsi="Calibri"/>
          <w:color w:val="000000"/>
          <w:sz w:val="22"/>
        </w:rPr>
        <w:t>Outbox processor: send approved messages inside working hours and limits.</w:t>
      </w:r>
    </w:p>
    <w:p>
      <w:pPr>
        <w:pStyle w:val="ListBullet"/>
        <w:spacing w:before="0" w:after="80" w:line="264" w:lineRule="auto"/>
        <w:ind w:left="360" w:hanging="360"/>
      </w:pPr>
      <w:r>
        <w:rPr>
          <w:rFonts w:ascii="Calibri" w:hAnsi="Calibri"/>
          <w:color w:val="000000"/>
          <w:sz w:val="22"/>
        </w:rPr>
        <w:t>Reply sync job: fetch mailbox replies, thread them, and classify obvious cases.</w:t>
      </w:r>
    </w:p>
    <w:p>
      <w:pPr>
        <w:pStyle w:val="ListBullet"/>
        <w:spacing w:before="0" w:after="80" w:line="264" w:lineRule="auto"/>
        <w:ind w:left="360" w:hanging="360"/>
      </w:pPr>
      <w:r>
        <w:rPr>
          <w:rFonts w:ascii="Calibri" w:hAnsi="Calibri"/>
          <w:color w:val="000000"/>
          <w:sz w:val="22"/>
        </w:rPr>
        <w:t>Bounce sync job: capture delivery failures and suppress bad addresses.</w:t>
      </w:r>
    </w:p>
    <w:p>
      <w:pPr>
        <w:pStyle w:val="ListBullet"/>
        <w:spacing w:before="0" w:after="80" w:line="264" w:lineRule="auto"/>
        <w:ind w:left="360" w:hanging="360"/>
      </w:pPr>
      <w:r>
        <w:rPr>
          <w:rFonts w:ascii="Calibri" w:hAnsi="Calibri"/>
          <w:color w:val="000000"/>
          <w:sz w:val="22"/>
        </w:rPr>
        <w:t>Weekly email health job: refresh validity state for non-suppressed contacts.</w:t>
      </w:r>
    </w:p>
    <w:p>
      <w:pPr>
        <w:pStyle w:val="ListBullet"/>
        <w:spacing w:before="0" w:after="80" w:line="264" w:lineRule="auto"/>
        <w:ind w:left="360" w:hanging="360"/>
      </w:pPr>
      <w:r>
        <w:rPr>
          <w:rFonts w:ascii="Calibri" w:hAnsi="Calibri"/>
          <w:color w:val="000000"/>
          <w:sz w:val="22"/>
        </w:rPr>
        <w:t>Export job: generate list exports and audit exports without blocking the UI.</w:t>
      </w:r>
    </w:p>
    <w:p>
      <w:pPr>
        <w:pStyle w:val="ListBullet"/>
        <w:spacing w:before="0" w:after="80" w:line="264" w:lineRule="auto"/>
        <w:ind w:left="360" w:hanging="360"/>
      </w:pPr>
      <w:r>
        <w:rPr>
          <w:rFonts w:ascii="Calibri" w:hAnsi="Calibri"/>
          <w:color w:val="000000"/>
          <w:sz w:val="22"/>
        </w:rPr>
        <w:t>Audit archive job: move cold event logs to long-term storage if needed.</w:t>
      </w:r>
    </w:p>
    <w:p>
      <w:pPr>
        <w:pStyle w:val="Heading1"/>
        <w:spacing w:before="240" w:after="120" w:line="264" w:lineRule="auto"/>
      </w:pPr>
      <w:r>
        <w:rPr>
          <w:rFonts w:ascii="Calibri" w:hAnsi="Calibri"/>
          <w:b w:val="0"/>
          <w:i w:val="0"/>
          <w:color w:val="2E74B5"/>
          <w:sz w:val="32"/>
        </w:rPr>
        <w:t>9. AI Orchestration</w:t>
      </w:r>
    </w:p>
    <w:p>
      <w:pPr>
        <w:pStyle w:val="ListBullet"/>
        <w:spacing w:before="0" w:after="80" w:line="264" w:lineRule="auto"/>
        <w:ind w:left="360" w:hanging="360"/>
      </w:pPr>
      <w:r>
        <w:rPr>
          <w:rFonts w:ascii="Calibri" w:hAnsi="Calibri"/>
          <w:color w:val="000000"/>
          <w:sz w:val="22"/>
        </w:rPr>
        <w:t>Prompt input must be curated, not raw spreadsheet noise.</w:t>
      </w:r>
    </w:p>
    <w:p>
      <w:pPr>
        <w:pStyle w:val="ListBullet"/>
        <w:spacing w:before="0" w:after="80" w:line="264" w:lineRule="auto"/>
        <w:ind w:left="360" w:hanging="360"/>
      </w:pPr>
      <w:r>
        <w:rPr>
          <w:rFonts w:ascii="Calibri" w:hAnsi="Calibri"/>
          <w:color w:val="000000"/>
          <w:sz w:val="22"/>
        </w:rPr>
        <w:t>Internal capability snippets are the primary source of factual claims.</w:t>
      </w:r>
    </w:p>
    <w:p>
      <w:pPr>
        <w:pStyle w:val="ListBullet"/>
        <w:spacing w:before="0" w:after="80" w:line="264" w:lineRule="auto"/>
        <w:ind w:left="360" w:hanging="360"/>
      </w:pPr>
      <w:r>
        <w:rPr>
          <w:rFonts w:ascii="Calibri" w:hAnsi="Calibri"/>
          <w:color w:val="000000"/>
          <w:sz w:val="22"/>
        </w:rPr>
        <w:t>Company research cards provide account context and likely business relevance.</w:t>
      </w:r>
    </w:p>
    <w:p>
      <w:pPr>
        <w:pStyle w:val="ListBullet"/>
        <w:spacing w:before="0" w:after="80" w:line="264" w:lineRule="auto"/>
        <w:ind w:left="360" w:hanging="360"/>
      </w:pPr>
      <w:r>
        <w:rPr>
          <w:rFonts w:ascii="Calibri" w:hAnsi="Calibri"/>
          <w:color w:val="000000"/>
          <w:sz w:val="22"/>
        </w:rPr>
        <w:t>External context, when used, must stay limited to approved company and industry facts.</w:t>
      </w:r>
    </w:p>
    <w:p>
      <w:pPr>
        <w:pStyle w:val="ListBullet"/>
        <w:spacing w:before="0" w:after="80" w:line="264" w:lineRule="auto"/>
        <w:ind w:left="360" w:hanging="360"/>
      </w:pPr>
      <w:r>
        <w:rPr>
          <w:rFonts w:ascii="Calibri" w:hAnsi="Calibri"/>
          <w:color w:val="000000"/>
          <w:sz w:val="22"/>
        </w:rPr>
        <w:t>The AI provider and model should be abstracted behind a service so model versions can be pinned.</w:t>
      </w:r>
    </w:p>
    <w:p>
      <w:pPr>
        <w:pStyle w:val="ListBullet"/>
        <w:spacing w:before="0" w:after="80" w:line="264" w:lineRule="auto"/>
        <w:ind w:left="360" w:hanging="360"/>
      </w:pPr>
      <w:r>
        <w:rPr>
          <w:rFonts w:ascii="Calibri" w:hAnsi="Calibri"/>
          <w:color w:val="000000"/>
          <w:sz w:val="22"/>
        </w:rPr>
        <w:t>Prompt templates are versioned, and each draft should record the provider, model, prompt version, and estimated cost.</w:t>
      </w:r>
    </w:p>
    <w:p>
      <w:pPr>
        <w:pStyle w:val="ListBullet"/>
        <w:spacing w:before="0" w:after="80" w:line="264" w:lineRule="auto"/>
        <w:ind w:left="360" w:hanging="360"/>
      </w:pPr>
      <w:r>
        <w:rPr>
          <w:rFonts w:ascii="Calibri" w:hAnsi="Calibri"/>
          <w:color w:val="000000"/>
          <w:sz w:val="22"/>
        </w:rPr>
        <w:t>The model may suggest assumptions only when clearly labeled for review.</w:t>
      </w:r>
    </w:p>
    <w:p>
      <w:pPr>
        <w:pStyle w:val="ListBullet"/>
        <w:spacing w:before="0" w:after="80" w:line="264" w:lineRule="auto"/>
        <w:ind w:left="360" w:hanging="360"/>
      </w:pPr>
      <w:r>
        <w:rPr>
          <w:rFonts w:ascii="Calibri" w:hAnsi="Calibri"/>
          <w:color w:val="000000"/>
          <w:sz w:val="22"/>
        </w:rPr>
        <w:t>Draft output should be structured and versioned.</w:t>
      </w:r>
    </w:p>
    <w:p>
      <w:pPr>
        <w:pStyle w:val="ListBullet"/>
        <w:spacing w:before="0" w:after="80" w:line="264" w:lineRule="auto"/>
        <w:ind w:left="360" w:hanging="360"/>
      </w:pPr>
      <w:r>
        <w:rPr>
          <w:rFonts w:ascii="Calibri" w:hAnsi="Calibri"/>
          <w:color w:val="000000"/>
          <w:sz w:val="22"/>
        </w:rPr>
        <w:t>One final version per contact is the default; multiple variants are optional and deliberate.</w:t>
      </w:r>
    </w:p>
    <w:p>
      <w:pPr>
        <w:pStyle w:val="ListBullet"/>
        <w:spacing w:before="0" w:after="80" w:line="264" w:lineRule="auto"/>
        <w:ind w:left="360" w:hanging="360"/>
      </w:pPr>
      <w:r>
        <w:rPr>
          <w:rFonts w:ascii="Calibri" w:hAnsi="Calibri"/>
          <w:color w:val="000000"/>
          <w:sz w:val="22"/>
        </w:rPr>
        <w:t>Rejected drafts should be archived with a reason so prompt improvement is possible later.</w:t>
      </w:r>
    </w:p>
    <w:p>
      <w:pPr>
        <w:pStyle w:val="ListBullet"/>
        <w:spacing w:before="0" w:after="80" w:line="264" w:lineRule="auto"/>
        <w:ind w:left="360" w:hanging="360"/>
      </w:pPr>
      <w:r>
        <w:rPr>
          <w:rFonts w:ascii="Calibri" w:hAnsi="Calibri"/>
          <w:color w:val="000000"/>
          <w:sz w:val="22"/>
        </w:rPr>
        <w:t>AI must never bypass the approval gate or invent company capabilities.</w:t>
      </w:r>
    </w:p>
    <w:p>
      <w:pPr>
        <w:pStyle w:val="Heading1"/>
        <w:spacing w:before="240" w:after="120" w:line="264" w:lineRule="auto"/>
      </w:pPr>
      <w:r>
        <w:rPr>
          <w:rFonts w:ascii="Calibri" w:hAnsi="Calibri"/>
          <w:b w:val="0"/>
          <w:i w:val="0"/>
          <w:color w:val="2E74B5"/>
          <w:sz w:val="32"/>
        </w:rPr>
        <w:t>10. Build Order</w:t>
      </w:r>
    </w:p>
    <w:tbl>
      <w:tblPr>
        <w:tblStyle w:val="TableGrid"/>
        <w:tblW w:type="dxa" w:w="9360"/>
        <w:jc w:val="left"/>
        <w:tblLayout w:type="fixed"/>
        <w:tblLook w:firstColumn="1" w:firstRow="1" w:lastColumn="0" w:lastRow="0" w:noHBand="0" w:noVBand="1" w:val="04A0"/>
        <w:tblInd w:type="dxa" w:w="120"/>
      </w:tblPr>
      <w:tblGrid>
        <w:gridCol w:w="900"/>
        <w:gridCol w:w="4200"/>
        <w:gridCol w:w="4260"/>
      </w:tblGrid>
      <w:tr>
        <w:trPr/>
        <w:tc>
          <w:tcPr>
            <w:tcW w:type="dxa" w:w="9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8"/>
              </w:rPr>
              <w:t>Phase</w:t>
            </w:r>
          </w:p>
        </w:tc>
        <w:tc>
          <w:tcPr>
            <w:tcW w:type="dxa" w:w="420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8"/>
              </w:rPr>
              <w:t>Scope</w:t>
            </w:r>
          </w:p>
        </w:tc>
        <w:tc>
          <w:tcPr>
            <w:tcW w:type="dxa" w:w="4260"/>
            <w:vAlign w:val="center"/>
            <w:shd w:fill="F2F4F7"/>
            <w:tcMar>
              <w:top w:w="80" w:type="dxa"/>
              <w:bottom w:w="80" w:type="dxa"/>
              <w:start w:w="120" w:type="dxa"/>
              <w:end w:w="120" w:type="dxa"/>
            </w:tcMar>
          </w:tcPr>
          <w:p>
            <w:pPr>
              <w:spacing w:before="0" w:after="0" w:line="240" w:lineRule="auto"/>
              <w:jc w:val="center"/>
            </w:pPr>
            <w:r/>
            <w:r>
              <w:rPr>
                <w:rFonts w:ascii="Calibri" w:hAnsi="Calibri"/>
                <w:b/>
                <w:color w:val="0B2545"/>
                <w:sz w:val="18"/>
              </w:rPr>
              <w:t>Exit criteria</w:t>
            </w:r>
          </w:p>
        </w:tc>
      </w:tr>
      <w:tr>
        <w:trPr/>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Phase 1</w:t>
            </w:r>
          </w:p>
        </w:tc>
        <w:tc>
          <w:tcPr>
            <w:tcW w:type="dxa" w:w="4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Foundation: auth, base layout, settings, PostgreSQL schema, file upload shell</w:t>
            </w:r>
          </w:p>
        </w:tc>
        <w:tc>
          <w:tcPr>
            <w:tcW w:type="dxa" w:w="4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Users can sign in and upload a batch to staging.</w:t>
            </w:r>
          </w:p>
        </w:tc>
      </w:tr>
      <w:tr>
        <w:trPr/>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Phase 2</w:t>
            </w:r>
          </w:p>
        </w:tc>
        <w:tc>
          <w:tcPr>
            <w:tcW w:type="dxa" w:w="4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Contacts, companies, normalization, custom fields, duplicate detection, manual review queue</w:t>
            </w:r>
          </w:p>
        </w:tc>
        <w:tc>
          <w:tcPr>
            <w:tcW w:type="dxa" w:w="4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The team can clean and resolve contact data.</w:t>
            </w:r>
          </w:p>
        </w:tc>
      </w:tr>
      <w:tr>
        <w:trPr/>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Phase 3</w:t>
            </w:r>
          </w:p>
        </w:tc>
        <w:tc>
          <w:tcPr>
            <w:tcW w:type="dxa" w:w="4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Company research and capability library</w:t>
            </w:r>
          </w:p>
        </w:tc>
        <w:tc>
          <w:tcPr>
            <w:tcW w:type="dxa" w:w="4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The system can produce curated company context and solution snippets.</w:t>
            </w:r>
          </w:p>
        </w:tc>
      </w:tr>
      <w:tr>
        <w:trPr/>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Phase 4</w:t>
            </w:r>
          </w:p>
        </w:tc>
        <w:tc>
          <w:tcPr>
            <w:tcW w:type="dxa" w:w="4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AI draft generation and review editor</w:t>
            </w:r>
          </w:p>
        </w:tc>
        <w:tc>
          <w:tcPr>
            <w:tcW w:type="dxa" w:w="4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The team can generate, edit, and approve drafts.</w:t>
            </w:r>
          </w:p>
        </w:tc>
      </w:tr>
      <w:tr>
        <w:trPr/>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Phase 5</w:t>
            </w:r>
          </w:p>
        </w:tc>
        <w:tc>
          <w:tcPr>
            <w:tcW w:type="dxa" w:w="4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Outlook send queue, replies, bounce handling, suppression</w:t>
            </w:r>
          </w:p>
        </w:tc>
        <w:tc>
          <w:tcPr>
            <w:tcW w:type="dxa" w:w="4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Approved messages can be sent and tracked safely.</w:t>
            </w:r>
          </w:p>
        </w:tc>
      </w:tr>
      <w:tr>
        <w:trPr/>
        <w:tc>
          <w:tcPr>
            <w:tcW w:type="dxa" w:w="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Phase 6</w:t>
            </w:r>
          </w:p>
        </w:tc>
        <w:tc>
          <w:tcPr>
            <w:tcW w:type="dxa" w:w="4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Weekly health refresh, exports, reporting, audit hardening, performance tuning</w:t>
            </w:r>
          </w:p>
        </w:tc>
        <w:tc>
          <w:tcPr>
            <w:tcW w:type="dxa" w:w="42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8"/>
              </w:rPr>
              <w:t>The system is operationally stable and measurable.</w:t>
            </w:r>
          </w:p>
        </w:tc>
      </w:tr>
    </w:tbl>
    <w:p>
      <w:pPr>
        <w:pStyle w:val="Heading1"/>
        <w:spacing w:before="240" w:after="120" w:line="264" w:lineRule="auto"/>
      </w:pPr>
      <w:r>
        <w:rPr>
          <w:rFonts w:ascii="Calibri" w:hAnsi="Calibri"/>
          <w:b w:val="0"/>
          <w:i w:val="0"/>
          <w:color w:val="2E74B5"/>
          <w:sz w:val="32"/>
        </w:rPr>
        <w:t>11. Deployment Topology</w:t>
      </w:r>
    </w:p>
    <w:p>
      <w:pPr>
        <w:pStyle w:val="ListBullet"/>
        <w:spacing w:before="0" w:after="80" w:line="264" w:lineRule="auto"/>
        <w:ind w:left="360" w:hanging="360"/>
      </w:pPr>
      <w:r>
        <w:rPr>
          <w:rFonts w:ascii="Calibri" w:hAnsi="Calibri"/>
          <w:color w:val="000000"/>
          <w:sz w:val="22"/>
        </w:rPr>
        <w:t>One browser-based frontend service.</w:t>
      </w:r>
    </w:p>
    <w:p>
      <w:pPr>
        <w:pStyle w:val="ListBullet"/>
        <w:spacing w:before="0" w:after="80" w:line="264" w:lineRule="auto"/>
        <w:ind w:left="360" w:hanging="360"/>
      </w:pPr>
      <w:r>
        <w:rPr>
          <w:rFonts w:ascii="Calibri" w:hAnsi="Calibri"/>
          <w:color w:val="000000"/>
          <w:sz w:val="22"/>
        </w:rPr>
        <w:t>One API service.</w:t>
      </w:r>
    </w:p>
    <w:p>
      <w:pPr>
        <w:pStyle w:val="ListBullet"/>
        <w:spacing w:before="0" w:after="80" w:line="264" w:lineRule="auto"/>
        <w:ind w:left="360" w:hanging="360"/>
      </w:pPr>
      <w:r>
        <w:rPr>
          <w:rFonts w:ascii="Calibri" w:hAnsi="Calibri"/>
          <w:color w:val="000000"/>
          <w:sz w:val="22"/>
        </w:rPr>
        <w:t>One worker process group for background jobs.</w:t>
      </w:r>
    </w:p>
    <w:p>
      <w:pPr>
        <w:pStyle w:val="ListBullet"/>
        <w:spacing w:before="0" w:after="80" w:line="264" w:lineRule="auto"/>
        <w:ind w:left="360" w:hanging="360"/>
      </w:pPr>
      <w:r>
        <w:rPr>
          <w:rFonts w:ascii="Calibri" w:hAnsi="Calibri"/>
          <w:color w:val="000000"/>
          <w:sz w:val="22"/>
        </w:rPr>
        <w:t>One PostgreSQL database.</w:t>
      </w:r>
    </w:p>
    <w:p>
      <w:pPr>
        <w:pStyle w:val="ListBullet"/>
        <w:spacing w:before="0" w:after="80" w:line="264" w:lineRule="auto"/>
        <w:ind w:left="360" w:hanging="360"/>
      </w:pPr>
      <w:r>
        <w:rPr>
          <w:rFonts w:ascii="Calibri" w:hAnsi="Calibri"/>
          <w:color w:val="000000"/>
          <w:sz w:val="22"/>
        </w:rPr>
        <w:t>One Redis instance for queueing and caching.</w:t>
      </w:r>
    </w:p>
    <w:p>
      <w:pPr>
        <w:pStyle w:val="ListBullet"/>
        <w:spacing w:before="0" w:after="80" w:line="264" w:lineRule="auto"/>
        <w:ind w:left="360" w:hanging="360"/>
      </w:pPr>
      <w:r>
        <w:rPr>
          <w:rFonts w:ascii="Calibri" w:hAnsi="Calibri"/>
          <w:color w:val="000000"/>
          <w:sz w:val="22"/>
        </w:rPr>
        <w:t>One object storage bucket for uploads and document extracts.</w:t>
      </w:r>
    </w:p>
    <w:p>
      <w:pPr>
        <w:pStyle w:val="ListBullet"/>
        <w:spacing w:before="0" w:after="80" w:line="264" w:lineRule="auto"/>
        <w:ind w:left="360" w:hanging="360"/>
      </w:pPr>
      <w:r>
        <w:rPr>
          <w:rFonts w:ascii="Calibri" w:hAnsi="Calibri"/>
          <w:color w:val="000000"/>
          <w:sz w:val="22"/>
        </w:rPr>
        <w:t>One application setting should control production, dry-run, and paused send modes.</w:t>
      </w:r>
    </w:p>
    <w:p>
      <w:pPr>
        <w:pStyle w:val="ListBullet"/>
        <w:spacing w:before="0" w:after="80" w:line="264" w:lineRule="auto"/>
        <w:ind w:left="360" w:hanging="360"/>
      </w:pPr>
      <w:r>
        <w:rPr>
          <w:rFonts w:ascii="Calibri" w:hAnsi="Calibri"/>
          <w:color w:val="000000"/>
          <w:sz w:val="22"/>
        </w:rPr>
        <w:t>Environment split: local, staging, production.</w:t>
      </w:r>
    </w:p>
    <w:p>
      <w:pPr>
        <w:pStyle w:val="Heading1"/>
        <w:spacing w:before="240" w:after="120" w:line="264" w:lineRule="auto"/>
      </w:pPr>
      <w:r>
        <w:rPr>
          <w:rFonts w:ascii="Calibri" w:hAnsi="Calibri"/>
          <w:b w:val="0"/>
          <w:i w:val="0"/>
          <w:color w:val="2E74B5"/>
          <w:sz w:val="32"/>
        </w:rPr>
        <w:t>12. Success Criteria</w:t>
      </w:r>
    </w:p>
    <w:p>
      <w:pPr>
        <w:pStyle w:val="ListBullet"/>
        <w:spacing w:before="0" w:after="80" w:line="264" w:lineRule="auto"/>
        <w:ind w:left="360" w:hanging="360"/>
      </w:pPr>
      <w:r>
        <w:rPr>
          <w:rFonts w:ascii="Calibri" w:hAnsi="Calibri"/>
          <w:color w:val="000000"/>
          <w:sz w:val="22"/>
        </w:rPr>
        <w:t>A batch can be imported, staged, reviewed, and committed without manual database edits.</w:t>
      </w:r>
    </w:p>
    <w:p>
      <w:pPr>
        <w:pStyle w:val="ListBullet"/>
        <w:spacing w:before="0" w:after="80" w:line="264" w:lineRule="auto"/>
        <w:ind w:left="360" w:hanging="360"/>
      </w:pPr>
      <w:r>
        <w:rPr>
          <w:rFonts w:ascii="Calibri" w:hAnsi="Calibri"/>
          <w:color w:val="000000"/>
          <w:sz w:val="22"/>
        </w:rPr>
        <w:t>Duplicate records can be explained and traced back to their source rows.</w:t>
      </w:r>
    </w:p>
    <w:p>
      <w:pPr>
        <w:pStyle w:val="ListBullet"/>
        <w:spacing w:before="0" w:after="80" w:line="264" w:lineRule="auto"/>
        <w:ind w:left="360" w:hanging="360"/>
      </w:pPr>
      <w:r>
        <w:rPr>
          <w:rFonts w:ascii="Calibri" w:hAnsi="Calibri"/>
          <w:color w:val="000000"/>
          <w:sz w:val="22"/>
        </w:rPr>
        <w:t>Company context is shared across all contacts at the same company.</w:t>
      </w:r>
    </w:p>
    <w:p>
      <w:pPr>
        <w:pStyle w:val="ListBullet"/>
        <w:spacing w:before="0" w:after="80" w:line="264" w:lineRule="auto"/>
        <w:ind w:left="360" w:hanging="360"/>
      </w:pPr>
      <w:r>
        <w:rPr>
          <w:rFonts w:ascii="Calibri" w:hAnsi="Calibri"/>
          <w:color w:val="000000"/>
          <w:sz w:val="22"/>
        </w:rPr>
        <w:t>The capability library is the primary source for AI drafts.</w:t>
      </w:r>
    </w:p>
    <w:p>
      <w:pPr>
        <w:pStyle w:val="ListBullet"/>
        <w:spacing w:before="0" w:after="80" w:line="264" w:lineRule="auto"/>
        <w:ind w:left="360" w:hanging="360"/>
      </w:pPr>
      <w:r>
        <w:rPr>
          <w:rFonts w:ascii="Calibri" w:hAnsi="Calibri"/>
          <w:color w:val="000000"/>
          <w:sz w:val="22"/>
        </w:rPr>
        <w:t>No draft can be sent without approval.</w:t>
      </w:r>
    </w:p>
    <w:p>
      <w:pPr>
        <w:pStyle w:val="ListBullet"/>
        <w:spacing w:before="0" w:after="80" w:line="264" w:lineRule="auto"/>
        <w:ind w:left="360" w:hanging="360"/>
      </w:pPr>
      <w:r>
        <w:rPr>
          <w:rFonts w:ascii="Calibri" w:hAnsi="Calibri"/>
          <w:color w:val="000000"/>
          <w:sz w:val="22"/>
        </w:rPr>
        <w:t>Rejected drafts are retained with a reason and are searchable later for analysis.</w:t>
      </w:r>
    </w:p>
    <w:p>
      <w:pPr>
        <w:pStyle w:val="ListBullet"/>
        <w:spacing w:before="0" w:after="80" w:line="264" w:lineRule="auto"/>
        <w:ind w:left="360" w:hanging="360"/>
      </w:pPr>
      <w:r>
        <w:rPr>
          <w:rFonts w:ascii="Calibri" w:hAnsi="Calibri"/>
          <w:color w:val="000000"/>
          <w:sz w:val="22"/>
        </w:rPr>
        <w:t>The audit trail is searchable by entity, user, date range, and event type.</w:t>
      </w:r>
    </w:p>
    <w:p>
      <w:pPr>
        <w:pStyle w:val="ListBullet"/>
        <w:spacing w:before="0" w:after="80" w:line="264" w:lineRule="auto"/>
        <w:ind w:left="360" w:hanging="360"/>
      </w:pPr>
      <w:r>
        <w:rPr>
          <w:rFonts w:ascii="Calibri" w:hAnsi="Calibri"/>
          <w:color w:val="000000"/>
          <w:sz w:val="22"/>
        </w:rPr>
        <w:t>List-unsubscribe and opt-out replies automatically suppress future sends.</w:t>
      </w:r>
    </w:p>
    <w:p>
      <w:pPr>
        <w:pStyle w:val="ListBullet"/>
        <w:spacing w:before="0" w:after="80" w:line="264" w:lineRule="auto"/>
        <w:ind w:left="360" w:hanging="360"/>
      </w:pPr>
      <w:r>
        <w:rPr>
          <w:rFonts w:ascii="Calibri" w:hAnsi="Calibri"/>
          <w:color w:val="000000"/>
          <w:sz w:val="22"/>
        </w:rPr>
        <w:t>Replies, bounces, and suppressions automatically affect future sending.</w:t>
      </w:r>
    </w:p>
    <w:p>
      <w:pPr>
        <w:pStyle w:val="ListBullet"/>
        <w:spacing w:before="0" w:after="80" w:line="264" w:lineRule="auto"/>
        <w:ind w:left="360" w:hanging="360"/>
      </w:pPr>
      <w:r>
        <w:rPr>
          <w:rFonts w:ascii="Calibri" w:hAnsi="Calibri"/>
          <w:color w:val="000000"/>
          <w:sz w:val="22"/>
        </w:rPr>
        <w:t>The application remains a web app only, with no mobile-specific code path.</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55555"/>
        <w:sz w:val="18"/>
      </w:rPr>
      <w:t xml:space="preserve">Page </w:t>
    </w:r>
    <w:r>
      <w:rPr>
        <w:rFonts w:ascii="Calibri" w:hAnsi="Calibri"/>
        <w:color w:val="555555"/>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color w:val="555555"/>
        <w:sz w:val="18"/>
      </w:rPr>
      <w:t>Lead Intelligence &amp; AI-Powered Outreach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lock">
    <w:name w:val="Title Block"/>
    <w:pPr>
      <w:spacing w:before="0" w:after="60" w:line="240" w:lineRule="auto"/>
    </w:pPr>
    <w:rPr>
      <w:rFonts w:ascii="Calibri" w:hAnsi="Calibri"/>
      <w:b/>
      <w:color w:val="0B2545"/>
      <w:sz w:val="48"/>
    </w:rPr>
  </w:style>
  <w:style w:type="paragraph" w:customStyle="1" w:styleId="SubtitleBlock">
    <w:name w:val="Subtitle Block"/>
    <w:pPr>
      <w:spacing w:before="0" w:after="160" w:line="240" w:lineRule="auto"/>
    </w:pPr>
    <w:rPr>
      <w:rFonts w:ascii="Calibri" w:hAnsi="Calibri"/>
      <w:color w:val="555555"/>
      <w:sz w:val="22"/>
    </w:rPr>
  </w:style>
  <w:style w:type="paragraph" w:customStyle="1" w:styleId="BodySmall">
    <w:name w:val="Body Small"/>
    <w:pPr>
      <w:spacing w:before="0" w:after="80" w:line="252" w:lineRule="auto"/>
    </w:pPr>
    <w:rPr>
      <w:rFonts w:ascii="Calibri" w:hAnsi="Calibri"/>
      <w:color w:val="000000"/>
      <w:sz w:val="19"/>
    </w:rPr>
  </w:style>
  <w:style w:type="paragraph" w:customStyle="1" w:styleId="CodeBlock">
    <w:name w:val="Code Block"/>
    <w:pPr>
      <w:spacing w:before="0" w:after="0" w:line="240" w:lineRule="auto"/>
      <w:ind w:left="360" w:right="360"/>
    </w:pPr>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Intelligence &amp; AI-Powered Outreach System</dc:title>
  <dc:subject>Internal web-only software design document</dc:subject>
  <dc:creator>Codex</dc:creator>
  <cp:keywords>lead intelligence, outreach, web app, schema, architecture, internal capabilities</cp:keywords>
  <dc:description>Lead intelligence and outreach platform design</dc:description>
  <cp:lastModifiedBy/>
  <cp:revision>1</cp:revision>
  <dcterms:created xsi:type="dcterms:W3CDTF">2013-12-23T23:15:00Z</dcterms:created>
  <dcterms:modified xsi:type="dcterms:W3CDTF">2013-12-23T23:15:00Z</dcterms:modified>
  <cp:category>Software Design Document</cp:category>
  <dc:language>en-US</dc:language>
</cp:coreProperties>
</file>