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line="312"/>
      </w:pPr>
      <w:r>
        <w:rPr>
          <w:rFonts w:ascii="Calibri" w:eastAsia="SimHei"/>
          <w:b/>
          <w:bCs/>
          <w:color w:val="0F2027"/>
          <w:sz w:val="32"/>
          <w:szCs w:val="32"/>
        </w:rPr>
        <w:t xml:space="preserve">Deferred Security Backlog</w:t>
      </w:r>
    </w:p>
    <w:p>
      <w:pPr>
        <w:spacing w:after="100" w:line="312"/>
        <w:jc w:val="left"/>
      </w:pPr>
      <w:r>
        <w:rPr>
          <w:rFonts w:ascii="Calibri"/>
          <w:color w:val="000000"/>
          <w:sz w:val="24"/>
          <w:szCs w:val="24"/>
        </w:rPr>
        <w:t xml:space="preserve">This document lists security items identified during the DeepMindQ hardening program (Phases 2 through 4) that were explicitly deferred. These items should NOT be implemented unless the stated trigger condition occurs. The current deployment model is single-user, single-tenant, single-instance, which makes these items low-priority or unnecessary.</w:t>
      </w:r>
    </w:p>
    <w:p>
      <w:pPr>
        <w:spacing w:after="100" w:line="312"/>
        <w:jc w:val="left"/>
      </w:pPr>
      <w:r>
        <w:rPr>
          <w:rFonts w:ascii="Calibri"/>
          <w:color w:val="000000"/>
          <w:sz w:val="24"/>
          <w:szCs w:val="24"/>
        </w:rPr>
        <w:t xml:space="preserve">Baseline tag: security-baseline-v1  |  Date: August 2026  |  Final score: 8.3/10</w:t>
      </w:r>
    </w:p>
    <w:p>
      <w:pPr>
        <w:spacing w:line="200"/>
      </w:pPr>
    </w:p>
    <w:p>
      <w:pPr>
        <w:pStyle w:val="Heading1"/>
        <w:spacing w:after="120" w:before="360" w:line="312"/>
      </w:pPr>
      <w:r>
        <w:rPr>
          <w:rFonts w:ascii="Calibri" w:eastAsia="SimHei"/>
          <w:b/>
          <w:bCs/>
          <w:color w:val="0F2027"/>
          <w:sz w:val="32"/>
          <w:szCs w:val="32"/>
        </w:rPr>
        <w:t xml:space="preserve">1. Dependency: xlsx Package Migration</w:t>
      </w:r>
    </w:p>
    <w:p>
      <w:pPr>
        <w:spacing w:after="100" w:line="312"/>
        <w:jc w:val="left"/>
      </w:pPr>
      <w:r>
        <w:rPr>
          <w:rFonts w:ascii="Calibri"/>
          <w:color w:val="000000"/>
          <w:sz w:val="24"/>
          <w:szCs w:val="24"/>
        </w:rPr>
        <w:t xml:space="preserve">Severity: HIGH  |  Current: SheetJS Community Edition (unfixed Prototype Pollution + ReDoS)</w:t>
      </w:r>
    </w:p>
    <w:p>
      <w:pPr>
        <w:spacing w:after="100" w:line="312"/>
        <w:jc w:val="left"/>
      </w:pPr>
      <w:r>
        <w:rPr>
          <w:rFonts w:ascii="Calibri"/>
          <w:color w:val="000000"/>
          <w:sz w:val="24"/>
          <w:szCs w:val="24"/>
        </w:rPr>
        <w:t xml:space="preserve">The xlsx package has an unfixable HIGH severity Prototype Pollution vulnerability. Malicious .xlsx files uploaded through the import pipeline could trigger prototype pollution in JavaScript objects. However, the current system only allows the authenticated admin to upload files, making self-attack the only viable scenario. This becomes exploitable if external users gain file upload capability.</w:t>
      </w:r>
    </w:p>
    <w:tbl>
      <w:tblPr>
        <w:tblW w:type="pct" w:w="100%"/>
        <w:tblBorders>
          <w:top w:val="single" w:color="CBD5E1" w:sz="2"/>
          <w:left w:val="none"/>
          <w:bottom w:val="single" w:color="CBD5E1" w:sz="2"/>
          <w:right w:val="none"/>
          <w:insideH w:val="single" w:color="CBD5E1" w:sz="1"/>
          <w:insideV w:val="none"/>
        </w:tblBorders>
      </w:tblPr>
      <w:tblGrid>
        <w:gridCol w:w="100"/>
        <w:gridCol w:w="100"/>
      </w:tblGrid>
      <w:tr>
        <w:trPr>
          <w:cantSplit/>
          <w:tblHeader/>
        </w:trPr>
        <w:tc>
          <w:tcPr>
            <w:tcW w:type="pct" w:w="25%"/>
            <w:shd w:fill="2C3E50" w:val="clear"/>
            <w:tcMar>
              <w:top w:type="dxa" w:w="60"/>
              <w:left w:type="dxa" w:w="120"/>
              <w:bottom w:type="dxa" w:w="60"/>
              <w:right w:type="dxa" w:w="120"/>
            </w:tcMar>
          </w:tcPr>
          <w:p>
            <w:pPr>
              <w:jc w:val="center"/>
            </w:pPr>
            <w:r>
              <w:rPr>
                <w:b/>
                <w:bCs/>
                <w:color w:val="FFFFFF"/>
                <w:sz w:val="21"/>
                <w:szCs w:val="21"/>
              </w:rPr>
              <w:t xml:space="preserve">Field</w:t>
            </w:r>
          </w:p>
        </w:tc>
        <w:tc>
          <w:tcPr>
            <w:tcW w:type="pct" w:w="75%"/>
            <w:shd w:fill="2C3E50" w:val="clear"/>
            <w:tcMar>
              <w:top w:type="dxa" w:w="60"/>
              <w:left w:type="dxa" w:w="120"/>
              <w:bottom w:type="dxa" w:w="60"/>
              <w:right w:type="dxa" w:w="120"/>
            </w:tcMar>
          </w:tcPr>
          <w:p>
            <w:pPr>
              <w:jc w:val="center"/>
            </w:pPr>
            <w:r>
              <w:rPr>
                <w:b/>
                <w:bCs/>
                <w:color w:val="FFFFFF"/>
                <w:sz w:val="21"/>
                <w:szCs w:val="21"/>
              </w:rPr>
              <w:t xml:space="preserve">Detail</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Trigger</w:t>
            </w:r>
          </w:p>
        </w:tc>
        <w:tc>
          <w:tcPr>
            <w:tcW w:type="pct" w:w="75%"/>
            <w:tcMar>
              <w:top w:type="dxa" w:w="60"/>
              <w:left w:type="dxa" w:w="120"/>
              <w:bottom w:type="dxa" w:w="60"/>
              <w:right w:type="dxa" w:w="120"/>
            </w:tcMar>
          </w:tcPr>
          <w:p>
            <w:pPr>
              <w:spacing w:line="280"/>
            </w:pPr>
            <w:r>
              <w:rPr>
                <w:color w:val="000000"/>
                <w:sz w:val="21"/>
                <w:szCs w:val="21"/>
              </w:rPr>
              <w:t xml:space="preserve">Multi-user file upload support is added</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Recommended Action</w:t>
            </w:r>
          </w:p>
        </w:tc>
        <w:tc>
          <w:tcPr>
            <w:tcW w:type="pct" w:w="75%"/>
            <w:shd w:fill="F1F5F9" w:val="clear"/>
            <w:tcMar>
              <w:top w:type="dxa" w:w="60"/>
              <w:left w:type="dxa" w:w="120"/>
              <w:bottom w:type="dxa" w:w="60"/>
              <w:right w:type="dxa" w:w="120"/>
            </w:tcMar>
          </w:tcPr>
          <w:p>
            <w:pPr>
              <w:spacing w:line="280"/>
            </w:pPr>
            <w:r>
              <w:rPr>
                <w:color w:val="000000"/>
                <w:sz w:val="21"/>
                <w:szCs w:val="21"/>
              </w:rPr>
              <w:t xml:space="preserve">Migrate to ExcelJS or xlsx-populate; add file content validation</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Breaking Change</w:t>
            </w:r>
          </w:p>
        </w:tc>
        <w:tc>
          <w:tcPr>
            <w:tcW w:type="pct" w:w="75%"/>
            <w:tcMar>
              <w:top w:type="dxa" w:w="60"/>
              <w:left w:type="dxa" w:w="120"/>
              <w:bottom w:type="dxa" w:w="60"/>
              <w:right w:type="dxa" w:w="120"/>
            </w:tcMar>
          </w:tcPr>
          <w:p>
            <w:pPr>
              <w:spacing w:line="280"/>
            </w:pPr>
            <w:r>
              <w:rPr>
                <w:color w:val="000000"/>
                <w:sz w:val="21"/>
                <w:szCs w:val="21"/>
              </w:rPr>
              <w:t xml:space="preserve">Yes — different API surface; import pipeline requires rewrite</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Effort Estimate</w:t>
            </w:r>
          </w:p>
        </w:tc>
        <w:tc>
          <w:tcPr>
            <w:tcW w:type="pct" w:w="75%"/>
            <w:shd w:fill="F1F5F9" w:val="clear"/>
            <w:tcMar>
              <w:top w:type="dxa" w:w="60"/>
              <w:left w:type="dxa" w:w="120"/>
              <w:bottom w:type="dxa" w:w="60"/>
              <w:right w:type="dxa" w:w="120"/>
            </w:tcMar>
          </w:tcPr>
          <w:p>
            <w:pPr>
              <w:spacing w:line="280"/>
            </w:pPr>
            <w:r>
              <w:rPr>
                <w:color w:val="000000"/>
                <w:sz w:val="21"/>
                <w:szCs w:val="21"/>
              </w:rPr>
              <w:t xml:space="preserve">2-3 days</w:t>
            </w:r>
          </w:p>
        </w:tc>
      </w:tr>
    </w:tbl>
    <w:p>
      <w:pPr>
        <w:spacing w:line="200"/>
      </w:pPr>
    </w:p>
    <w:p>
      <w:pPr>
        <w:pStyle w:val="Heading1"/>
        <w:spacing w:after="120" w:before="360" w:line="312"/>
      </w:pPr>
      <w:r>
        <w:rPr>
          <w:rFonts w:ascii="Calibri" w:eastAsia="SimHei"/>
          <w:b/>
          <w:bCs/>
          <w:color w:val="0F2027"/>
          <w:sz w:val="32"/>
          <w:szCs w:val="32"/>
        </w:rPr>
        <w:t xml:space="preserve">2. npm Audit Cleanup</w:t>
      </w:r>
    </w:p>
    <w:p>
      <w:pPr>
        <w:spacing w:after="100" w:line="312"/>
        <w:jc w:val="left"/>
      </w:pPr>
      <w:r>
        <w:rPr>
          <w:rFonts w:ascii="Calibri"/>
          <w:color w:val="000000"/>
          <w:sz w:val="24"/>
          <w:szCs w:val="24"/>
        </w:rPr>
        <w:t xml:space="preserve">Severity: Mixed (1 critical, 15 high, 7 moderate, 2 low)  |  Total: 25 vulnerabilities</w:t>
      </w:r>
    </w:p>
    <w:p>
      <w:pPr>
        <w:spacing w:after="100" w:line="312"/>
        <w:jc w:val="left"/>
      </w:pPr>
      <w:r>
        <w:rPr>
          <w:rFonts w:ascii="Calibri"/>
          <w:color w:val="000000"/>
          <w:sz w:val="24"/>
          <w:szCs w:val="24"/>
        </w:rPr>
        <w:t xml:space="preserve">Four vulnerabilities are immediately fixable via npm audit fix (uuid buffer overflow, @babel/core arbitrary file read, ajv ReDoS). The remaining 21 require breaking changes or have no available fix. The most concerning are the @xenova/transformers CVEs via sharp and onnxruntime-web, which are transitive dependencies with no non-breaking upgrade path.</w:t>
      </w:r>
    </w:p>
    <w:tbl>
      <w:tblPr>
        <w:tblW w:type="pct" w:w="100%"/>
        <w:tblBorders>
          <w:top w:val="single" w:color="CBD5E1" w:sz="2"/>
          <w:left w:val="none"/>
          <w:bottom w:val="single" w:color="CBD5E1" w:sz="2"/>
          <w:right w:val="none"/>
          <w:insideH w:val="single" w:color="CBD5E1" w:sz="1"/>
          <w:insideV w:val="none"/>
        </w:tblBorders>
      </w:tblPr>
      <w:tblGrid>
        <w:gridCol w:w="100"/>
        <w:gridCol w:w="100"/>
      </w:tblGrid>
      <w:tr>
        <w:trPr>
          <w:cantSplit/>
          <w:tblHeader/>
        </w:trPr>
        <w:tc>
          <w:tcPr>
            <w:tcW w:type="pct" w:w="25%"/>
            <w:shd w:fill="2C3E50" w:val="clear"/>
            <w:tcMar>
              <w:top w:type="dxa" w:w="60"/>
              <w:left w:type="dxa" w:w="120"/>
              <w:bottom w:type="dxa" w:w="60"/>
              <w:right w:type="dxa" w:w="120"/>
            </w:tcMar>
          </w:tcPr>
          <w:p>
            <w:pPr>
              <w:jc w:val="center"/>
            </w:pPr>
            <w:r>
              <w:rPr>
                <w:b/>
                <w:bCs/>
                <w:color w:val="FFFFFF"/>
                <w:sz w:val="21"/>
                <w:szCs w:val="21"/>
              </w:rPr>
              <w:t xml:space="preserve">Field</w:t>
            </w:r>
          </w:p>
        </w:tc>
        <w:tc>
          <w:tcPr>
            <w:tcW w:type="pct" w:w="75%"/>
            <w:shd w:fill="2C3E50" w:val="clear"/>
            <w:tcMar>
              <w:top w:type="dxa" w:w="60"/>
              <w:left w:type="dxa" w:w="120"/>
              <w:bottom w:type="dxa" w:w="60"/>
              <w:right w:type="dxa" w:w="120"/>
            </w:tcMar>
          </w:tcPr>
          <w:p>
            <w:pPr>
              <w:jc w:val="center"/>
            </w:pPr>
            <w:r>
              <w:rPr>
                <w:b/>
                <w:bCs/>
                <w:color w:val="FFFFFF"/>
                <w:sz w:val="21"/>
                <w:szCs w:val="21"/>
              </w:rPr>
              <w:t xml:space="preserve">Detail</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Trigger</w:t>
            </w:r>
          </w:p>
        </w:tc>
        <w:tc>
          <w:tcPr>
            <w:tcW w:type="pct" w:w="75%"/>
            <w:tcMar>
              <w:top w:type="dxa" w:w="60"/>
              <w:left w:type="dxa" w:w="120"/>
              <w:bottom w:type="dxa" w:w="60"/>
              <w:right w:type="dxa" w:w="120"/>
            </w:tcMar>
          </w:tcPr>
          <w:p>
            <w:pPr>
              <w:spacing w:line="280"/>
            </w:pPr>
            <w:r>
              <w:rPr>
                <w:color w:val="000000"/>
                <w:sz w:val="21"/>
                <w:szCs w:val="21"/>
              </w:rPr>
              <w:t xml:space="preserve">Any dependency update cycle or production deployment review</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Recommended Action</w:t>
            </w:r>
          </w:p>
        </w:tc>
        <w:tc>
          <w:tcPr>
            <w:tcW w:type="pct" w:w="75%"/>
            <w:shd w:fill="F1F5F9" w:val="clear"/>
            <w:tcMar>
              <w:top w:type="dxa" w:w="60"/>
              <w:left w:type="dxa" w:w="120"/>
              <w:bottom w:type="dxa" w:w="60"/>
              <w:right w:type="dxa" w:w="120"/>
            </w:tcMar>
          </w:tcPr>
          <w:p>
            <w:pPr>
              <w:spacing w:line="280"/>
            </w:pPr>
            <w:r>
              <w:rPr>
                <w:color w:val="000000"/>
                <w:sz w:val="21"/>
                <w:szCs w:val="21"/>
              </w:rPr>
              <w:t xml:space="preserve">Run npm audit fix for the 4 fixable items; scope @xenova/transformers upgrade separately</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Breaking Change</w:t>
            </w:r>
          </w:p>
        </w:tc>
        <w:tc>
          <w:tcPr>
            <w:tcW w:type="pct" w:w="75%"/>
            <w:tcMar>
              <w:top w:type="dxa" w:w="60"/>
              <w:left w:type="dxa" w:w="120"/>
              <w:bottom w:type="dxa" w:w="60"/>
              <w:right w:type="dxa" w:w="120"/>
            </w:tcMar>
          </w:tcPr>
          <w:p>
            <w:pPr>
              <w:spacing w:line="280"/>
            </w:pPr>
            <w:r>
              <w:rPr>
                <w:color w:val="000000"/>
                <w:sz w:val="21"/>
                <w:szCs w:val="21"/>
              </w:rPr>
              <w:t xml:space="preserve">Partial — uuid, babel, ajv are safe; @xenova/transformers is breaking</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Effort Estimate</w:t>
            </w:r>
          </w:p>
        </w:tc>
        <w:tc>
          <w:tcPr>
            <w:tcW w:type="pct" w:w="75%"/>
            <w:shd w:fill="F1F5F9" w:val="clear"/>
            <w:tcMar>
              <w:top w:type="dxa" w:w="60"/>
              <w:left w:type="dxa" w:w="120"/>
              <w:bottom w:type="dxa" w:w="60"/>
              <w:right w:type="dxa" w:w="120"/>
            </w:tcMar>
          </w:tcPr>
          <w:p>
            <w:pPr>
              <w:spacing w:line="280"/>
            </w:pPr>
            <w:r>
              <w:rPr>
                <w:color w:val="000000"/>
                <w:sz w:val="21"/>
                <w:szCs w:val="21"/>
              </w:rPr>
              <w:t xml:space="preserve">0.5 days (safe fixes); 2-3 days (transformers upgrade)</w:t>
            </w:r>
          </w:p>
        </w:tc>
      </w:tr>
    </w:tbl>
    <w:p>
      <w:pPr>
        <w:spacing w:line="200"/>
      </w:pPr>
    </w:p>
    <w:p>
      <w:pPr>
        <w:pStyle w:val="Heading1"/>
        <w:spacing w:after="120" w:before="360" w:line="312"/>
      </w:pPr>
      <w:r>
        <w:rPr>
          <w:rFonts w:ascii="Calibri" w:eastAsia="SimHei"/>
          <w:b/>
          <w:bCs/>
          <w:color w:val="0F2027"/>
          <w:sz w:val="32"/>
          <w:szCs w:val="32"/>
        </w:rPr>
        <w:t xml:space="preserve">3. CSP Hardening</w:t>
      </w:r>
    </w:p>
    <w:p>
      <w:pPr>
        <w:spacing w:after="100" w:line="312"/>
        <w:jc w:val="left"/>
      </w:pPr>
      <w:r>
        <w:rPr>
          <w:rFonts w:ascii="Calibri"/>
          <w:color w:val="000000"/>
          <w:sz w:val="24"/>
          <w:szCs w:val="24"/>
        </w:rPr>
        <w:t xml:space="preserve">Severity: MEDIUM  |  Current: script-src allows unsafe-inline and unsafe-eval</w:t>
      </w:r>
    </w:p>
    <w:p>
      <w:pPr>
        <w:spacing w:after="100" w:line="312"/>
        <w:jc w:val="left"/>
      </w:pPr>
      <w:r>
        <w:rPr>
          <w:rFonts w:ascii="Calibri"/>
          <w:color w:val="000000"/>
          <w:sz w:val="24"/>
          <w:szCs w:val="24"/>
        </w:rPr>
        <w:t xml:space="preserve">The Content Security Policy permits inline scripts and eval(), which negates XSS protection. Refactoring to a nonce-based CSP requires modifying all script loading in the frontend application. The current risk is low because the system is admin-only with no user-generated HTML content.</w:t>
      </w:r>
    </w:p>
    <w:tbl>
      <w:tblPr>
        <w:tblW w:type="pct" w:w="100%"/>
        <w:tblBorders>
          <w:top w:val="single" w:color="CBD5E1" w:sz="2"/>
          <w:left w:val="none"/>
          <w:bottom w:val="single" w:color="CBD5E1" w:sz="2"/>
          <w:right w:val="none"/>
          <w:insideH w:val="single" w:color="CBD5E1" w:sz="1"/>
          <w:insideV w:val="none"/>
        </w:tblBorders>
      </w:tblPr>
      <w:tblGrid>
        <w:gridCol w:w="100"/>
        <w:gridCol w:w="100"/>
      </w:tblGrid>
      <w:tr>
        <w:trPr>
          <w:cantSplit/>
          <w:tblHeader/>
        </w:trPr>
        <w:tc>
          <w:tcPr>
            <w:tcW w:type="pct" w:w="25%"/>
            <w:shd w:fill="2C3E50" w:val="clear"/>
            <w:tcMar>
              <w:top w:type="dxa" w:w="60"/>
              <w:left w:type="dxa" w:w="120"/>
              <w:bottom w:type="dxa" w:w="60"/>
              <w:right w:type="dxa" w:w="120"/>
            </w:tcMar>
          </w:tcPr>
          <w:p>
            <w:pPr>
              <w:jc w:val="center"/>
            </w:pPr>
            <w:r>
              <w:rPr>
                <w:b/>
                <w:bCs/>
                <w:color w:val="FFFFFF"/>
                <w:sz w:val="21"/>
                <w:szCs w:val="21"/>
              </w:rPr>
              <w:t xml:space="preserve">Field</w:t>
            </w:r>
          </w:p>
        </w:tc>
        <w:tc>
          <w:tcPr>
            <w:tcW w:type="pct" w:w="75%"/>
            <w:shd w:fill="2C3E50" w:val="clear"/>
            <w:tcMar>
              <w:top w:type="dxa" w:w="60"/>
              <w:left w:type="dxa" w:w="120"/>
              <w:bottom w:type="dxa" w:w="60"/>
              <w:right w:type="dxa" w:w="120"/>
            </w:tcMar>
          </w:tcPr>
          <w:p>
            <w:pPr>
              <w:jc w:val="center"/>
            </w:pPr>
            <w:r>
              <w:rPr>
                <w:b/>
                <w:bCs/>
                <w:color w:val="FFFFFF"/>
                <w:sz w:val="21"/>
                <w:szCs w:val="21"/>
              </w:rPr>
              <w:t xml:space="preserve">Detail</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Trigger</w:t>
            </w:r>
          </w:p>
        </w:tc>
        <w:tc>
          <w:tcPr>
            <w:tcW w:type="pct" w:w="75%"/>
            <w:tcMar>
              <w:top w:type="dxa" w:w="60"/>
              <w:left w:type="dxa" w:w="120"/>
              <w:bottom w:type="dxa" w:w="60"/>
              <w:right w:type="dxa" w:w="120"/>
            </w:tcMar>
          </w:tcPr>
          <w:p>
            <w:pPr>
              <w:spacing w:line="280"/>
            </w:pPr>
            <w:r>
              <w:rPr>
                <w:color w:val="000000"/>
                <w:sz w:val="21"/>
                <w:szCs w:val="21"/>
              </w:rPr>
              <w:t xml:space="preserve">Multi-user access or user-generated content features are added</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Recommended Action</w:t>
            </w:r>
          </w:p>
        </w:tc>
        <w:tc>
          <w:tcPr>
            <w:tcW w:type="pct" w:w="75%"/>
            <w:shd w:fill="F1F5F9" w:val="clear"/>
            <w:tcMar>
              <w:top w:type="dxa" w:w="60"/>
              <w:left w:type="dxa" w:w="120"/>
              <w:bottom w:type="dxa" w:w="60"/>
              <w:right w:type="dxa" w:w="120"/>
            </w:tcMar>
          </w:tcPr>
          <w:p>
            <w:pPr>
              <w:spacing w:line="280"/>
            </w:pPr>
            <w:r>
              <w:rPr>
                <w:color w:val="000000"/>
                <w:sz w:val="21"/>
                <w:szCs w:val="21"/>
              </w:rPr>
              <w:t xml:space="preserve">Implement nonce-based CSP; move all inline scripts to external files</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Breaking Change</w:t>
            </w:r>
          </w:p>
        </w:tc>
        <w:tc>
          <w:tcPr>
            <w:tcW w:type="pct" w:w="75%"/>
            <w:tcMar>
              <w:top w:type="dxa" w:w="60"/>
              <w:left w:type="dxa" w:w="120"/>
              <w:bottom w:type="dxa" w:w="60"/>
              <w:right w:type="dxa" w:w="120"/>
            </w:tcMar>
          </w:tcPr>
          <w:p>
            <w:pPr>
              <w:spacing w:line="280"/>
            </w:pPr>
            <w:r>
              <w:rPr>
                <w:color w:val="000000"/>
                <w:sz w:val="21"/>
                <w:szCs w:val="21"/>
              </w:rPr>
              <w:t xml:space="preserve">Yes — requires Next.js script loading refactor</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Effort Estimate</w:t>
            </w:r>
          </w:p>
        </w:tc>
        <w:tc>
          <w:tcPr>
            <w:tcW w:type="pct" w:w="75%"/>
            <w:shd w:fill="F1F5F9" w:val="clear"/>
            <w:tcMar>
              <w:top w:type="dxa" w:w="60"/>
              <w:left w:type="dxa" w:w="120"/>
              <w:bottom w:type="dxa" w:w="60"/>
              <w:right w:type="dxa" w:w="120"/>
            </w:tcMar>
          </w:tcPr>
          <w:p>
            <w:pPr>
              <w:spacing w:line="280"/>
            </w:pPr>
            <w:r>
              <w:rPr>
                <w:color w:val="000000"/>
                <w:sz w:val="21"/>
                <w:szCs w:val="21"/>
              </w:rPr>
              <w:t xml:space="preserve">3-5 days</w:t>
            </w:r>
          </w:p>
        </w:tc>
      </w:tr>
    </w:tbl>
    <w:p>
      <w:pPr>
        <w:spacing w:line="200"/>
      </w:pPr>
    </w:p>
    <w:p>
      <w:pPr>
        <w:pStyle w:val="Heading1"/>
        <w:spacing w:after="120" w:before="360" w:line="312"/>
      </w:pPr>
      <w:r>
        <w:rPr>
          <w:rFonts w:ascii="Calibri" w:eastAsia="SimHei"/>
          <w:b/>
          <w:bCs/>
          <w:color w:val="0F2027"/>
          <w:sz w:val="32"/>
          <w:szCs w:val="32"/>
        </w:rPr>
        <w:t xml:space="preserve">4. Redis/Global Rate Limiting</w:t>
      </w:r>
    </w:p>
    <w:p>
      <w:pPr>
        <w:spacing w:after="100" w:line="312"/>
        <w:jc w:val="left"/>
      </w:pPr>
      <w:r>
        <w:rPr>
          <w:rFonts w:ascii="Calibri"/>
          <w:color w:val="000000"/>
          <w:sz w:val="24"/>
          <w:szCs w:val="24"/>
        </w:rPr>
        <w:t xml:space="preserve">Severity: MEDIUM  |  Current: In-memory rate limiting (per-instance)</w:t>
      </w:r>
    </w:p>
    <w:p>
      <w:pPr>
        <w:spacing w:after="100" w:line="312"/>
        <w:jc w:val="left"/>
      </w:pPr>
      <w:r>
        <w:rPr>
          <w:rFonts w:ascii="Calibri"/>
          <w:color w:val="000000"/>
          <w:sz w:val="24"/>
          <w:szCs w:val="24"/>
        </w:rPr>
        <w:t xml:space="preserve">Rate limits are stored in memory within each function instance. In a multi-instance serverless deployment (e.g., multiple Vercel functions), each instance maintains its own counter, effectively multiplying the rate limit by the number of instances. This is adequate for single-instance deployment but becomes a gap under horizontal scaling.</w:t>
      </w:r>
    </w:p>
    <w:tbl>
      <w:tblPr>
        <w:tblW w:type="pct" w:w="100%"/>
        <w:tblBorders>
          <w:top w:val="single" w:color="CBD5E1" w:sz="2"/>
          <w:left w:val="none"/>
          <w:bottom w:val="single" w:color="CBD5E1" w:sz="2"/>
          <w:right w:val="none"/>
          <w:insideH w:val="single" w:color="CBD5E1" w:sz="1"/>
          <w:insideV w:val="none"/>
        </w:tblBorders>
      </w:tblPr>
      <w:tblGrid>
        <w:gridCol w:w="100"/>
        <w:gridCol w:w="100"/>
      </w:tblGrid>
      <w:tr>
        <w:trPr>
          <w:cantSplit/>
          <w:tblHeader/>
        </w:trPr>
        <w:tc>
          <w:tcPr>
            <w:tcW w:type="pct" w:w="25%"/>
            <w:shd w:fill="2C3E50" w:val="clear"/>
            <w:tcMar>
              <w:top w:type="dxa" w:w="60"/>
              <w:left w:type="dxa" w:w="120"/>
              <w:bottom w:type="dxa" w:w="60"/>
              <w:right w:type="dxa" w:w="120"/>
            </w:tcMar>
          </w:tcPr>
          <w:p>
            <w:pPr>
              <w:jc w:val="center"/>
            </w:pPr>
            <w:r>
              <w:rPr>
                <w:b/>
                <w:bCs/>
                <w:color w:val="FFFFFF"/>
                <w:sz w:val="21"/>
                <w:szCs w:val="21"/>
              </w:rPr>
              <w:t xml:space="preserve">Field</w:t>
            </w:r>
          </w:p>
        </w:tc>
        <w:tc>
          <w:tcPr>
            <w:tcW w:type="pct" w:w="75%"/>
            <w:shd w:fill="2C3E50" w:val="clear"/>
            <w:tcMar>
              <w:top w:type="dxa" w:w="60"/>
              <w:left w:type="dxa" w:w="120"/>
              <w:bottom w:type="dxa" w:w="60"/>
              <w:right w:type="dxa" w:w="120"/>
            </w:tcMar>
          </w:tcPr>
          <w:p>
            <w:pPr>
              <w:jc w:val="center"/>
            </w:pPr>
            <w:r>
              <w:rPr>
                <w:b/>
                <w:bCs/>
                <w:color w:val="FFFFFF"/>
                <w:sz w:val="21"/>
                <w:szCs w:val="21"/>
              </w:rPr>
              <w:t xml:space="preserve">Detail</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Trigger</w:t>
            </w:r>
          </w:p>
        </w:tc>
        <w:tc>
          <w:tcPr>
            <w:tcW w:type="pct" w:w="75%"/>
            <w:tcMar>
              <w:top w:type="dxa" w:w="60"/>
              <w:left w:type="dxa" w:w="120"/>
              <w:bottom w:type="dxa" w:w="60"/>
              <w:right w:type="dxa" w:w="120"/>
            </w:tcMar>
          </w:tcPr>
          <w:p>
            <w:pPr>
              <w:spacing w:line="280"/>
            </w:pPr>
            <w:r>
              <w:rPr>
                <w:color w:val="000000"/>
                <w:sz w:val="21"/>
                <w:szCs w:val="21"/>
              </w:rPr>
              <w:t xml:space="preserve">Multi-instance deployment (horizontal scaling, serverless)</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Recommended Action</w:t>
            </w:r>
          </w:p>
        </w:tc>
        <w:tc>
          <w:tcPr>
            <w:tcW w:type="pct" w:w="75%"/>
            <w:shd w:fill="F1F5F9" w:val="clear"/>
            <w:tcMar>
              <w:top w:type="dxa" w:w="60"/>
              <w:left w:type="dxa" w:w="120"/>
              <w:bottom w:type="dxa" w:w="60"/>
              <w:right w:type="dxa" w:w="120"/>
            </w:tcMar>
          </w:tcPr>
          <w:p>
            <w:pPr>
              <w:spacing w:line="280"/>
            </w:pPr>
            <w:r>
              <w:rPr>
                <w:color w:val="000000"/>
                <w:sz w:val="21"/>
                <w:szCs w:val="21"/>
              </w:rPr>
              <w:t xml:space="preserve">Migrate rate limit store to Redis (Upstash or similar)</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Breaking Change</w:t>
            </w:r>
          </w:p>
        </w:tc>
        <w:tc>
          <w:tcPr>
            <w:tcW w:type="pct" w:w="75%"/>
            <w:tcMar>
              <w:top w:type="dxa" w:w="60"/>
              <w:left w:type="dxa" w:w="120"/>
              <w:bottom w:type="dxa" w:w="60"/>
              <w:right w:type="dxa" w:w="120"/>
            </w:tcMar>
          </w:tcPr>
          <w:p>
            <w:pPr>
              <w:spacing w:line="280"/>
            </w:pPr>
            <w:r>
              <w:rPr>
                <w:color w:val="000000"/>
                <w:sz w:val="21"/>
                <w:szCs w:val="21"/>
              </w:rPr>
              <w:t xml:space="preserve">No — external dependency addition only</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Effort Estimate</w:t>
            </w:r>
          </w:p>
        </w:tc>
        <w:tc>
          <w:tcPr>
            <w:tcW w:type="pct" w:w="75%"/>
            <w:shd w:fill="F1F5F9" w:val="clear"/>
            <w:tcMar>
              <w:top w:type="dxa" w:w="60"/>
              <w:left w:type="dxa" w:w="120"/>
              <w:bottom w:type="dxa" w:w="60"/>
              <w:right w:type="dxa" w:w="120"/>
            </w:tcMar>
          </w:tcPr>
          <w:p>
            <w:pPr>
              <w:spacing w:line="280"/>
            </w:pPr>
            <w:r>
              <w:rPr>
                <w:color w:val="000000"/>
                <w:sz w:val="21"/>
                <w:szCs w:val="21"/>
              </w:rPr>
              <w:t xml:space="preserve">1-2 days</w:t>
            </w:r>
          </w:p>
        </w:tc>
      </w:tr>
    </w:tbl>
    <w:p>
      <w:pPr>
        <w:spacing w:line="200"/>
      </w:pPr>
    </w:p>
    <w:p>
      <w:pPr>
        <w:pStyle w:val="Heading1"/>
        <w:spacing w:after="120" w:before="360" w:line="312"/>
      </w:pPr>
      <w:r>
        <w:rPr>
          <w:rFonts w:ascii="Calibri" w:eastAsia="SimHei"/>
          <w:b/>
          <w:bCs/>
          <w:color w:val="0F2027"/>
          <w:sz w:val="32"/>
          <w:szCs w:val="32"/>
        </w:rPr>
        <w:t xml:space="preserve">5. AUTHORIZED_EMAIL Consolidation</w:t>
      </w:r>
    </w:p>
    <w:p>
      <w:pPr>
        <w:spacing w:after="100" w:line="312"/>
        <w:jc w:val="left"/>
      </w:pPr>
      <w:r>
        <w:rPr>
          <w:rFonts w:ascii="Calibri"/>
          <w:color w:val="000000"/>
          <w:sz w:val="24"/>
          <w:szCs w:val="24"/>
        </w:rPr>
        <w:t xml:space="preserve">Severity: LOW  |  Current: Hardcoded in 3 locations</w:t>
      </w:r>
    </w:p>
    <w:p>
      <w:pPr>
        <w:spacing w:after="100" w:line="312"/>
        <w:jc w:val="left"/>
      </w:pPr>
      <w:r>
        <w:rPr>
          <w:rFonts w:ascii="Calibri"/>
          <w:color w:val="000000"/>
          <w:sz w:val="24"/>
          <w:szCs w:val="24"/>
        </w:rPr>
        <w:t xml:space="preserve">The authorized email (shanker001@gmail.com) is duplicated in request-otp/route.ts, verify-otp/route.ts, and lib/otp.ts. If the email changes, all three locations must be updated simultaneously. This is a DRY violation with zero runtime risk for the current single-tenant setup but could cause subtle auth failures during maintenance.</w:t>
      </w:r>
    </w:p>
    <w:tbl>
      <w:tblPr>
        <w:tblW w:type="pct" w:w="100%"/>
        <w:tblBorders>
          <w:top w:val="single" w:color="CBD5E1" w:sz="2"/>
          <w:left w:val="none"/>
          <w:bottom w:val="single" w:color="CBD5E1" w:sz="2"/>
          <w:right w:val="none"/>
          <w:insideH w:val="single" w:color="CBD5E1" w:sz="1"/>
          <w:insideV w:val="none"/>
        </w:tblBorders>
      </w:tblPr>
      <w:tblGrid>
        <w:gridCol w:w="100"/>
        <w:gridCol w:w="100"/>
      </w:tblGrid>
      <w:tr>
        <w:trPr>
          <w:cantSplit/>
          <w:tblHeader/>
        </w:trPr>
        <w:tc>
          <w:tcPr>
            <w:tcW w:type="pct" w:w="25%"/>
            <w:shd w:fill="2C3E50" w:val="clear"/>
            <w:tcMar>
              <w:top w:type="dxa" w:w="60"/>
              <w:left w:type="dxa" w:w="120"/>
              <w:bottom w:type="dxa" w:w="60"/>
              <w:right w:type="dxa" w:w="120"/>
            </w:tcMar>
          </w:tcPr>
          <w:p>
            <w:pPr>
              <w:jc w:val="center"/>
            </w:pPr>
            <w:r>
              <w:rPr>
                <w:b/>
                <w:bCs/>
                <w:color w:val="FFFFFF"/>
                <w:sz w:val="21"/>
                <w:szCs w:val="21"/>
              </w:rPr>
              <w:t xml:space="preserve">Field</w:t>
            </w:r>
          </w:p>
        </w:tc>
        <w:tc>
          <w:tcPr>
            <w:tcW w:type="pct" w:w="75%"/>
            <w:shd w:fill="2C3E50" w:val="clear"/>
            <w:tcMar>
              <w:top w:type="dxa" w:w="60"/>
              <w:left w:type="dxa" w:w="120"/>
              <w:bottom w:type="dxa" w:w="60"/>
              <w:right w:type="dxa" w:w="120"/>
            </w:tcMar>
          </w:tcPr>
          <w:p>
            <w:pPr>
              <w:jc w:val="center"/>
            </w:pPr>
            <w:r>
              <w:rPr>
                <w:b/>
                <w:bCs/>
                <w:color w:val="FFFFFF"/>
                <w:sz w:val="21"/>
                <w:szCs w:val="21"/>
              </w:rPr>
              <w:t xml:space="preserve">Detail</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Trigger</w:t>
            </w:r>
          </w:p>
        </w:tc>
        <w:tc>
          <w:tcPr>
            <w:tcW w:type="pct" w:w="75%"/>
            <w:tcMar>
              <w:top w:type="dxa" w:w="60"/>
              <w:left w:type="dxa" w:w="120"/>
              <w:bottom w:type="dxa" w:w="60"/>
              <w:right w:type="dxa" w:w="120"/>
            </w:tcMar>
          </w:tcPr>
          <w:p>
            <w:pPr>
              <w:spacing w:line="280"/>
            </w:pPr>
            <w:r>
              <w:rPr>
                <w:color w:val="000000"/>
                <w:sz w:val="21"/>
                <w:szCs w:val="21"/>
              </w:rPr>
              <w:t xml:space="preserve">Any auth-touching change or authorized email update</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Recommended Action</w:t>
            </w:r>
          </w:p>
        </w:tc>
        <w:tc>
          <w:tcPr>
            <w:tcW w:type="pct" w:w="75%"/>
            <w:shd w:fill="F1F5F9" w:val="clear"/>
            <w:tcMar>
              <w:top w:type="dxa" w:w="60"/>
              <w:left w:type="dxa" w:w="120"/>
              <w:bottom w:type="dxa" w:w="60"/>
              <w:right w:type="dxa" w:w="120"/>
            </w:tcMar>
          </w:tcPr>
          <w:p>
            <w:pPr>
              <w:spacing w:line="280"/>
            </w:pPr>
            <w:r>
              <w:rPr>
                <w:color w:val="000000"/>
                <w:sz w:val="21"/>
                <w:szCs w:val="21"/>
              </w:rPr>
              <w:t xml:space="preserve">Consolidate to a single environment variable; reference from one location</w:t>
            </w:r>
          </w:p>
        </w:tc>
      </w:tr>
      <w:tr>
        <w:trPr>
          <w:cantSplit/>
        </w:trPr>
        <w:tc>
          <w:tcPr>
            <w:tcW w:type="pct" w:w="25%"/>
            <w:tcMar>
              <w:top w:type="dxa" w:w="60"/>
              <w:left w:type="dxa" w:w="120"/>
              <w:bottom w:type="dxa" w:w="60"/>
              <w:right w:type="dxa" w:w="120"/>
            </w:tcMar>
          </w:tcPr>
          <w:p>
            <w:pPr>
              <w:spacing w:line="280"/>
            </w:pPr>
            <w:r>
              <w:rPr>
                <w:color w:val="000000"/>
                <w:sz w:val="21"/>
                <w:szCs w:val="21"/>
              </w:rPr>
              <w:t xml:space="preserve">Breaking Change</w:t>
            </w:r>
          </w:p>
        </w:tc>
        <w:tc>
          <w:tcPr>
            <w:tcW w:type="pct" w:w="75%"/>
            <w:tcMar>
              <w:top w:type="dxa" w:w="60"/>
              <w:left w:type="dxa" w:w="120"/>
              <w:bottom w:type="dxa" w:w="60"/>
              <w:right w:type="dxa" w:w="120"/>
            </w:tcMar>
          </w:tcPr>
          <w:p>
            <w:pPr>
              <w:spacing w:line="280"/>
            </w:pPr>
            <w:r>
              <w:rPr>
                <w:color w:val="000000"/>
                <w:sz w:val="21"/>
                <w:szCs w:val="21"/>
              </w:rPr>
              <w:t xml:space="preserve">No</w:t>
            </w:r>
          </w:p>
        </w:tc>
      </w:tr>
      <w:tr>
        <w:trPr>
          <w:cantSplit/>
        </w:trPr>
        <w:tc>
          <w:tcPr>
            <w:tcW w:type="pct" w:w="25%"/>
            <w:shd w:fill="F1F5F9" w:val="clear"/>
            <w:tcMar>
              <w:top w:type="dxa" w:w="60"/>
              <w:left w:type="dxa" w:w="120"/>
              <w:bottom w:type="dxa" w:w="60"/>
              <w:right w:type="dxa" w:w="120"/>
            </w:tcMar>
          </w:tcPr>
          <w:p>
            <w:pPr>
              <w:spacing w:line="280"/>
            </w:pPr>
            <w:r>
              <w:rPr>
                <w:color w:val="000000"/>
                <w:sz w:val="21"/>
                <w:szCs w:val="21"/>
              </w:rPr>
              <w:t xml:space="preserve">Effort Estimate</w:t>
            </w:r>
          </w:p>
        </w:tc>
        <w:tc>
          <w:tcPr>
            <w:tcW w:type="pct" w:w="75%"/>
            <w:shd w:fill="F1F5F9" w:val="clear"/>
            <w:tcMar>
              <w:top w:type="dxa" w:w="60"/>
              <w:left w:type="dxa" w:w="120"/>
              <w:bottom w:type="dxa" w:w="60"/>
              <w:right w:type="dxa" w:w="120"/>
            </w:tcMar>
          </w:tcPr>
          <w:p>
            <w:pPr>
              <w:spacing w:line="280"/>
            </w:pPr>
            <w:r>
              <w:rPr>
                <w:color w:val="000000"/>
                <w:sz w:val="21"/>
                <w:szCs w:val="21"/>
              </w:rPr>
              <w:t xml:space="preserve">0.5 days</w:t>
            </w:r>
          </w:p>
        </w:tc>
      </w:tr>
    </w:tbl>
    <w:p>
      <w:pPr>
        <w:spacing w:line="200"/>
      </w:pPr>
    </w:p>
    <w:p>
      <w:pPr>
        <w:pStyle w:val="Heading1"/>
        <w:spacing w:after="120" w:before="360" w:line="312"/>
      </w:pPr>
      <w:r>
        <w:rPr>
          <w:rFonts w:ascii="Calibri" w:eastAsia="SimHei"/>
          <w:b/>
          <w:bCs/>
          <w:color w:val="0F2027"/>
          <w:sz w:val="32"/>
          <w:szCs w:val="32"/>
        </w:rPr>
        <w:t xml:space="preserve">6. Dependency Upgrades Requiring Architectural Decisions</w:t>
      </w:r>
    </w:p>
    <w:p>
      <w:pPr>
        <w:spacing w:after="100" w:line="312"/>
        <w:jc w:val="left"/>
      </w:pPr>
      <w:r>
        <w:rPr>
          <w:rFonts w:ascii="Calibri"/>
          <w:color w:val="000000"/>
          <w:sz w:val="24"/>
          <w:szCs w:val="24"/>
        </w:rPr>
        <w:t xml:space="preserve">Several dependencies have major version upgrades available that fix known vulnerabilities but introduce breaking API changes. These should be evaluated individually during feature development cycles, not as standalone security work.</w:t>
      </w:r>
    </w:p>
    <w:tbl>
      <w:tblPr>
        <w:tblW w:type="pct" w:w="100%"/>
        <w:tblBorders>
          <w:top w:val="single" w:color="CBD5E1" w:sz="2"/>
          <w:left w:val="none"/>
          <w:bottom w:val="single" w:color="CBD5E1" w:sz="2"/>
          <w:right w:val="none"/>
          <w:insideH w:val="single" w:color="CBD5E1" w:sz="1"/>
          <w:insideV w:val="none"/>
        </w:tblBorders>
      </w:tblPr>
      <w:tblGrid>
        <w:gridCol w:w="100"/>
        <w:gridCol w:w="100"/>
        <w:gridCol w:w="100"/>
        <w:gridCol w:w="100"/>
      </w:tblGrid>
      <w:tr>
        <w:trPr>
          <w:cantSplit/>
          <w:tblHeader/>
        </w:trPr>
        <w:tc>
          <w:tcPr>
            <w:tcW w:type="pct" w:w="20%"/>
            <w:shd w:fill="2C3E50" w:val="clear"/>
            <w:tcMar>
              <w:top w:type="dxa" w:w="60"/>
              <w:left w:type="dxa" w:w="120"/>
              <w:bottom w:type="dxa" w:w="60"/>
              <w:right w:type="dxa" w:w="120"/>
            </w:tcMar>
          </w:tcPr>
          <w:p>
            <w:pPr>
              <w:jc w:val="center"/>
            </w:pPr>
            <w:r>
              <w:rPr>
                <w:b/>
                <w:bCs/>
                <w:color w:val="FFFFFF"/>
                <w:sz w:val="21"/>
                <w:szCs w:val="21"/>
              </w:rPr>
              <w:t xml:space="preserve">Dependency</w:t>
            </w:r>
          </w:p>
        </w:tc>
        <w:tc>
          <w:tcPr>
            <w:tcW w:type="pct" w:w="30%"/>
            <w:shd w:fill="2C3E50" w:val="clear"/>
            <w:tcMar>
              <w:top w:type="dxa" w:w="60"/>
              <w:left w:type="dxa" w:w="120"/>
              <w:bottom w:type="dxa" w:w="60"/>
              <w:right w:type="dxa" w:w="120"/>
            </w:tcMar>
          </w:tcPr>
          <w:p>
            <w:pPr>
              <w:jc w:val="center"/>
            </w:pPr>
            <w:r>
              <w:rPr>
                <w:b/>
                <w:bCs/>
                <w:color w:val="FFFFFF"/>
                <w:sz w:val="21"/>
                <w:szCs w:val="21"/>
              </w:rPr>
              <w:t xml:space="preserve">Issue</w:t>
            </w:r>
          </w:p>
        </w:tc>
        <w:tc>
          <w:tcPr>
            <w:tcW w:type="pct" w:w="30%"/>
            <w:shd w:fill="2C3E50" w:val="clear"/>
            <w:tcMar>
              <w:top w:type="dxa" w:w="60"/>
              <w:left w:type="dxa" w:w="120"/>
              <w:bottom w:type="dxa" w:w="60"/>
              <w:right w:type="dxa" w:w="120"/>
            </w:tcMar>
          </w:tcPr>
          <w:p>
            <w:pPr>
              <w:jc w:val="center"/>
            </w:pPr>
            <w:r>
              <w:rPr>
                <w:b/>
                <w:bCs/>
                <w:color w:val="FFFFFF"/>
                <w:sz w:val="21"/>
                <w:szCs w:val="21"/>
              </w:rPr>
              <w:t xml:space="preserve">Upgrade Path</w:t>
            </w:r>
          </w:p>
        </w:tc>
        <w:tc>
          <w:tcPr>
            <w:tcW w:type="pct" w:w="20%"/>
            <w:shd w:fill="2C3E50" w:val="clear"/>
            <w:tcMar>
              <w:top w:type="dxa" w:w="60"/>
              <w:left w:type="dxa" w:w="120"/>
              <w:bottom w:type="dxa" w:w="60"/>
              <w:right w:type="dxa" w:w="120"/>
            </w:tcMar>
          </w:tcPr>
          <w:p>
            <w:pPr>
              <w:jc w:val="center"/>
            </w:pPr>
            <w:r>
              <w:rPr>
                <w:b/>
                <w:bCs/>
                <w:color w:val="FFFFFF"/>
                <w:sz w:val="21"/>
                <w:szCs w:val="21"/>
              </w:rPr>
              <w:t xml:space="preserve">Breaking</w:t>
            </w:r>
          </w:p>
        </w:tc>
      </w:tr>
      <w:tr>
        <w:trPr>
          <w:cantSplit/>
        </w:trPr>
        <w:tc>
          <w:tcPr>
            <w:tcW w:type="pct" w:w="20%"/>
            <w:tcMar>
              <w:top w:type="dxa" w:w="60"/>
              <w:left w:type="dxa" w:w="120"/>
              <w:bottom w:type="dxa" w:w="60"/>
              <w:right w:type="dxa" w:w="120"/>
            </w:tcMar>
          </w:tcPr>
          <w:p>
            <w:pPr>
              <w:spacing w:line="280"/>
            </w:pPr>
            <w:r>
              <w:rPr>
                <w:color w:val="000000"/>
                <w:sz w:val="21"/>
                <w:szCs w:val="21"/>
              </w:rPr>
              <w:t xml:space="preserve">@xenova/transformers</w:t>
            </w:r>
          </w:p>
        </w:tc>
        <w:tc>
          <w:tcPr>
            <w:tcW w:type="pct" w:w="30%"/>
            <w:tcMar>
              <w:top w:type="dxa" w:w="60"/>
              <w:left w:type="dxa" w:w="120"/>
              <w:bottom w:type="dxa" w:w="60"/>
              <w:right w:type="dxa" w:w="120"/>
            </w:tcMar>
          </w:tcPr>
          <w:p>
            <w:pPr>
              <w:spacing w:line="280"/>
            </w:pPr>
            <w:r>
              <w:rPr>
                <w:color w:val="000000"/>
                <w:sz w:val="21"/>
                <w:szCs w:val="21"/>
              </w:rPr>
              <w:t xml:space="preserve">4 CVEs via sharp/onnxruntime-web</w:t>
            </w:r>
          </w:p>
        </w:tc>
        <w:tc>
          <w:tcPr>
            <w:tcW w:type="pct" w:w="30%"/>
            <w:tcMar>
              <w:top w:type="dxa" w:w="60"/>
              <w:left w:type="dxa" w:w="120"/>
              <w:bottom w:type="dxa" w:w="60"/>
              <w:right w:type="dxa" w:w="120"/>
            </w:tcMar>
          </w:tcPr>
          <w:p>
            <w:pPr>
              <w:spacing w:line="280"/>
            </w:pPr>
            <w:r>
              <w:rPr>
                <w:color w:val="000000"/>
                <w:sz w:val="21"/>
                <w:szCs w:val="21"/>
              </w:rPr>
              <w:t xml:space="preserve">v1.4.2+ (API changes)</w:t>
            </w:r>
          </w:p>
        </w:tc>
        <w:tc>
          <w:tcPr>
            <w:tcW w:type="pct" w:w="20%"/>
            <w:tcMar>
              <w:top w:type="dxa" w:w="60"/>
              <w:left w:type="dxa" w:w="120"/>
              <w:bottom w:type="dxa" w:w="60"/>
              <w:right w:type="dxa" w:w="120"/>
            </w:tcMar>
          </w:tcPr>
          <w:p>
            <w:pPr>
              <w:spacing w:line="280"/>
            </w:pPr>
            <w:r>
              <w:rPr>
                <w:color w:val="000000"/>
                <w:sz w:val="21"/>
                <w:szCs w:val="21"/>
              </w:rPr>
              <w:t xml:space="preserve">Yes</w:t>
            </w:r>
          </w:p>
        </w:tc>
      </w:tr>
      <w:tr>
        <w:trPr>
          <w:cantSplit/>
        </w:trPr>
        <w:tc>
          <w:tcPr>
            <w:tcW w:type="pct" w:w="20%"/>
            <w:shd w:fill="F1F5F9" w:val="clear"/>
            <w:tcMar>
              <w:top w:type="dxa" w:w="60"/>
              <w:left w:type="dxa" w:w="120"/>
              <w:bottom w:type="dxa" w:w="60"/>
              <w:right w:type="dxa" w:w="120"/>
            </w:tcMar>
          </w:tcPr>
          <w:p>
            <w:pPr>
              <w:spacing w:line="280"/>
            </w:pPr>
            <w:r>
              <w:rPr>
                <w:color w:val="000000"/>
                <w:sz w:val="21"/>
                <w:szCs w:val="21"/>
              </w:rPr>
              <w:t xml:space="preserve">@mdxeditor/editor</w:t>
            </w:r>
          </w:p>
        </w:tc>
        <w:tc>
          <w:tcPr>
            <w:tcW w:type="pct" w:w="30%"/>
            <w:shd w:fill="F1F5F9" w:val="clear"/>
            <w:tcMar>
              <w:top w:type="dxa" w:w="60"/>
              <w:left w:type="dxa" w:w="120"/>
              <w:bottom w:type="dxa" w:w="60"/>
              <w:right w:type="dxa" w:w="120"/>
            </w:tcMar>
          </w:tcPr>
          <w:p>
            <w:pPr>
              <w:spacing w:line="280"/>
            </w:pPr>
            <w:r>
              <w:rPr>
                <w:color w:val="000000"/>
                <w:sz w:val="21"/>
                <w:szCs w:val="21"/>
              </w:rPr>
              <w:t xml:space="preserve">js-yaml vulnerability</w:t>
            </w:r>
          </w:p>
        </w:tc>
        <w:tc>
          <w:tcPr>
            <w:tcW w:type="pct" w:w="30%"/>
            <w:shd w:fill="F1F5F9" w:val="clear"/>
            <w:tcMar>
              <w:top w:type="dxa" w:w="60"/>
              <w:left w:type="dxa" w:w="120"/>
              <w:bottom w:type="dxa" w:w="60"/>
              <w:right w:type="dxa" w:w="120"/>
            </w:tcMar>
          </w:tcPr>
          <w:p>
            <w:pPr>
              <w:spacing w:line="280"/>
            </w:pPr>
            <w:r>
              <w:rPr>
                <w:color w:val="000000"/>
                <w:sz w:val="21"/>
                <w:szCs w:val="21"/>
              </w:rPr>
              <w:t xml:space="preserve">v4.1.1+ (API changes)</w:t>
            </w:r>
          </w:p>
        </w:tc>
        <w:tc>
          <w:tcPr>
            <w:tcW w:type="pct" w:w="20%"/>
            <w:shd w:fill="F1F5F9" w:val="clear"/>
            <w:tcMar>
              <w:top w:type="dxa" w:w="60"/>
              <w:left w:type="dxa" w:w="120"/>
              <w:bottom w:type="dxa" w:w="60"/>
              <w:right w:type="dxa" w:w="120"/>
            </w:tcMar>
          </w:tcPr>
          <w:p>
            <w:pPr>
              <w:spacing w:line="280"/>
            </w:pPr>
            <w:r>
              <w:rPr>
                <w:color w:val="000000"/>
                <w:sz w:val="21"/>
                <w:szCs w:val="21"/>
              </w:rPr>
              <w:t xml:space="preserve">Yes</w:t>
            </w:r>
          </w:p>
        </w:tc>
      </w:tr>
      <w:tr>
        <w:trPr>
          <w:cantSplit/>
        </w:trPr>
        <w:tc>
          <w:tcPr>
            <w:tcW w:type="pct" w:w="20%"/>
            <w:tcMar>
              <w:top w:type="dxa" w:w="60"/>
              <w:left w:type="dxa" w:w="120"/>
              <w:bottom w:type="dxa" w:w="60"/>
              <w:right w:type="dxa" w:w="120"/>
            </w:tcMar>
          </w:tcPr>
          <w:p>
            <w:pPr>
              <w:spacing w:line="280"/>
            </w:pPr>
            <w:r>
              <w:rPr>
                <w:color w:val="000000"/>
                <w:sz w:val="21"/>
                <w:szCs w:val="21"/>
              </w:rPr>
              <w:t xml:space="preserve">SheetJS (xlsx)</w:t>
            </w:r>
          </w:p>
        </w:tc>
        <w:tc>
          <w:tcPr>
            <w:tcW w:type="pct" w:w="30%"/>
            <w:tcMar>
              <w:top w:type="dxa" w:w="60"/>
              <w:left w:type="dxa" w:w="120"/>
              <w:bottom w:type="dxa" w:w="60"/>
              <w:right w:type="dxa" w:w="120"/>
            </w:tcMar>
          </w:tcPr>
          <w:p>
            <w:pPr>
              <w:spacing w:line="280"/>
            </w:pPr>
            <w:r>
              <w:rPr>
                <w:color w:val="000000"/>
                <w:sz w:val="21"/>
                <w:szCs w:val="21"/>
              </w:rPr>
              <w:t xml:space="preserve">Prototype Pollution, ReDoS</w:t>
            </w:r>
          </w:p>
        </w:tc>
        <w:tc>
          <w:tcPr>
            <w:tcW w:type="pct" w:w="30%"/>
            <w:tcMar>
              <w:top w:type="dxa" w:w="60"/>
              <w:left w:type="dxa" w:w="120"/>
              <w:bottom w:type="dxa" w:w="60"/>
              <w:right w:type="dxa" w:w="120"/>
            </w:tcMar>
          </w:tcPr>
          <w:p>
            <w:pPr>
              <w:spacing w:line="280"/>
            </w:pPr>
            <w:r>
              <w:rPr>
                <w:color w:val="000000"/>
                <w:sz w:val="21"/>
                <w:szCs w:val="21"/>
              </w:rPr>
              <w:t xml:space="preserve">ExcelJS replacement</w:t>
            </w:r>
          </w:p>
        </w:tc>
        <w:tc>
          <w:tcPr>
            <w:tcW w:type="pct" w:w="20%"/>
            <w:tcMar>
              <w:top w:type="dxa" w:w="60"/>
              <w:left w:type="dxa" w:w="120"/>
              <w:bottom w:type="dxa" w:w="60"/>
              <w:right w:type="dxa" w:w="120"/>
            </w:tcMar>
          </w:tcPr>
          <w:p>
            <w:pPr>
              <w:spacing w:line="280"/>
            </w:pPr>
            <w:r>
              <w:rPr>
                <w:color w:val="000000"/>
                <w:sz w:val="21"/>
                <w:szCs w:val="21"/>
              </w:rPr>
              <w:t xml:space="preserve">Yes</w:t>
            </w:r>
          </w:p>
        </w:tc>
      </w:tr>
      <w:tr>
        <w:trPr>
          <w:cantSplit/>
        </w:trPr>
        <w:tc>
          <w:tcPr>
            <w:tcW w:type="pct" w:w="20%"/>
            <w:shd w:fill="F1F5F9" w:val="clear"/>
            <w:tcMar>
              <w:top w:type="dxa" w:w="60"/>
              <w:left w:type="dxa" w:w="120"/>
              <w:bottom w:type="dxa" w:w="60"/>
              <w:right w:type="dxa" w:w="120"/>
            </w:tcMar>
          </w:tcPr>
          <w:p>
            <w:pPr>
              <w:spacing w:line="280"/>
            </w:pPr>
            <w:r>
              <w:rPr>
                <w:color w:val="000000"/>
                <w:sz w:val="21"/>
                <w:szCs w:val="21"/>
              </w:rPr>
              <w:t xml:space="preserve">Next.js</w:t>
            </w:r>
          </w:p>
        </w:tc>
        <w:tc>
          <w:tcPr>
            <w:tcW w:type="pct" w:w="30%"/>
            <w:shd w:fill="F1F5F9" w:val="clear"/>
            <w:tcMar>
              <w:top w:type="dxa" w:w="60"/>
              <w:left w:type="dxa" w:w="120"/>
              <w:bottom w:type="dxa" w:w="60"/>
              <w:right w:type="dxa" w:w="120"/>
            </w:tcMar>
          </w:tcPr>
          <w:p>
            <w:pPr>
              <w:spacing w:line="280"/>
            </w:pPr>
            <w:r>
              <w:rPr>
                <w:color w:val="000000"/>
                <w:sz w:val="21"/>
                <w:szCs w:val="21"/>
              </w:rPr>
              <w:t xml:space="preserve">Routine security patches</w:t>
            </w:r>
          </w:p>
        </w:tc>
        <w:tc>
          <w:tcPr>
            <w:tcW w:type="pct" w:w="30%"/>
            <w:shd w:fill="F1F5F9" w:val="clear"/>
            <w:tcMar>
              <w:top w:type="dxa" w:w="60"/>
              <w:left w:type="dxa" w:w="120"/>
              <w:bottom w:type="dxa" w:w="60"/>
              <w:right w:type="dxa" w:w="120"/>
            </w:tcMar>
          </w:tcPr>
          <w:p>
            <w:pPr>
              <w:spacing w:line="280"/>
            </w:pPr>
            <w:r>
              <w:rPr>
                <w:color w:val="000000"/>
                <w:sz w:val="21"/>
                <w:szCs w:val="21"/>
              </w:rPr>
              <w:t xml:space="preserve">Latest minor/patch</w:t>
            </w:r>
          </w:p>
        </w:tc>
        <w:tc>
          <w:tcPr>
            <w:tcW w:type="pct" w:w="20%"/>
            <w:shd w:fill="F1F5F9" w:val="clear"/>
            <w:tcMar>
              <w:top w:type="dxa" w:w="60"/>
              <w:left w:type="dxa" w:w="120"/>
              <w:bottom w:type="dxa" w:w="60"/>
              <w:right w:type="dxa" w:w="120"/>
            </w:tcMar>
          </w:tcPr>
          <w:p>
            <w:pPr>
              <w:spacing w:line="280"/>
            </w:pPr>
            <w:r>
              <w:rPr>
                <w:color w:val="000000"/>
                <w:sz w:val="21"/>
                <w:szCs w:val="21"/>
              </w:rPr>
              <w:t xml:space="preserve">No (patch)</w:t>
            </w:r>
          </w:p>
        </w:tc>
      </w:tr>
    </w:tbl>
    <w:p>
      <w:pPr>
        <w:spacing w:line="200"/>
      </w:pPr>
    </w:p>
    <w:p>
      <w:pPr>
        <w:pStyle w:val="Heading1"/>
        <w:spacing w:after="120" w:before="360" w:line="312"/>
      </w:pPr>
      <w:r>
        <w:rPr>
          <w:rFonts w:ascii="Calibri" w:eastAsia="SimHei"/>
          <w:b/>
          <w:bCs/>
          <w:color w:val="0F2027"/>
          <w:sz w:val="32"/>
          <w:szCs w:val="32"/>
        </w:rPr>
        <w:t xml:space="preserve">7. Review Policy</w:t>
      </w:r>
    </w:p>
    <w:p>
      <w:pPr>
        <w:spacing w:after="100" w:line="312"/>
        <w:jc w:val="left"/>
      </w:pPr>
      <w:r>
        <w:rPr>
          <w:rFonts w:ascii="Calibri"/>
          <w:color w:val="000000"/>
          <w:sz w:val="24"/>
          <w:szCs w:val="24"/>
        </w:rPr>
        <w:t xml:space="preserve">This backlog should be reviewed under the following circumstances: (1) before any production deployment to a new environment, (2) when the system adds multi-user access or external-facing upload endpoints, (3) during quarterly dependency update cycles, and (4) if any security incident is reported. Items should not be implemented speculatively outside of these triggers.</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t xml:space="preserve">Page </w:t>
    </w:r>
    <w:r>
      <w:rPr>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06070"/>
        <w:sz w:val="18"/>
        <w:szCs w:val="18"/>
      </w:rPr>
      <w:t xml:space="preserve">DeepMindQ Deferred Security Backlog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F2027"/>
      <w:sz w:val="32"/>
      <w:szCs w:val="32"/>
    </w:rPr>
  </w:style>
  <w:style w:type="paragraph" w:styleId="Heading2">
    <w:name w:val="Heading 2"/>
    <w:basedOn w:val="Normal"/>
    <w:next w:val="Normal"/>
    <w:qFormat/>
    <w:rPr>
      <w:rFonts w:ascii="Calibri"/>
      <w:b/>
      <w:bCs/>
      <w:color w:val="0F202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2026-08-01T08:02:04.755Z</dcterms:created>
  <dcterms:modified xsi:type="dcterms:W3CDTF">2026-08-01T08:02:04.756Z</dcterms:modified>
</cp:coreProperties>
</file>

<file path=docProps/custom.xml><?xml version="1.0" encoding="utf-8"?>
<Properties xmlns="http://schemas.openxmlformats.org/officeDocument/2006/custom-properties" xmlns:vt="http://schemas.openxmlformats.org/officeDocument/2006/docPropsVTypes"/>
</file>