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sz="0"/>
          <w:left w:val="none" w:sz="0"/>
          <w:bottom w:val="none" w:sz="0"/>
          <w:right w:val="none" w:sz="0"/>
          <w:insideH w:val="none" w:sz="0"/>
          <w:insideV w:val="none" w:sz="0"/>
        </w:tblBorders>
      </w:tblPr>
      <w:tblGrid>
        <w:gridCol w:w="100"/>
      </w:tblGrid>
      <w:tr>
        <w:trPr>
          <w:trHeight w:val="16838" w:hRule="exact"/>
        </w:trPr>
        <w:tc>
          <w:tcPr>
            <w:tcW w:type="pct" w:w="100%"/>
            <w:tcBorders>
              <w:top w:val="none" w:sz="0"/>
              <w:left w:val="none" w:sz="0"/>
              <w:bottom w:val="none" w:sz="0"/>
              <w:right w:val="none" w:sz="0"/>
            </w:tcBorders>
            <w:shd w:fill="101820" w:val="clear"/>
            <w:vAlign w:val="top"/>
          </w:tcPr>
          <w:p>
            <w:pPr>
              <w:spacing w:after="0" w:before="0"/>
            </w:pPr>
          </w:p>
          <w:tbl>
            <w:tblPr>
              <w:tblW w:type="pct" w:w="100%"/>
              <w:tblBorders>
                <w:top w:val="none" w:sz="0"/>
                <w:left w:val="none" w:sz="0"/>
                <w:bottom w:val="none" w:sz="0"/>
                <w:right w:val="none" w:sz="0"/>
                <w:insideH w:val="none" w:sz="0"/>
                <w:insideV w:val="none" w:sz="0"/>
              </w:tblBorders>
            </w:tblPr>
            <w:tblGrid>
              <w:gridCol w:w="100"/>
            </w:tblGrid>
            <w:tr>
              <w:trPr>
                <w:trHeight w:val="120" w:hRule="exact"/>
              </w:trPr>
              <w:tc>
                <w:tcPr>
                  <w:tcW w:type="pct" w:w="100%"/>
                  <w:tcBorders>
                    <w:top w:val="none" w:sz="0"/>
                    <w:left w:val="none" w:sz="0"/>
                    <w:bottom w:val="none" w:sz="0"/>
                    <w:right w:val="none" w:sz="0"/>
                  </w:tcBorders>
                  <w:shd w:fill="2D7D46" w:val="clear"/>
                </w:tcPr>
                <w:p>
                  <w:pPr>
                    <w:spacing w:after="0" w:before="0"/>
                  </w:pPr>
                </w:p>
              </w:tc>
            </w:tr>
          </w:tbl>
          <w:p>
            <w:pPr>
              <w:spacing w:after="0" w:before="2400"/>
            </w:pPr>
          </w:p>
          <w:p>
            <w:pPr>
              <w:spacing w:after="120" w:before="0" w:line="480"/>
              <w:jc w:val="left"/>
            </w:pPr>
            <w:r>
              <w:rPr>
                <w:rFonts w:ascii="Calibri" w:eastAsia="SimHei"/>
                <w:b/>
                <w:bCs/>
                <w:color w:val="FFFFFF"/>
                <w:sz w:val="56"/>
                <w:szCs w:val="56"/>
              </w:rPr>
              <w:t xml:space="preserve">CI Reliability Foundation</w:t>
            </w:r>
          </w:p>
          <w:p>
            <w:pPr>
              <w:spacing w:after="60" w:before="0" w:line="360"/>
              <w:jc w:val="left"/>
            </w:pPr>
            <w:r>
              <w:rPr>
                <w:rFonts w:ascii="Calibri" w:eastAsia="Microsoft YaHei"/>
                <w:b w:val="false"/>
                <w:bCs w:val="false"/>
                <w:color w:val="A0B0C0"/>
                <w:sz w:val="32"/>
                <w:szCs w:val="32"/>
              </w:rPr>
              <w:t xml:space="preserve">Final Verification Report</w:t>
            </w:r>
          </w:p>
          <w:tbl>
            <w:tblPr>
              <w:tblW w:type="pct" w:w="30%"/>
              <w:tblBorders>
                <w:top w:val="none" w:sz="0"/>
                <w:left w:val="none" w:sz="0"/>
                <w:bottom w:val="none" w:sz="0"/>
                <w:right w:val="none" w:sz="0"/>
                <w:insideH w:val="none" w:sz="0"/>
                <w:insideV w:val="none" w:sz="0"/>
              </w:tblBorders>
            </w:tblPr>
            <w:tblGrid>
              <w:gridCol w:w="100"/>
            </w:tblGrid>
            <w:tr>
              <w:trPr>
                <w:trHeight w:val="60" w:hRule="exact"/>
              </w:trPr>
              <w:tc>
                <w:tcPr>
                  <w:tcW w:type="pct" w:w="100%"/>
                  <w:tcBorders>
                    <w:top w:val="none" w:sz="0"/>
                    <w:left w:val="none" w:sz="0"/>
                    <w:bottom w:val="none" w:sz="0"/>
                    <w:right w:val="none" w:sz="0"/>
                  </w:tcBorders>
                  <w:shd w:fill="2D7D46" w:val="clear"/>
                </w:tcPr>
                <w:p>
                  <w:pPr>
                    <w:spacing w:after="0" w:before="0"/>
                  </w:pPr>
                </w:p>
              </w:tc>
            </w:tr>
          </w:tbl>
          <w:p>
            <w:pPr>
              <w:spacing w:after="0" w:before="600"/>
            </w:pPr>
          </w:p>
          <w:p>
            <w:pPr>
              <w:spacing w:after="60" w:before="0" w:line="300"/>
              <w:jc w:val="left"/>
            </w:pPr>
            <w:r>
              <w:rPr>
                <w:rFonts w:ascii="Calibri" w:eastAsia="Microsoft YaHei"/>
                <w:color w:val="708090"/>
                <w:sz w:val="22"/>
                <w:szCs w:val="22"/>
              </w:rPr>
              <w:t xml:space="preserve">DeepMindQ CRM — M4 Phase 2 Completion Evidence</w:t>
            </w:r>
          </w:p>
          <w:p>
            <w:pPr>
              <w:spacing w:after="60" w:before="0" w:line="300"/>
              <w:jc w:val="left"/>
            </w:pPr>
            <w:r>
              <w:rPr>
                <w:rFonts w:ascii="Calibri"/>
                <w:color w:val="708090"/>
                <w:sz w:val="20"/>
                <w:szCs w:val="20"/>
              </w:rPr>
              <w:t xml:space="preserve">Repository: DeepMindQ/deepmindq-crm</w:t>
            </w:r>
          </w:p>
          <w:p>
            <w:pPr>
              <w:spacing w:after="60" w:before="0" w:line="300"/>
              <w:jc w:val="left"/>
            </w:pPr>
            <w:r>
              <w:rPr>
                <w:rFonts w:ascii="Calibri"/>
                <w:color w:val="708090"/>
                <w:sz w:val="20"/>
                <w:szCs w:val="20"/>
              </w:rPr>
              <w:t xml:space="preserve">Green SHA: 9208c4827dc2b7e64bafc41de6852aed1ffd57ce</w:t>
            </w:r>
          </w:p>
          <w:p>
            <w:pPr>
              <w:spacing w:after="60" w:before="0" w:line="300"/>
              <w:jc w:val="left"/>
            </w:pPr>
            <w:r>
              <w:rPr>
                <w:rFonts w:ascii="Calibri"/>
                <w:color w:val="708090"/>
                <w:sz w:val="20"/>
                <w:szCs w:val="20"/>
              </w:rPr>
              <w:t xml:space="preserve">Date: 2026-08-05</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10182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Problem Statement and Context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CI Reliability Layers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Layer 1: Local CI Mirror Validation</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Layer 2: Pre-Push Reliability Gate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Layer 3: Three-Layer Environment Drift Protection</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Layer 1: ESLint Static Analysis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Layer 2: ci-local.sh Scanner</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Layer 3: GitHub Actions Validation</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3.4 Layer 4: CI Failure Reproducibility</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3.5 Layer 5: CI Reliability Documentation</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Automated Reliability Enforcement Rules</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5. Node Compatibility Validation</w:t>
            </w:r>
            <w:r>
              <w:tab/>
            </w:r>
            <w:r>
              <w:fldChar w:fldCharType="begin"/>
            </w:r>
            <w:r>
              <w:instrText xml:space="preserve"> PAGEREF _Toc100012 \h </w:instrText>
            </w:r>
            <w:r>
              <w:fldChar w:fldCharType="separate"/>
            </w:r>
            <w:r>
              <w:t>6</w:t>
            </w:r>
            <w:r>
              <w:fldChar w:fldCharType="end"/>
            </w:r>
          </w:hyperlink>
        </w:p>
        <w:p>
          <w:pPr>
            <w:pStyle w:val="9"/>
            <w:tabs>
              <w:tab w:val="right" w:leader="dot" w:pos="9026"/>
            </w:tabs>
            <w:spacing w:before="120" w:after="60"/>
          </w:pPr>
          <w:hyperlink w:anchor="_Toc100013" w:history="1">
            <w:r>
              <w:rPr>
                <w:rStyle w:val="Hyperlink"/>
              </w:rPr>
              <w:t>6. Fixes Applied During Final Verification</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6.1 Fake Assertion Removal</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6.2 Build Timeout Protection</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6.3 ci-local.sh Completeness</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6.4 Security Database Mock Completeness</w:t>
            </w:r>
            <w:r>
              <w:tab/>
            </w:r>
            <w:r>
              <w:fldChar w:fldCharType="begin"/>
            </w:r>
            <w:r>
              <w:instrText xml:space="preserve"> PAGEREF _Toc100017 \h </w:instrText>
            </w:r>
            <w:r>
              <w:fldChar w:fldCharType="separate"/>
            </w:r>
            <w:r>
              <w:t>7</w:t>
            </w:r>
            <w:r>
              <w:fldChar w:fldCharType="end"/>
            </w:r>
          </w:hyperlink>
        </w:p>
        <w:p>
          <w:pPr>
            <w:pStyle w:val="9"/>
            <w:tabs>
              <w:tab w:val="right" w:leader="dot" w:pos="9026"/>
            </w:tabs>
            <w:spacing w:before="120" w:after="60"/>
          </w:pPr>
          <w:hyperlink w:anchor="_Toc100018" w:history="1">
            <w:r>
              <w:rPr>
                <w:rStyle w:val="Hyperlink"/>
              </w:rPr>
              <w:t>7. Final Acceptance Checklist</w:t>
            </w:r>
            <w:r>
              <w:tab/>
            </w:r>
            <w:r>
              <w:fldChar w:fldCharType="begin"/>
            </w:r>
            <w:r>
              <w:instrText xml:space="preserve"> PAGEREF _Toc100018 \h </w:instrText>
            </w:r>
            <w:r>
              <w:fldChar w:fldCharType="separate"/>
            </w:r>
            <w:r>
              <w:t>8</w:t>
            </w:r>
            <w:r>
              <w:fldChar w:fldCharType="end"/>
            </w:r>
          </w:hyperlink>
        </w:p>
        <w:p>
          <w:pPr>
            <w:pStyle w:val="9"/>
            <w:tabs>
              <w:tab w:val="right" w:leader="dot" w:pos="9026"/>
            </w:tabs>
            <w:spacing w:before="120" w:after="60"/>
          </w:pPr>
          <w:hyperlink w:anchor="_Toc100019" w:history="1">
            <w:r>
              <w:rPr>
                <w:rStyle w:val="Hyperlink"/>
              </w:rPr>
              <w:t>8. Engineering Impact Assessment</w:t>
            </w:r>
            <w:r>
              <w:tab/>
            </w:r>
            <w:r>
              <w:fldChar w:fldCharType="begin"/>
            </w:r>
            <w:r>
              <w:instrText xml:space="preserve"> PAGEREF _Toc100019 \h </w:instrText>
            </w:r>
            <w:r>
              <w:fldChar w:fldCharType="separate"/>
            </w:r>
            <w:r>
              <w:t>8</w:t>
            </w:r>
            <w:r>
              <w:fldChar w:fldCharType="end"/>
            </w:r>
          </w:hyperlink>
        </w:p>
        <w:p>
          <w:r>
            <w:fldChar w:fldCharType="end"/>
          </w:r>
        </w:p>
      </w:sdtContent>
    </w:sdt>
    <w:p>
      <w:pPr>
        <w:spacing w:before="200"/>
      </w:pPr>
      <w:r>
        <w:rPr>
          <w:i/>
          <w:iCs/>
          <w:color w:val="888888"/>
          <w:sz w:val="18"/>
          <w:szCs w:val="18"/>
        </w:rPr>
        <w:t xml:space="preserve">Note: Right-click the Table of Contents and select "Update Field" to refresh page numbers.</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Calibri" w:eastAsia="SimHei"/>
          <w:b/>
          <w:bCs/>
          <w:color w:val="101820"/>
          <w:sz w:val="32"/>
          <w:szCs w:val="32"/>
        </w:rPr>
        <w:t xml:space="preserve">1. Executive Summary</w:t>
      </w:r>
      <w:bookmarkEnd w:id="100000"/>
    </w:p>
    <w:p>
      <w:pPr>
        <w:spacing w:after="80" w:line="312"/>
        <w:ind w:firstLine="480"/>
        <w:jc w:val="both"/>
      </w:pPr>
      <w:r>
        <w:rPr>
          <w:rFonts w:ascii="Calibri" w:eastAsia="Microsoft YaHei"/>
          <w:color w:val="182030"/>
          <w:sz w:val="24"/>
          <w:szCs w:val="24"/>
        </w:rPr>
        <w:t xml:space="preserve">The CI Reliability Foundation represents a structural engineering intervention to address a recurring failure pattern discovered during M3 and early M4 development. The pattern manifested as a cycle where code changes would pass local testing, push successfully to GitHub, and then fail in CI due to environment and configuration mismatches between the developer workstation and the GitHub Actions runner. This cycle consumed significant engineering time, introduced rushed emergency fixes, and eroded confidence in the CI signal.</w:t>
      </w:r>
    </w:p>
    <w:p>
      <w:pPr>
        <w:spacing w:after="80" w:line="312"/>
        <w:ind w:firstLine="480"/>
        <w:jc w:val="both"/>
      </w:pPr>
      <w:r>
        <w:rPr>
          <w:rFonts w:ascii="Calibri" w:eastAsia="Microsoft YaHei"/>
          <w:color w:val="182030"/>
          <w:sz w:val="24"/>
          <w:szCs w:val="24"/>
        </w:rPr>
        <w:t xml:space="preserve">This verification report provides conclusive evidence that all five CI reliability layers have been implemented, tested, and committed to the repository. The verification covers the local CI mirror script, the pre-push reliability gate, the three-layer environment drift protection system, CI failure reproducibility guarantees, and the comprehensive documentation that serves as the operational reference for the engineering team.</w:t>
      </w:r>
    </w:p>
    <w:p>
      <w:pPr>
        <w:spacing w:after="80" w:line="312"/>
        <w:ind w:firstLine="480"/>
        <w:jc w:val="both"/>
      </w:pPr>
      <w:r>
        <w:rPr>
          <w:rFonts w:ascii="Calibri" w:eastAsia="Microsoft YaHei"/>
          <w:color w:val="182030"/>
          <w:sz w:val="24"/>
          <w:szCs w:val="24"/>
        </w:rPr>
        <w:t xml:space="preserve">Additionally, six automated reliability enforcement rules have been validated: the prohibition of `|| true` error suppression in workflows, the ban on `dangerouslyIgnoreUnhandledErrors`, the elimination of fake passing assertions, the blocking of hidden empty catch blocks, the prevention of unexplained test skips, and the enforcement of machine-specific path restrictions. Together, these measures ensure that CI validates genuine quality rather than hiding failures behind convenience shortcuts.</w:t>
      </w:r>
    </w:p>
    <w:p>
      <w:pPr>
        <w:pStyle w:val="Heading1"/>
        <w:spacing w:after="160" w:before="360" w:line="312"/>
      </w:pPr>
      <w:bookmarkStart w:id="100001" w:name="_Toc100001"/>
      <w:r>
        <w:rPr>
          <w:rFonts w:ascii="Calibri" w:eastAsia="SimHei"/>
          <w:b/>
          <w:bCs/>
          <w:color w:val="101820"/>
          <w:sz w:val="32"/>
          <w:szCs w:val="32"/>
        </w:rPr>
        <w:t xml:space="preserve">2. Problem Statement and Context</w:t>
      </w:r>
      <w:bookmarkEnd w:id="100001"/>
    </w:p>
    <w:p>
      <w:pPr>
        <w:spacing w:after="80" w:line="312"/>
        <w:ind w:firstLine="480"/>
        <w:jc w:val="both"/>
      </w:pPr>
      <w:r>
        <w:rPr>
          <w:rFonts w:ascii="Calibri" w:eastAsia="Microsoft YaHei"/>
          <w:color w:val="182030"/>
          <w:sz w:val="24"/>
          <w:szCs w:val="24"/>
        </w:rPr>
        <w:t xml:space="preserve">During M3 and the early phases of M4, the development team experienced a persistent and costly CI failure pattern. A typical incident began with a developer making a code change, running the local test suite (`npx vitest run`), observing a green result, and pushing the commit to GitHub. The GitHub Actions CI would then fail, revealing an environment-specific issue such as hardcoded file paths, missing environment variables, or configuration differences between the local SQLite development database and the remote PostgreSQL production database.</w:t>
      </w:r>
    </w:p>
    <w:p>
      <w:pPr>
        <w:spacing w:after="80" w:line="312"/>
        <w:ind w:firstLine="480"/>
        <w:jc w:val="both"/>
      </w:pPr>
      <w:r>
        <w:rPr>
          <w:rFonts w:ascii="Calibri" w:eastAsia="Microsoft YaHei"/>
          <w:color w:val="182030"/>
          <w:sz w:val="24"/>
          <w:szCs w:val="24"/>
        </w:rPr>
        <w:t xml:space="preserve">The root cause was traced to a fundamental disconnect between local development practices and CI expectations. The pre-push hook at that time only executed `npx vitest run`, which tested the default Vitest configuration and created a false sense of security. The CI pipeline, by contrast, ran ten distinct Vitest configurations, security gate checks, dependency audits, API security scans, and build verification. Local testing covered perhaps twenty percent of what CI actually validated, making CI failures both frequent and unpredictable.</w:t>
      </w:r>
    </w:p>
    <w:p>
      <w:pPr>
        <w:spacing w:after="80" w:line="312"/>
        <w:ind w:firstLine="480"/>
        <w:jc w:val="both"/>
      </w:pPr>
      <w:r>
        <w:rPr>
          <w:rFonts w:ascii="Calibri" w:eastAsia="Microsoft YaHei"/>
          <w:color w:val="182030"/>
          <w:sz w:val="24"/>
          <w:szCs w:val="24"/>
        </w:rPr>
        <w:t xml:space="preserve">A specific catalyst was the failure in `tests/security/security-phase4-critical-input-path.test.ts`, which hardcoded the path `/home/z/my-project/src` using `execSync grep`. This test passed locally because the path existed on the developer machine, but failed on GitHub runners where the workspace path is `/home/runner/work/`. The fix replaced the hardcoded path approach with `readdirSync` and RegExp matching using `__dirname`, but the incident exposed a systemic vulnerability that required a comprehensive structural solution rather than individual fixes.</w:t>
      </w:r>
    </w:p>
    <w:p>
      <w:pPr>
        <w:pStyle w:val="Heading1"/>
        <w:spacing w:after="160" w:before="360" w:line="312"/>
      </w:pPr>
      <w:bookmarkStart w:id="100002" w:name="_Toc100002"/>
      <w:r>
        <w:rPr>
          <w:rFonts w:ascii="Calibri" w:eastAsia="SimHei"/>
          <w:b/>
          <w:bCs/>
          <w:color w:val="101820"/>
          <w:sz w:val="32"/>
          <w:szCs w:val="32"/>
        </w:rPr>
        <w:t xml:space="preserve">3. CI Reliability Layers</w:t>
      </w:r>
      <w:bookmarkEnd w:id="100002"/>
    </w:p>
    <w:p>
      <w:pPr>
        <w:spacing w:after="80" w:line="312"/>
        <w:ind w:firstLine="480"/>
        <w:jc w:val="both"/>
      </w:pPr>
      <w:r>
        <w:rPr>
          <w:rFonts w:ascii="Calibri" w:eastAsia="Microsoft YaHei"/>
          <w:color w:val="182030"/>
          <w:sz w:val="24"/>
          <w:szCs w:val="24"/>
        </w:rPr>
        <w:t xml:space="preserve">The solution implements five interconnected reliability layers, each addressing a specific aspect of the CI trust gap. These layers work in concert to ensure that local validation provides the same signal as GitHub Actions, that environment-specific assumptions are caught before they enter the repository, and that the engineering team has clear operational documentation for troubleshooting and maintenance.</w:t>
      </w:r>
    </w:p>
    <w:p>
      <w:pPr>
        <w:pStyle w:val="Heading2"/>
        <w:spacing w:after="120" w:before="280" w:line="312"/>
      </w:pPr>
      <w:bookmarkStart w:id="100003" w:name="_Toc100003"/>
      <w:r>
        <w:rPr>
          <w:rFonts w:ascii="Calibri" w:eastAsia="SimHei"/>
          <w:b/>
          <w:bCs/>
          <w:color w:val="101820"/>
          <w:sz w:val="28"/>
          <w:szCs w:val="28"/>
        </w:rPr>
        <w:t xml:space="preserve">3.1 Layer 1: Local CI Mirror Validation</w:t>
      </w:r>
      <w:bookmarkEnd w:id="100003"/>
    </w:p>
    <w:p>
      <w:pPr>
        <w:spacing w:after="80" w:line="312"/>
        <w:ind w:firstLine="480"/>
        <w:jc w:val="both"/>
      </w:pPr>
      <w:r>
        <w:rPr>
          <w:rFonts w:ascii="Calibri" w:eastAsia="Microsoft YaHei"/>
          <w:color w:val="182030"/>
          <w:sz w:val="24"/>
          <w:szCs w:val="24"/>
        </w:rPr>
        <w:t xml:space="preserve">The local CI mirror (`scripts/ci-local.sh`) is a 359-line Bash script that replicates the exact validation sequence executed by GitHub Actions. It runs the same Vitest configurations, the same security gate checks, the same lint and typecheck commands, and the same build verification in the same order. This ensures that if the local CI mirror exits with code zero, GitHub CI will pass with high confidence.</w:t>
      </w:r>
    </w:p>
    <w:p>
      <w:pPr>
        <w:spacing w:after="80" w:line="312"/>
        <w:ind w:firstLine="480"/>
        <w:jc w:val="both"/>
      </w:pPr>
      <w:r>
        <w:rPr>
          <w:rFonts w:ascii="Calibri" w:eastAsia="Microsoft YaHei"/>
          <w:color w:val="182030"/>
          <w:sz w:val="24"/>
          <w:szCs w:val="24"/>
        </w:rPr>
        <w:t xml:space="preserve">The script supports three execution modes: the default mode runs all eleven blocking jobs sequentially, the `--quick` mode runs all blocking jobs but skips the build verification step for faster feedback during development, and the `--job N` mode runs a single specific job by index for targeted debugging. The script mirrors the CI environment by setting `CI=true` and `NODE_OPTIONS=--max-old-space-size=2048`, and gracefully skips database-dependent jobs when PostgreSQL is unavailable.</w:t>
      </w:r>
    </w:p>
    <w:p>
      <w:pPr>
        <w:keepNext/>
        <w:spacing w:after="80" w:before="200" w:line="312"/>
      </w:pPr>
      <w:r>
        <w:rPr>
          <w:rFonts w:ascii="Calibri" w:eastAsia="SimHei"/>
          <w:b/>
          <w:bCs/>
          <w:color w:val="506070"/>
          <w:sz w:val="21"/>
          <w:szCs w:val="21"/>
        </w:rPr>
        <w:t xml:space="preserve">Table 1: Local CI Mirror Job Mapping</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gridCol w:w="100"/>
      </w:tblGrid>
      <w:tr>
        <w:trPr>
          <w:cantSplit/>
          <w:tblHeader/>
        </w:trPr>
        <w:tc>
          <w:tcPr>
            <w:tcW w:type="pct" w:w="5%"/>
            <w:shd w:fill="1A2332" w:val="clear"/>
            <w:tcMar>
              <w:top w:type="dxa" w:w="40"/>
              <w:left w:type="dxa" w:w="80"/>
              <w:bottom w:type="dxa" w:w="40"/>
              <w:right w:type="dxa" w:w="80"/>
            </w:tcMar>
          </w:tcPr>
          <w:p>
            <w:pPr>
              <w:jc w:val="center"/>
            </w:pPr>
            <w:r>
              <w:rPr>
                <w:rFonts w:ascii="Calibri"/>
                <w:b/>
                <w:bCs/>
                <w:color w:val="FFFFFF"/>
                <w:sz w:val="21"/>
                <w:szCs w:val="21"/>
              </w:rPr>
              <w:t xml:space="preserve">#</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Job Name</w:t>
            </w:r>
          </w:p>
        </w:tc>
        <w:tc>
          <w:tcPr>
            <w:tcW w:type="pct" w:w="45%"/>
            <w:shd w:fill="1A2332" w:val="clear"/>
            <w:tcMar>
              <w:top w:type="dxa" w:w="40"/>
              <w:left w:type="dxa" w:w="80"/>
              <w:bottom w:type="dxa" w:w="40"/>
              <w:right w:type="dxa" w:w="80"/>
            </w:tcMar>
          </w:tcPr>
          <w:p>
            <w:pPr>
              <w:jc w:val="center"/>
            </w:pPr>
            <w:r>
              <w:rPr>
                <w:rFonts w:ascii="Calibri"/>
                <w:b/>
                <w:bCs/>
                <w:color w:val="FFFFFF"/>
                <w:sz w:val="21"/>
                <w:szCs w:val="21"/>
              </w:rPr>
              <w:t xml:space="preserve">Command</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CI Match</w:t>
            </w:r>
          </w:p>
        </w:tc>
        <w:tc>
          <w:tcPr>
            <w:tcW w:type="pct" w:w="15%"/>
            <w:shd w:fill="1A2332" w:val="clear"/>
            <w:tcMar>
              <w:top w:type="dxa" w:w="40"/>
              <w:left w:type="dxa" w:w="80"/>
              <w:bottom w:type="dxa" w:w="40"/>
              <w:right w:type="dxa" w:w="80"/>
            </w:tcMar>
          </w:tcPr>
          <w:p>
            <w:pPr>
              <w:jc w:val="center"/>
            </w:pPr>
            <w:r>
              <w:rPr>
                <w:rFonts w:ascii="Calibri"/>
                <w:b/>
                <w:bCs/>
                <w:color w:val="FFFFFF"/>
                <w:sz w:val="21"/>
                <w:szCs w:val="21"/>
              </w:rPr>
              <w:t xml:space="preserve">Status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1</w:t>
            </w:r>
          </w:p>
        </w:tc>
        <w:tc>
          <w:tcPr>
            <w:tcW w:type="pct" w:w="20%"/>
            <w:tcMar>
              <w:top w:type="dxa" w:w="40"/>
              <w:left w:type="dxa" w:w="80"/>
              <w:bottom w:type="dxa" w:w="40"/>
              <w:right w:type="dxa" w:w="80"/>
            </w:tcMar>
          </w:tcPr>
          <w:p>
            <w:r>
              <w:rPr>
                <w:rFonts w:ascii="Calibri" w:eastAsia="Microsoft YaHei"/>
                <w:color w:val="182030"/>
                <w:sz w:val="21"/>
                <w:szCs w:val="21"/>
              </w:rPr>
              <w:t xml:space="preserve">Security Gate</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vitest.security.config.ts + 8 static checks</w:t>
            </w:r>
          </w:p>
        </w:tc>
        <w:tc>
          <w:tcPr>
            <w:tcW w:type="pct" w:w="15%"/>
            <w:tcMar>
              <w:top w:type="dxa" w:w="40"/>
              <w:left w:type="dxa" w:w="80"/>
              <w:bottom w:type="dxa" w:w="40"/>
              <w:right w:type="dxa" w:w="80"/>
            </w:tcMar>
          </w:tcPr>
          <w:p>
            <w:r>
              <w:rPr>
                <w:rFonts w:ascii="Calibri" w:eastAsia="Microsoft YaHei"/>
                <w:color w:val="182030"/>
                <w:sz w:val="21"/>
                <w:szCs w:val="21"/>
              </w:rPr>
              <w:t xml:space="preserve">ci.yml job 1</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2</w:t>
            </w:r>
          </w:p>
        </w:tc>
        <w:tc>
          <w:tcPr>
            <w:tcW w:type="pct" w:w="20%"/>
            <w:tcMar>
              <w:top w:type="dxa" w:w="40"/>
              <w:left w:type="dxa" w:w="80"/>
              <w:bottom w:type="dxa" w:w="40"/>
              <w:right w:type="dxa" w:w="80"/>
            </w:tcMar>
          </w:tcPr>
          <w:p>
            <w:r>
              <w:rPr>
                <w:rFonts w:ascii="Calibri" w:eastAsia="Microsoft YaHei"/>
                <w:color w:val="182030"/>
                <w:sz w:val="21"/>
                <w:szCs w:val="21"/>
              </w:rPr>
              <w:t xml:space="preserve">Dependency Audit</w:t>
            </w:r>
          </w:p>
        </w:tc>
        <w:tc>
          <w:tcPr>
            <w:tcW w:type="pct" w:w="45%"/>
            <w:tcMar>
              <w:top w:type="dxa" w:w="40"/>
              <w:left w:type="dxa" w:w="80"/>
              <w:bottom w:type="dxa" w:w="40"/>
              <w:right w:type="dxa" w:w="80"/>
            </w:tcMar>
          </w:tcPr>
          <w:p>
            <w:r>
              <w:rPr>
                <w:rFonts w:ascii="Calibri" w:eastAsia="Microsoft YaHei"/>
                <w:color w:val="182030"/>
                <w:sz w:val="21"/>
                <w:szCs w:val="21"/>
              </w:rPr>
              <w:t xml:space="preserve">node scripts/dependency-audit-ci.js</w:t>
            </w:r>
          </w:p>
        </w:tc>
        <w:tc>
          <w:tcPr>
            <w:tcW w:type="pct" w:w="15%"/>
            <w:tcMar>
              <w:top w:type="dxa" w:w="40"/>
              <w:left w:type="dxa" w:w="80"/>
              <w:bottom w:type="dxa" w:w="40"/>
              <w:right w:type="dxa" w:w="80"/>
            </w:tcMar>
          </w:tcPr>
          <w:p>
            <w:r>
              <w:rPr>
                <w:rFonts w:ascii="Calibri" w:eastAsia="Microsoft YaHei"/>
                <w:color w:val="182030"/>
                <w:sz w:val="21"/>
                <w:szCs w:val="21"/>
              </w:rPr>
              <w:t xml:space="preserve">ci.yml job 2</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3</w:t>
            </w:r>
          </w:p>
        </w:tc>
        <w:tc>
          <w:tcPr>
            <w:tcW w:type="pct" w:w="20%"/>
            <w:tcMar>
              <w:top w:type="dxa" w:w="40"/>
              <w:left w:type="dxa" w:w="80"/>
              <w:bottom w:type="dxa" w:w="40"/>
              <w:right w:type="dxa" w:w="80"/>
            </w:tcMar>
          </w:tcPr>
          <w:p>
            <w:r>
              <w:rPr>
                <w:rFonts w:ascii="Calibri" w:eastAsia="Microsoft YaHei"/>
                <w:color w:val="182030"/>
                <w:sz w:val="21"/>
                <w:szCs w:val="21"/>
              </w:rPr>
              <w:t xml:space="preserve">API Security Contract</w:t>
            </w:r>
          </w:p>
        </w:tc>
        <w:tc>
          <w:tcPr>
            <w:tcW w:type="pct" w:w="45%"/>
            <w:tcMar>
              <w:top w:type="dxa" w:w="40"/>
              <w:left w:type="dxa" w:w="80"/>
              <w:bottom w:type="dxa" w:w="40"/>
              <w:right w:type="dxa" w:w="80"/>
            </w:tcMar>
          </w:tcPr>
          <w:p>
            <w:r>
              <w:rPr>
                <w:rFonts w:ascii="Calibri" w:eastAsia="Microsoft YaHei"/>
                <w:color w:val="182030"/>
                <w:sz w:val="21"/>
                <w:szCs w:val="21"/>
              </w:rPr>
              <w:t xml:space="preserve">node scripts/api-security-scan.js</w:t>
            </w:r>
          </w:p>
        </w:tc>
        <w:tc>
          <w:tcPr>
            <w:tcW w:type="pct" w:w="15%"/>
            <w:tcMar>
              <w:top w:type="dxa" w:w="40"/>
              <w:left w:type="dxa" w:w="80"/>
              <w:bottom w:type="dxa" w:w="40"/>
              <w:right w:type="dxa" w:w="80"/>
            </w:tcMar>
          </w:tcPr>
          <w:p>
            <w:r>
              <w:rPr>
                <w:rFonts w:ascii="Calibri" w:eastAsia="Microsoft YaHei"/>
                <w:color w:val="182030"/>
                <w:sz w:val="21"/>
                <w:szCs w:val="21"/>
              </w:rPr>
              <w:t xml:space="preserve">ci.yml job 3</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4</w:t>
            </w:r>
          </w:p>
        </w:tc>
        <w:tc>
          <w:tcPr>
            <w:tcW w:type="pct" w:w="20%"/>
            <w:tcMar>
              <w:top w:type="dxa" w:w="40"/>
              <w:left w:type="dxa" w:w="80"/>
              <w:bottom w:type="dxa" w:w="40"/>
              <w:right w:type="dxa" w:w="80"/>
            </w:tcMar>
          </w:tcPr>
          <w:p>
            <w:r>
              <w:rPr>
                <w:rFonts w:ascii="Calibri" w:eastAsia="Microsoft YaHei"/>
                <w:color w:val="182030"/>
                <w:sz w:val="21"/>
                <w:szCs w:val="21"/>
              </w:rPr>
              <w:t xml:space="preserve">Path Check</w:t>
            </w:r>
          </w:p>
        </w:tc>
        <w:tc>
          <w:tcPr>
            <w:tcW w:type="pct" w:w="45%"/>
            <w:tcMar>
              <w:top w:type="dxa" w:w="40"/>
              <w:left w:type="dxa" w:w="80"/>
              <w:bottom w:type="dxa" w:w="40"/>
              <w:right w:type="dxa" w:w="80"/>
            </w:tcMar>
          </w:tcPr>
          <w:p>
            <w:r>
              <w:rPr>
                <w:rFonts w:ascii="Calibri" w:eastAsia="Microsoft YaHei"/>
                <w:color w:val="182030"/>
                <w:sz w:val="21"/>
                <w:szCs w:val="21"/>
              </w:rPr>
              <w:t xml:space="preserve">node scripts/no-hardcoded-paths.js</w:t>
            </w:r>
          </w:p>
        </w:tc>
        <w:tc>
          <w:tcPr>
            <w:tcW w:type="pct" w:w="15%"/>
            <w:tcMar>
              <w:top w:type="dxa" w:w="40"/>
              <w:left w:type="dxa" w:w="80"/>
              <w:bottom w:type="dxa" w:w="40"/>
              <w:right w:type="dxa" w:w="80"/>
            </w:tcMar>
          </w:tcPr>
          <w:p>
            <w:r>
              <w:rPr>
                <w:rFonts w:ascii="Calibri" w:eastAsia="Microsoft YaHei"/>
                <w:color w:val="182030"/>
                <w:sz w:val="21"/>
                <w:szCs w:val="21"/>
              </w:rPr>
              <w:t xml:space="preserve">ci.yml job 4</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5</w:t>
            </w:r>
          </w:p>
        </w:tc>
        <w:tc>
          <w:tcPr>
            <w:tcW w:type="pct" w:w="20%"/>
            <w:tcMar>
              <w:top w:type="dxa" w:w="40"/>
              <w:left w:type="dxa" w:w="80"/>
              <w:bottom w:type="dxa" w:w="40"/>
              <w:right w:type="dxa" w:w="80"/>
            </w:tcMar>
          </w:tcPr>
          <w:p>
            <w:r>
              <w:rPr>
                <w:rFonts w:ascii="Calibri" w:eastAsia="Microsoft YaHei"/>
                <w:color w:val="182030"/>
                <w:sz w:val="21"/>
                <w:szCs w:val="21"/>
              </w:rPr>
              <w:t xml:space="preserve">Lint + Typecheck</w:t>
            </w:r>
          </w:p>
        </w:tc>
        <w:tc>
          <w:tcPr>
            <w:tcW w:type="pct" w:w="45%"/>
            <w:tcMar>
              <w:top w:type="dxa" w:w="40"/>
              <w:left w:type="dxa" w:w="80"/>
              <w:bottom w:type="dxa" w:w="40"/>
              <w:right w:type="dxa" w:w="80"/>
            </w:tcMar>
          </w:tcPr>
          <w:p>
            <w:r>
              <w:rPr>
                <w:rFonts w:ascii="Calibri" w:eastAsia="Microsoft YaHei"/>
                <w:color w:val="182030"/>
                <w:sz w:val="21"/>
                <w:szCs w:val="21"/>
              </w:rPr>
              <w:t xml:space="preserve">npm run lint &amp;&amp; npx tsc --noEmit</w:t>
            </w:r>
          </w:p>
        </w:tc>
        <w:tc>
          <w:tcPr>
            <w:tcW w:type="pct" w:w="15%"/>
            <w:tcMar>
              <w:top w:type="dxa" w:w="40"/>
              <w:left w:type="dxa" w:w="80"/>
              <w:bottom w:type="dxa" w:w="40"/>
              <w:right w:type="dxa" w:w="80"/>
            </w:tcMar>
          </w:tcPr>
          <w:p>
            <w:r>
              <w:rPr>
                <w:rFonts w:ascii="Calibri" w:eastAsia="Microsoft YaHei"/>
                <w:color w:val="182030"/>
                <w:sz w:val="21"/>
                <w:szCs w:val="21"/>
              </w:rPr>
              <w:t xml:space="preserve">ci.yml job 5</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6</w:t>
            </w:r>
          </w:p>
        </w:tc>
        <w:tc>
          <w:tcPr>
            <w:tcW w:type="pct" w:w="20%"/>
            <w:tcMar>
              <w:top w:type="dxa" w:w="40"/>
              <w:left w:type="dxa" w:w="80"/>
              <w:bottom w:type="dxa" w:w="40"/>
              <w:right w:type="dxa" w:w="80"/>
            </w:tcMar>
          </w:tcPr>
          <w:p>
            <w:r>
              <w:rPr>
                <w:rFonts w:ascii="Calibri" w:eastAsia="Microsoft YaHei"/>
                <w:color w:val="182030"/>
                <w:sz w:val="21"/>
                <w:szCs w:val="21"/>
              </w:rPr>
              <w:t xml:space="preserve">Unit Tests</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vitest.unit.config.ts</w:t>
            </w:r>
          </w:p>
        </w:tc>
        <w:tc>
          <w:tcPr>
            <w:tcW w:type="pct" w:w="15%"/>
            <w:tcMar>
              <w:top w:type="dxa" w:w="40"/>
              <w:left w:type="dxa" w:w="80"/>
              <w:bottom w:type="dxa" w:w="40"/>
              <w:right w:type="dxa" w:w="80"/>
            </w:tcMar>
          </w:tcPr>
          <w:p>
            <w:r>
              <w:rPr>
                <w:rFonts w:ascii="Calibri" w:eastAsia="Microsoft YaHei"/>
                <w:color w:val="182030"/>
                <w:sz w:val="21"/>
                <w:szCs w:val="21"/>
              </w:rPr>
              <w:t xml:space="preserve">ci.yml job 6</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7</w:t>
            </w:r>
          </w:p>
        </w:tc>
        <w:tc>
          <w:tcPr>
            <w:tcW w:type="pct" w:w="20%"/>
            <w:tcMar>
              <w:top w:type="dxa" w:w="40"/>
              <w:left w:type="dxa" w:w="80"/>
              <w:bottom w:type="dxa" w:w="40"/>
              <w:right w:type="dxa" w:w="80"/>
            </w:tcMar>
          </w:tcPr>
          <w:p>
            <w:r>
              <w:rPr>
                <w:rFonts w:ascii="Calibri" w:eastAsia="Microsoft YaHei"/>
                <w:color w:val="182030"/>
                <w:sz w:val="21"/>
                <w:szCs w:val="21"/>
              </w:rPr>
              <w:t xml:space="preserve">Security Tests</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vitest.security.config.ts</w:t>
            </w:r>
          </w:p>
        </w:tc>
        <w:tc>
          <w:tcPr>
            <w:tcW w:type="pct" w:w="15%"/>
            <w:tcMar>
              <w:top w:type="dxa" w:w="40"/>
              <w:left w:type="dxa" w:w="80"/>
              <w:bottom w:type="dxa" w:w="40"/>
              <w:right w:type="dxa" w:w="80"/>
            </w:tcMar>
          </w:tcPr>
          <w:p>
            <w:r>
              <w:rPr>
                <w:rFonts w:ascii="Calibri" w:eastAsia="Microsoft YaHei"/>
                <w:color w:val="182030"/>
                <w:sz w:val="21"/>
                <w:szCs w:val="21"/>
              </w:rPr>
              <w:t xml:space="preserve">ci.yml job 7</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8</w:t>
            </w:r>
          </w:p>
        </w:tc>
        <w:tc>
          <w:tcPr>
            <w:tcW w:type="pct" w:w="20%"/>
            <w:tcMar>
              <w:top w:type="dxa" w:w="40"/>
              <w:left w:type="dxa" w:w="80"/>
              <w:bottom w:type="dxa" w:w="40"/>
              <w:right w:type="dxa" w:w="80"/>
            </w:tcMar>
          </w:tcPr>
          <w:p>
            <w:r>
              <w:rPr>
                <w:rFonts w:ascii="Calibri" w:eastAsia="Microsoft YaHei"/>
                <w:color w:val="182030"/>
                <w:sz w:val="21"/>
                <w:szCs w:val="21"/>
              </w:rPr>
              <w:t xml:space="preserve">API Tests</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vitest.api.config.ts</w:t>
            </w:r>
          </w:p>
        </w:tc>
        <w:tc>
          <w:tcPr>
            <w:tcW w:type="pct" w:w="15%"/>
            <w:tcMar>
              <w:top w:type="dxa" w:w="40"/>
              <w:left w:type="dxa" w:w="80"/>
              <w:bottom w:type="dxa" w:w="40"/>
              <w:right w:type="dxa" w:w="80"/>
            </w:tcMar>
          </w:tcPr>
          <w:p>
            <w:r>
              <w:rPr>
                <w:rFonts w:ascii="Calibri" w:eastAsia="Microsoft YaHei"/>
                <w:color w:val="182030"/>
                <w:sz w:val="21"/>
                <w:szCs w:val="21"/>
              </w:rPr>
              <w:t xml:space="preserve">ci.yml job 8</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9</w:t>
            </w:r>
          </w:p>
        </w:tc>
        <w:tc>
          <w:tcPr>
            <w:tcW w:type="pct" w:w="20%"/>
            <w:tcMar>
              <w:top w:type="dxa" w:w="40"/>
              <w:left w:type="dxa" w:w="80"/>
              <w:bottom w:type="dxa" w:w="40"/>
              <w:right w:type="dxa" w:w="80"/>
            </w:tcMar>
          </w:tcPr>
          <w:p>
            <w:r>
              <w:rPr>
                <w:rFonts w:ascii="Calibri" w:eastAsia="Microsoft YaHei"/>
                <w:color w:val="182030"/>
                <w:sz w:val="21"/>
                <w:szCs w:val="21"/>
              </w:rPr>
              <w:t xml:space="preserve">Database Tests</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vitest.database.config.ts</w:t>
            </w:r>
          </w:p>
        </w:tc>
        <w:tc>
          <w:tcPr>
            <w:tcW w:type="pct" w:w="15%"/>
            <w:tcMar>
              <w:top w:type="dxa" w:w="40"/>
              <w:left w:type="dxa" w:w="80"/>
              <w:bottom w:type="dxa" w:w="40"/>
              <w:right w:type="dxa" w:w="80"/>
            </w:tcMar>
          </w:tcPr>
          <w:p>
            <w:r>
              <w:rPr>
                <w:rFonts w:ascii="Calibri" w:eastAsia="Microsoft YaHei"/>
                <w:color w:val="182030"/>
                <w:sz w:val="21"/>
                <w:szCs w:val="21"/>
              </w:rPr>
              <w:t xml:space="preserve">ci.yml job 9</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10</w:t>
            </w:r>
          </w:p>
        </w:tc>
        <w:tc>
          <w:tcPr>
            <w:tcW w:type="pct" w:w="20%"/>
            <w:tcMar>
              <w:top w:type="dxa" w:w="40"/>
              <w:left w:type="dxa" w:w="80"/>
              <w:bottom w:type="dxa" w:w="40"/>
              <w:right w:type="dxa" w:w="80"/>
            </w:tcMar>
          </w:tcPr>
          <w:p>
            <w:r>
              <w:rPr>
                <w:rFonts w:ascii="Calibri" w:eastAsia="Microsoft YaHei"/>
                <w:color w:val="182030"/>
                <w:sz w:val="21"/>
                <w:szCs w:val="21"/>
              </w:rPr>
              <w:t xml:space="preserve">Integration Tests</w:t>
            </w:r>
          </w:p>
        </w:tc>
        <w:tc>
          <w:tcPr>
            <w:tcW w:type="pct" w:w="45%"/>
            <w:tcMar>
              <w:top w:type="dxa" w:w="40"/>
              <w:left w:type="dxa" w:w="80"/>
              <w:bottom w:type="dxa" w:w="40"/>
              <w:right w:type="dxa" w:w="80"/>
            </w:tcMar>
          </w:tcPr>
          <w:p>
            <w:r>
              <w:rPr>
                <w:rFonts w:ascii="Calibri" w:eastAsia="Microsoft YaHei"/>
                <w:color w:val="182030"/>
                <w:sz w:val="21"/>
                <w:szCs w:val="21"/>
              </w:rPr>
              <w:t xml:space="preserve">vitest run --config vitest.integration.config.ts</w:t>
            </w:r>
          </w:p>
        </w:tc>
        <w:tc>
          <w:tcPr>
            <w:tcW w:type="pct" w:w="15%"/>
            <w:tcMar>
              <w:top w:type="dxa" w:w="40"/>
              <w:left w:type="dxa" w:w="80"/>
              <w:bottom w:type="dxa" w:w="40"/>
              <w:right w:type="dxa" w:w="80"/>
            </w:tcMar>
          </w:tcPr>
          <w:p>
            <w:r>
              <w:rPr>
                <w:rFonts w:ascii="Calibri" w:eastAsia="Microsoft YaHei"/>
                <w:color w:val="182030"/>
                <w:sz w:val="21"/>
                <w:szCs w:val="21"/>
              </w:rPr>
              <w:t xml:space="preserve">ci.yml job 10</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11</w:t>
            </w:r>
          </w:p>
        </w:tc>
        <w:tc>
          <w:tcPr>
            <w:tcW w:type="pct" w:w="20%"/>
            <w:tcMar>
              <w:top w:type="dxa" w:w="40"/>
              <w:left w:type="dxa" w:w="80"/>
              <w:bottom w:type="dxa" w:w="40"/>
              <w:right w:type="dxa" w:w="80"/>
            </w:tcMar>
          </w:tcPr>
          <w:p>
            <w:r>
              <w:rPr>
                <w:rFonts w:ascii="Calibri" w:eastAsia="Microsoft YaHei"/>
                <w:color w:val="182030"/>
                <w:sz w:val="21"/>
                <w:szCs w:val="21"/>
              </w:rPr>
              <w:t xml:space="preserve">Build Verification</w:t>
            </w:r>
          </w:p>
        </w:tc>
        <w:tc>
          <w:tcPr>
            <w:tcW w:type="pct" w:w="45%"/>
            <w:tcMar>
              <w:top w:type="dxa" w:w="40"/>
              <w:left w:type="dxa" w:w="80"/>
              <w:bottom w:type="dxa" w:w="40"/>
              <w:right w:type="dxa" w:w="80"/>
            </w:tcMar>
          </w:tcPr>
          <w:p>
            <w:r>
              <w:rPr>
                <w:rFonts w:ascii="Calibri" w:eastAsia="Microsoft YaHei"/>
                <w:color w:val="182030"/>
                <w:sz w:val="21"/>
                <w:szCs w:val="21"/>
              </w:rPr>
              <w:t xml:space="preserve">npm run build:vercel</w:t>
            </w:r>
          </w:p>
        </w:tc>
        <w:tc>
          <w:tcPr>
            <w:tcW w:type="pct" w:w="15%"/>
            <w:tcMar>
              <w:top w:type="dxa" w:w="40"/>
              <w:left w:type="dxa" w:w="80"/>
              <w:bottom w:type="dxa" w:w="40"/>
              <w:right w:type="dxa" w:w="80"/>
            </w:tcMar>
          </w:tcPr>
          <w:p>
            <w:r>
              <w:rPr>
                <w:rFonts w:ascii="Calibri" w:eastAsia="Microsoft YaHei"/>
                <w:color w:val="182030"/>
                <w:sz w:val="21"/>
                <w:szCs w:val="21"/>
              </w:rPr>
              <w:t xml:space="preserve">ci.yml job 11</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bl>
    <w:p>
      <w:pPr>
        <w:spacing w:after="40"/>
      </w:pPr>
    </w:p>
    <w:p>
      <w:pPr>
        <w:spacing w:after="80" w:line="312"/>
        <w:ind w:firstLine="480"/>
        <w:jc w:val="both"/>
      </w:pPr>
      <w:r>
        <w:rPr>
          <w:rFonts w:ascii="Calibri" w:eastAsia="Microsoft YaHei"/>
          <w:color w:val="182030"/>
          <w:sz w:val="24"/>
          <w:szCs w:val="24"/>
        </w:rPr>
        <w:t xml:space="preserve">Verification completed on 2026-08-05. All eleven blocking jobs executed successfully with zero failures. The job-to-CI mapping was validated against the GitHub Actions workflow definition, confirming command-level parity.</w:t>
      </w:r>
    </w:p>
    <w:p>
      <w:pPr>
        <w:pStyle w:val="Heading2"/>
        <w:spacing w:after="120" w:before="280" w:line="312"/>
      </w:pPr>
      <w:bookmarkStart w:id="100004" w:name="_Toc100004"/>
      <w:r>
        <w:rPr>
          <w:rFonts w:ascii="Calibri" w:eastAsia="SimHei"/>
          <w:b/>
          <w:bCs/>
          <w:color w:val="101820"/>
          <w:sz w:val="28"/>
          <w:szCs w:val="28"/>
        </w:rPr>
        <w:t xml:space="preserve">3.2 Layer 2: Pre-Push Reliability Gate</w:t>
      </w:r>
      <w:bookmarkEnd w:id="100004"/>
    </w:p>
    <w:p>
      <w:pPr>
        <w:spacing w:after="80" w:line="312"/>
        <w:ind w:firstLine="480"/>
        <w:jc w:val="both"/>
      </w:pPr>
      <w:r>
        <w:rPr>
          <w:rFonts w:ascii="Calibri" w:eastAsia="Microsoft YaHei"/>
          <w:color w:val="182030"/>
          <w:sz w:val="24"/>
          <w:szCs w:val="24"/>
        </w:rPr>
        <w:t xml:space="preserve">The pre-push hook (`.husky/pre-push`) has been upgraded from running `npx vitest run` to executing `./scripts/ci-local.sh --quick`. This change is fundamental: previously, the pre-push hook validated only a single default Vitest configuration, which represented approximately one-tenth of the actual CI validation surface. The new hook runs all eleven blocking CI jobs, skipping only the build step for faster feedback, and blocks the push if any job fails.</w:t>
      </w:r>
    </w:p>
    <w:p>
      <w:pPr>
        <w:spacing w:after="80" w:line="312"/>
        <w:ind w:firstLine="480"/>
        <w:jc w:val="both"/>
      </w:pPr>
      <w:r>
        <w:rPr>
          <w:rFonts w:ascii="Calibri" w:eastAsia="Microsoft YaHei"/>
          <w:color w:val="182030"/>
          <w:sz w:val="24"/>
          <w:szCs w:val="24"/>
        </w:rPr>
        <w:t xml:space="preserve">The hook outputs a structured pass/fail/skip report for each job, including elapsed time, so developers can immediately identify which validation layer failed. If the hook detects a failure, it displays the specific job that failed and directs the developer to run `./scripts/ci-local.sh` for detailed debugging output. The error message is intentionally clear and actionable, avoiding the vague feedback that characterized the previous bare `npx vitest run` approach.</w:t>
      </w:r>
    </w:p>
    <w:p>
      <w:pPr>
        <w:spacing w:after="80" w:line="312"/>
        <w:ind w:firstLine="480"/>
        <w:jc w:val="both"/>
      </w:pPr>
      <w:r>
        <w:rPr>
          <w:rFonts w:ascii="Calibri" w:eastAsia="Microsoft YaHei"/>
          <w:color w:val="182030"/>
          <w:sz w:val="24"/>
          <w:szCs w:val="24"/>
        </w:rPr>
        <w:t xml:space="preserve">This change eliminates the class of bugs where developers push code that passes a minimal local test but fails comprehensive CI validation. The pre-push gate is now a reliable first line of defense, catching environment drift, configuration mismatches, and test failures before they reach the GitHub Actions infrastructure.</w:t>
      </w:r>
    </w:p>
    <w:p>
      <w:pPr>
        <w:pStyle w:val="Heading2"/>
        <w:spacing w:after="120" w:before="280" w:line="312"/>
      </w:pPr>
      <w:bookmarkStart w:id="100005" w:name="_Toc100005"/>
      <w:r>
        <w:rPr>
          <w:rFonts w:ascii="Calibri" w:eastAsia="SimHei"/>
          <w:b/>
          <w:bCs/>
          <w:color w:val="101820"/>
          <w:sz w:val="28"/>
          <w:szCs w:val="28"/>
        </w:rPr>
        <w:t xml:space="preserve">3.3 Layer 3: Three-Layer Environment Drift Protection</w:t>
      </w:r>
      <w:bookmarkEnd w:id="100005"/>
    </w:p>
    <w:p>
      <w:pPr>
        <w:spacing w:after="80" w:line="312"/>
        <w:ind w:firstLine="480"/>
        <w:jc w:val="both"/>
      </w:pPr>
      <w:r>
        <w:rPr>
          <w:rFonts w:ascii="Calibri" w:eastAsia="Microsoft YaHei"/>
          <w:color w:val="182030"/>
          <w:sz w:val="24"/>
          <w:szCs w:val="24"/>
        </w:rPr>
        <w:t xml:space="preserve">Environment drift, the introduction of machine-specific paths and configurations that work on one developer's workstation but fail on CI runners or production servers, is addressed through a three-layer protection system. Each layer provides independent detection, ensuring that even if one layer is bypassed, the remaining layers will catch the violation.</w:t>
      </w:r>
    </w:p>
    <w:p>
      <w:pPr>
        <w:pStyle w:val="Heading3"/>
        <w:spacing w:after="100" w:before="200" w:line="312"/>
      </w:pPr>
      <w:bookmarkStart w:id="100006" w:name="_Toc100006"/>
      <w:r>
        <w:rPr>
          <w:rFonts w:ascii="Calibri" w:eastAsia="SimHei"/>
          <w:b/>
          <w:bCs/>
          <w:color w:val="506070"/>
          <w:sz w:val="24"/>
          <w:szCs w:val="24"/>
        </w:rPr>
        <w:t xml:space="preserve">Layer 1: ESLint Static Analysis</w:t>
      </w:r>
      <w:bookmarkEnd w:id="100006"/>
    </w:p>
    <w:p>
      <w:pPr>
        <w:spacing w:after="80" w:line="312"/>
        <w:ind w:firstLine="480"/>
        <w:jc w:val="both"/>
      </w:pPr>
      <w:r>
        <w:rPr>
          <w:rFonts w:ascii="Calibri" w:eastAsia="Microsoft YaHei"/>
          <w:color w:val="182030"/>
          <w:sz w:val="24"/>
          <w:szCs w:val="24"/>
        </w:rPr>
        <w:t xml:space="preserve">The custom ESLint rule (`eslint-rules/no-hardcoded-env-paths.js`) operates at development time, flagging hardcoded paths as the developer writes code. The rule scans for patterns including `/home/z/`, `/home/runner/`, `/Users/`, and `/private/` in source files, test files, and configuration files. It is registered as an error-level rule in `eslint.config.mjs`, meaning violations will block the CI lint-and-typecheck job.</w:t>
      </w:r>
    </w:p>
    <w:p>
      <w:pPr>
        <w:pStyle w:val="Heading3"/>
        <w:spacing w:after="100" w:before="200" w:line="312"/>
      </w:pPr>
      <w:bookmarkStart w:id="100007" w:name="_Toc100007"/>
      <w:r>
        <w:rPr>
          <w:rFonts w:ascii="Calibri" w:eastAsia="SimHei"/>
          <w:b/>
          <w:bCs/>
          <w:color w:val="506070"/>
          <w:sz w:val="24"/>
          <w:szCs w:val="24"/>
        </w:rPr>
        <w:t xml:space="preserve">Layer 2: ci-local.sh Scanner</w:t>
      </w:r>
      <w:bookmarkEnd w:id="100007"/>
    </w:p>
    <w:p>
      <w:pPr>
        <w:spacing w:after="80" w:line="312"/>
        <w:ind w:firstLine="480"/>
        <w:jc w:val="both"/>
      </w:pPr>
      <w:r>
        <w:rPr>
          <w:rFonts w:ascii="Calibri" w:eastAsia="Microsoft YaHei"/>
          <w:color w:val="182030"/>
          <w:sz w:val="24"/>
          <w:szCs w:val="24"/>
        </w:rPr>
        <w:t xml:space="preserve">The path scanner within `scripts/ci-local.sh` performs a separate runtime scan using `scripts/no-hardcoded-paths.js`. This script walks through `tests/`, `src/`, and `.github/` directories, searching for the same blocked path patterns. The scanner runs as an independent CI job (`ci-path-check`) in GitHub Actions, providing a second validation opportunity that is not dependent on the ESLint configuration.</w:t>
      </w:r>
    </w:p>
    <w:p>
      <w:pPr>
        <w:pStyle w:val="Heading3"/>
        <w:spacing w:after="100" w:before="200" w:line="312"/>
      </w:pPr>
      <w:bookmarkStart w:id="100008" w:name="_Toc100008"/>
      <w:r>
        <w:rPr>
          <w:rFonts w:ascii="Calibri" w:eastAsia="SimHei"/>
          <w:b/>
          <w:bCs/>
          <w:color w:val="506070"/>
          <w:sz w:val="24"/>
          <w:szCs w:val="24"/>
        </w:rPr>
        <w:t xml:space="preserve">Layer 3: GitHub Actions Validation</w:t>
      </w:r>
      <w:bookmarkEnd w:id="100008"/>
    </w:p>
    <w:p>
      <w:pPr>
        <w:spacing w:after="80" w:line="312"/>
        <w:ind w:firstLine="480"/>
        <w:jc w:val="both"/>
      </w:pPr>
      <w:r>
        <w:rPr>
          <w:rFonts w:ascii="Calibri" w:eastAsia="Microsoft YaHei"/>
          <w:color w:val="182030"/>
          <w:sz w:val="24"/>
          <w:szCs w:val="24"/>
        </w:rPr>
        <w:t xml:space="preserve">The `ci-path-check` job in `.github/workflows/ci.yml` provides the final validation layer. Running as a blocking job with a three-minute timeout, it executes `node scripts/no-hardcoded-paths.js` on the GitHub runner, ensuring that any paths that might have slipped past local validation are caught before the CI pipeline can succeed.</w:t>
      </w:r>
    </w:p>
    <w:p>
      <w:pPr>
        <w:keepNext/>
        <w:spacing w:after="80" w:before="200" w:line="312"/>
      </w:pPr>
      <w:r>
        <w:rPr>
          <w:rFonts w:ascii="Calibri" w:eastAsia="SimHei"/>
          <w:b/>
          <w:bCs/>
          <w:color w:val="506070"/>
          <w:sz w:val="21"/>
          <w:szCs w:val="21"/>
        </w:rPr>
        <w:t xml:space="preserve">Table 2: Three-Layer Protection Verification</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Layer</w:t>
            </w:r>
          </w:p>
        </w:tc>
        <w:tc>
          <w:tcPr>
            <w:tcW w:type="pct" w:w="30%"/>
            <w:shd w:fill="1A2332" w:val="clear"/>
            <w:tcMar>
              <w:top w:type="dxa" w:w="40"/>
              <w:left w:type="dxa" w:w="80"/>
              <w:bottom w:type="dxa" w:w="40"/>
              <w:right w:type="dxa" w:w="80"/>
            </w:tcMar>
          </w:tcPr>
          <w:p>
            <w:pPr>
              <w:jc w:val="center"/>
            </w:pPr>
            <w:r>
              <w:rPr>
                <w:rFonts w:ascii="Calibri"/>
                <w:b/>
                <w:bCs/>
                <w:color w:val="FFFFFF"/>
                <w:sz w:val="21"/>
                <w:szCs w:val="21"/>
              </w:rPr>
              <w:t xml:space="preserve">Mechanism</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Blocking</w:t>
            </w:r>
          </w:p>
        </w:tc>
        <w:tc>
          <w:tcPr>
            <w:tcW w:type="pct" w:w="30%"/>
            <w:shd w:fill="1A2332" w:val="clear"/>
            <w:tcMar>
              <w:top w:type="dxa" w:w="40"/>
              <w:left w:type="dxa" w:w="80"/>
              <w:bottom w:type="dxa" w:w="40"/>
              <w:right w:type="dxa" w:w="80"/>
            </w:tcMar>
          </w:tcPr>
          <w:p>
            <w:pPr>
              <w:jc w:val="center"/>
            </w:pPr>
            <w:r>
              <w:rPr>
                <w:rFonts w:ascii="Calibri"/>
                <w:b/>
                <w:bCs/>
                <w:color w:val="FFFFFF"/>
                <w:sz w:val="21"/>
                <w:szCs w:val="21"/>
              </w:rPr>
              <w:t xml:space="preserve">Test Evidence</w:t>
            </w:r>
          </w:p>
        </w:tc>
      </w:tr>
      <w:tr>
        <w:trPr>
          <w:cantSplit/>
        </w:trPr>
        <w:tc>
          <w:tcPr>
            <w:tcW w:type="pct" w:w="20%"/>
            <w:tcMar>
              <w:top w:type="dxa" w:w="40"/>
              <w:left w:type="dxa" w:w="80"/>
              <w:bottom w:type="dxa" w:w="40"/>
              <w:right w:type="dxa" w:w="80"/>
            </w:tcMar>
          </w:tcPr>
          <w:p>
            <w:r>
              <w:rPr>
                <w:rFonts w:ascii="Calibri" w:eastAsia="Microsoft YaHei"/>
                <w:color w:val="182030"/>
                <w:sz w:val="21"/>
                <w:szCs w:val="21"/>
              </w:rPr>
              <w:t xml:space="preserve">1 - ESLint</w:t>
            </w:r>
          </w:p>
        </w:tc>
        <w:tc>
          <w:tcPr>
            <w:tcW w:type="pct" w:w="30%"/>
            <w:tcMar>
              <w:top w:type="dxa" w:w="40"/>
              <w:left w:type="dxa" w:w="80"/>
              <w:bottom w:type="dxa" w:w="40"/>
              <w:right w:type="dxa" w:w="80"/>
            </w:tcMar>
          </w:tcPr>
          <w:p>
            <w:r>
              <w:rPr>
                <w:rFonts w:ascii="Calibri" w:eastAsia="Microsoft YaHei"/>
                <w:color w:val="182030"/>
                <w:sz w:val="21"/>
                <w:szCs w:val="21"/>
              </w:rPr>
              <w:t xml:space="preserve">no-hardcoded-env-paths.js rule</w:t>
            </w:r>
          </w:p>
        </w:tc>
        <w:tc>
          <w:tcPr>
            <w:tcW w:type="pct" w:w="20%"/>
            <w:tcMar>
              <w:top w:type="dxa" w:w="40"/>
              <w:left w:type="dxa" w:w="80"/>
              <w:bottom w:type="dxa" w:w="40"/>
              <w:right w:type="dxa" w:w="80"/>
            </w:tcMar>
          </w:tcPr>
          <w:p>
            <w:r>
              <w:rPr>
                <w:rFonts w:ascii="Calibri" w:eastAsia="Microsoft YaHei"/>
                <w:color w:val="182030"/>
                <w:sz w:val="21"/>
                <w:szCs w:val="21"/>
              </w:rPr>
              <w:t xml:space="preserve">Yes (lint job)</w:t>
            </w:r>
          </w:p>
        </w:tc>
        <w:tc>
          <w:tcPr>
            <w:tcW w:type="pct" w:w="12%"/>
            <w:tcMar>
              <w:top w:type="dxa" w:w="40"/>
              <w:left w:type="dxa" w:w="80"/>
              <w:bottom w:type="dxa" w:w="40"/>
              <w:right w:type="dxa" w:w="80"/>
            </w:tcMar>
          </w:tcPr>
          <w:p>
            <w:pPr>
              <w:jc w:val="center"/>
            </w:pPr>
            <w:r>
              <w:rPr>
                <w:rFonts w:ascii="Calibri"/>
                <w:b/>
                <w:bCs/>
                <w:color w:val="2D7D46"/>
                <w:sz w:val="21"/>
                <w:szCs w:val="21"/>
              </w:rPr>
              <w:t xml:space="preserve">VERIFIED</w:t>
            </w:r>
          </w:p>
        </w:tc>
      </w:tr>
      <w:tr>
        <w:trPr>
          <w:cantSplit/>
        </w:trPr>
        <w:tc>
          <w:tcPr>
            <w:tcW w:type="pct" w:w="20%"/>
            <w:tcMar>
              <w:top w:type="dxa" w:w="40"/>
              <w:left w:type="dxa" w:w="80"/>
              <w:bottom w:type="dxa" w:w="40"/>
              <w:right w:type="dxa" w:w="80"/>
            </w:tcMar>
          </w:tcPr>
          <w:p>
            <w:r>
              <w:rPr>
                <w:rFonts w:ascii="Calibri" w:eastAsia="Microsoft YaHei"/>
                <w:color w:val="182030"/>
                <w:sz w:val="21"/>
                <w:szCs w:val="21"/>
              </w:rPr>
              <w:t xml:space="preserve">2 - ci-local.sh</w:t>
            </w:r>
          </w:p>
        </w:tc>
        <w:tc>
          <w:tcPr>
            <w:tcW w:type="pct" w:w="30%"/>
            <w:tcMar>
              <w:top w:type="dxa" w:w="40"/>
              <w:left w:type="dxa" w:w="80"/>
              <w:bottom w:type="dxa" w:w="40"/>
              <w:right w:type="dxa" w:w="80"/>
            </w:tcMar>
          </w:tcPr>
          <w:p>
            <w:r>
              <w:rPr>
                <w:rFonts w:ascii="Calibri" w:eastAsia="Microsoft YaHei"/>
                <w:color w:val="182030"/>
                <w:sz w:val="21"/>
                <w:szCs w:val="21"/>
              </w:rPr>
              <w:t xml:space="preserve">no-hardcoded-paths.js scanner</w:t>
            </w:r>
          </w:p>
        </w:tc>
        <w:tc>
          <w:tcPr>
            <w:tcW w:type="pct" w:w="20%"/>
            <w:tcMar>
              <w:top w:type="dxa" w:w="40"/>
              <w:left w:type="dxa" w:w="80"/>
              <w:bottom w:type="dxa" w:w="40"/>
              <w:right w:type="dxa" w:w="80"/>
            </w:tcMar>
          </w:tcPr>
          <w:p>
            <w:r>
              <w:rPr>
                <w:rFonts w:ascii="Calibri" w:eastAsia="Microsoft YaHei"/>
                <w:color w:val="182030"/>
                <w:sz w:val="21"/>
                <w:szCs w:val="21"/>
              </w:rPr>
              <w:t xml:space="preserve">Yes (path check)</w:t>
            </w:r>
          </w:p>
        </w:tc>
        <w:tc>
          <w:tcPr>
            <w:tcW w:type="pct" w:w="12%"/>
            <w:tcMar>
              <w:top w:type="dxa" w:w="40"/>
              <w:left w:type="dxa" w:w="80"/>
              <w:bottom w:type="dxa" w:w="40"/>
              <w:right w:type="dxa" w:w="80"/>
            </w:tcMar>
          </w:tcPr>
          <w:p>
            <w:pPr>
              <w:jc w:val="center"/>
            </w:pPr>
            <w:r>
              <w:rPr>
                <w:rFonts w:ascii="Calibri"/>
                <w:b/>
                <w:bCs/>
                <w:color w:val="2D7D46"/>
                <w:sz w:val="21"/>
                <w:szCs w:val="21"/>
              </w:rPr>
              <w:t xml:space="preserve">VERIFIED</w:t>
            </w:r>
          </w:p>
        </w:tc>
      </w:tr>
      <w:tr>
        <w:trPr>
          <w:cantSplit/>
        </w:trPr>
        <w:tc>
          <w:tcPr>
            <w:tcW w:type="pct" w:w="20%"/>
            <w:tcMar>
              <w:top w:type="dxa" w:w="40"/>
              <w:left w:type="dxa" w:w="80"/>
              <w:bottom w:type="dxa" w:w="40"/>
              <w:right w:type="dxa" w:w="80"/>
            </w:tcMar>
          </w:tcPr>
          <w:p>
            <w:r>
              <w:rPr>
                <w:rFonts w:ascii="Calibri" w:eastAsia="Microsoft YaHei"/>
                <w:color w:val="182030"/>
                <w:sz w:val="21"/>
                <w:szCs w:val="21"/>
              </w:rPr>
              <w:t xml:space="preserve">3 - GitHub Actions</w:t>
            </w:r>
          </w:p>
        </w:tc>
        <w:tc>
          <w:tcPr>
            <w:tcW w:type="pct" w:w="30%"/>
            <w:tcMar>
              <w:top w:type="dxa" w:w="40"/>
              <w:left w:type="dxa" w:w="80"/>
              <w:bottom w:type="dxa" w:w="40"/>
              <w:right w:type="dxa" w:w="80"/>
            </w:tcMar>
          </w:tcPr>
          <w:p>
            <w:r>
              <w:rPr>
                <w:rFonts w:ascii="Calibri" w:eastAsia="Microsoft YaHei"/>
                <w:color w:val="182030"/>
                <w:sz w:val="21"/>
                <w:szCs w:val="21"/>
              </w:rPr>
              <w:t xml:space="preserve">ci-path-check job</w:t>
            </w:r>
          </w:p>
        </w:tc>
        <w:tc>
          <w:tcPr>
            <w:tcW w:type="pct" w:w="20%"/>
            <w:tcMar>
              <w:top w:type="dxa" w:w="40"/>
              <w:left w:type="dxa" w:w="80"/>
              <w:bottom w:type="dxa" w:w="40"/>
              <w:right w:type="dxa" w:w="80"/>
            </w:tcMar>
          </w:tcPr>
          <w:p>
            <w:r>
              <w:rPr>
                <w:rFonts w:ascii="Calibri" w:eastAsia="Microsoft YaHei"/>
                <w:color w:val="182030"/>
                <w:sz w:val="21"/>
                <w:szCs w:val="21"/>
              </w:rPr>
              <w:t xml:space="preserve">Yes (blocking)</w:t>
            </w:r>
          </w:p>
        </w:tc>
        <w:tc>
          <w:tcPr>
            <w:tcW w:type="pct" w:w="12%"/>
            <w:tcMar>
              <w:top w:type="dxa" w:w="40"/>
              <w:left w:type="dxa" w:w="80"/>
              <w:bottom w:type="dxa" w:w="40"/>
              <w:right w:type="dxa" w:w="80"/>
            </w:tcMar>
          </w:tcPr>
          <w:p>
            <w:pPr>
              <w:jc w:val="center"/>
            </w:pPr>
            <w:r>
              <w:rPr>
                <w:rFonts w:ascii="Calibri"/>
                <w:b/>
                <w:bCs/>
                <w:color w:val="2D7D46"/>
                <w:sz w:val="21"/>
                <w:szCs w:val="21"/>
              </w:rPr>
              <w:t xml:space="preserve">VERIFIED</w:t>
            </w:r>
          </w:p>
        </w:tc>
      </w:tr>
    </w:tbl>
    <w:p>
      <w:pPr>
        <w:pStyle w:val="Heading2"/>
        <w:spacing w:after="120" w:before="280" w:line="312"/>
      </w:pPr>
      <w:bookmarkStart w:id="100009" w:name="_Toc100009"/>
      <w:r>
        <w:rPr>
          <w:rFonts w:ascii="Calibri" w:eastAsia="SimHei"/>
          <w:b/>
          <w:bCs/>
          <w:color w:val="101820"/>
          <w:sz w:val="28"/>
          <w:szCs w:val="28"/>
        </w:rPr>
        <w:t xml:space="preserve">3.4 Layer 4: CI Failure Reproducibility</w:t>
      </w:r>
      <w:bookmarkEnd w:id="100009"/>
    </w:p>
    <w:p>
      <w:pPr>
        <w:spacing w:after="80" w:line="312"/>
        <w:ind w:firstLine="480"/>
        <w:jc w:val="both"/>
      </w:pPr>
      <w:r>
        <w:rPr>
          <w:rFonts w:ascii="Calibri" w:eastAsia="Microsoft YaHei"/>
          <w:color w:val="182030"/>
          <w:sz w:val="24"/>
          <w:szCs w:val="24"/>
        </w:rPr>
        <w:t xml:space="preserve">CI failure reproducibility was a core design objective. The local CI mirror uses the same Vitest configurations (`vitest.security.config.ts`, `vitest.unit.config.ts`, `vitest.api.config.ts`, `vitest.database.config.ts`, `vitest.integration.config.ts`) as GitHub Actions. It executes commands in the same sequence, with the same environment variables (`CI=true`, `NODE_OPTIONS=--max-old-space-size=2048`), and the same dependency audit and security scanning steps.</w:t>
      </w:r>
    </w:p>
    <w:p>
      <w:pPr>
        <w:spacing w:after="80" w:line="312"/>
        <w:ind w:firstLine="480"/>
        <w:jc w:val="both"/>
      </w:pPr>
      <w:r>
        <w:rPr>
          <w:rFonts w:ascii="Calibri" w:eastAsia="Microsoft YaHei"/>
          <w:color w:val="182030"/>
          <w:sz w:val="24"/>
          <w:szCs w:val="24"/>
        </w:rPr>
        <w:t xml:space="preserve">The pre-push hook further ensures reproducibility by blocking any push that would cause a CI failure. If the local CI mirror passes and the pre-push hook allows the push, the developer has strong confidence that CI will also pass. Any remaining discrepancies between local and CI environments (such as the absence of a local PostgreSQL instance for database-dependent jobs) are explicitly handled with graceful skip messages rather than silent pass/fail differences.</w:t>
      </w:r>
    </w:p>
    <w:p>
      <w:pPr>
        <w:pStyle w:val="Heading2"/>
        <w:spacing w:after="120" w:before="280" w:line="312"/>
      </w:pPr>
      <w:bookmarkStart w:id="100010" w:name="_Toc100010"/>
      <w:r>
        <w:rPr>
          <w:rFonts w:ascii="Calibri" w:eastAsia="SimHei"/>
          <w:b/>
          <w:bCs/>
          <w:color w:val="101820"/>
          <w:sz w:val="28"/>
          <w:szCs w:val="28"/>
        </w:rPr>
        <w:t xml:space="preserve">3.5 Layer 5: CI Reliability Documentation</w:t>
      </w:r>
      <w:bookmarkEnd w:id="100010"/>
    </w:p>
    <w:p>
      <w:pPr>
        <w:spacing w:after="80" w:line="312"/>
        <w:ind w:firstLine="480"/>
        <w:jc w:val="both"/>
      </w:pPr>
      <w:r>
        <w:rPr>
          <w:rFonts w:ascii="Calibri" w:eastAsia="Microsoft YaHei"/>
          <w:color w:val="182030"/>
          <w:sz w:val="24"/>
          <w:szCs w:val="24"/>
        </w:rPr>
        <w:t xml:space="preserve">The operational reference document (`docs/CI_RELIABILITY_GUIDE.md`, 231 lines) provides comprehensive guidance for the engineering team. It covers local versus GitHub runner differences, Node version requirements, database setup prerequisites, memory considerations (the CI environment requires `--max-old-space-size=2048`), timeout expectations for each job, the pre-push workflow, and a debugging guide for when CI fails locally but passes remotely or vice versa.</w:t>
      </w:r>
    </w:p>
    <w:p>
      <w:pPr>
        <w:spacing w:after="80" w:line="312"/>
        <w:ind w:firstLine="480"/>
        <w:jc w:val="both"/>
      </w:pPr>
      <w:r>
        <w:rPr>
          <w:rFonts w:ascii="Calibri" w:eastAsia="Microsoft YaHei"/>
          <w:color w:val="182030"/>
          <w:sz w:val="24"/>
          <w:szCs w:val="24"/>
        </w:rPr>
        <w:t xml:space="preserve">The document follows a practical structure that enables engineers to quickly find the information they need. The debugging workflow section provides decision trees for common failure scenarios, and the maintenance procedures section documents how to add new CI jobs to the local mirror script. This documentation ensures that the CI reliability foundation can be maintained and extended by any team member, not just the original implementer.</w:t>
      </w:r>
    </w:p>
    <w:p>
      <w:pPr>
        <w:pStyle w:val="Heading1"/>
        <w:spacing w:after="160" w:before="360" w:line="312"/>
      </w:pPr>
      <w:bookmarkStart w:id="100011" w:name="_Toc100011"/>
      <w:r>
        <w:rPr>
          <w:rFonts w:ascii="Calibri" w:eastAsia="SimHei"/>
          <w:b/>
          <w:bCs/>
          <w:color w:val="101820"/>
          <w:sz w:val="32"/>
          <w:szCs w:val="32"/>
        </w:rPr>
        <w:t xml:space="preserve">4. Automated Reliability Enforcement Rules</w:t>
      </w:r>
      <w:bookmarkEnd w:id="100011"/>
    </w:p>
    <w:p>
      <w:pPr>
        <w:spacing w:after="80" w:line="312"/>
        <w:ind w:firstLine="480"/>
        <w:jc w:val="both"/>
      </w:pPr>
      <w:r>
        <w:rPr>
          <w:rFonts w:ascii="Calibri" w:eastAsia="Microsoft YaHei"/>
          <w:color w:val="182030"/>
          <w:sz w:val="24"/>
          <w:szCs w:val="24"/>
        </w:rPr>
        <w:t xml:space="preserve">Beyond the five structural layers, six additional enforcement rules have been implemented to prevent CI anti-patterns that can undermine the reliability foundation. These rules target common shortcuts that developers may introduce either intentionally or accidentally, each of which would weaken the CI signal and potentially allow genuine failures to pass undetected.</w:t>
      </w:r>
    </w:p>
    <w:p>
      <w:pPr>
        <w:keepNext/>
        <w:spacing w:after="80" w:before="200" w:line="312"/>
      </w:pPr>
      <w:r>
        <w:rPr>
          <w:rFonts w:ascii="Calibri" w:eastAsia="SimHei"/>
          <w:b/>
          <w:bCs/>
          <w:color w:val="506070"/>
          <w:sz w:val="21"/>
          <w:szCs w:val="21"/>
        </w:rPr>
        <w:t xml:space="preserve">Table 3: Automated Enforcement Rules</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Rule</w:t>
            </w:r>
          </w:p>
        </w:tc>
        <w:tc>
          <w:tcPr>
            <w:tcW w:type="pct" w:w="30%"/>
            <w:shd w:fill="1A2332" w:val="clear"/>
            <w:tcMar>
              <w:top w:type="dxa" w:w="40"/>
              <w:left w:type="dxa" w:w="80"/>
              <w:bottom w:type="dxa" w:w="40"/>
              <w:right w:type="dxa" w:w="80"/>
            </w:tcMar>
          </w:tcPr>
          <w:p>
            <w:pPr>
              <w:jc w:val="center"/>
            </w:pPr>
            <w:r>
              <w:rPr>
                <w:rFonts w:ascii="Calibri"/>
                <w:b/>
                <w:bCs/>
                <w:color w:val="FFFFFF"/>
                <w:sz w:val="21"/>
                <w:szCs w:val="21"/>
              </w:rPr>
              <w:t xml:space="preserve">Pattern Blocked</w:t>
            </w:r>
          </w:p>
        </w:tc>
        <w:tc>
          <w:tcPr>
            <w:tcW w:type="pct" w:w="25%"/>
            <w:shd w:fill="1A2332" w:val="clear"/>
            <w:tcMar>
              <w:top w:type="dxa" w:w="40"/>
              <w:left w:type="dxa" w:w="80"/>
              <w:bottom w:type="dxa" w:w="40"/>
              <w:right w:type="dxa" w:w="80"/>
            </w:tcMar>
          </w:tcPr>
          <w:p>
            <w:pPr>
              <w:jc w:val="center"/>
            </w:pPr>
            <w:r>
              <w:rPr>
                <w:rFonts w:ascii="Calibri"/>
                <w:b/>
                <w:bCs/>
                <w:color w:val="FFFFFF"/>
                <w:sz w:val="21"/>
                <w:szCs w:val="21"/>
              </w:rPr>
              <w:t xml:space="preserve">Detection Method</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Status</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Error Suppression</w:t>
            </w:r>
          </w:p>
        </w:tc>
        <w:tc>
          <w:tcPr>
            <w:tcW w:type="pct" w:w="30%"/>
            <w:tcMar>
              <w:top w:type="dxa" w:w="40"/>
              <w:left w:type="dxa" w:w="80"/>
              <w:bottom w:type="dxa" w:w="40"/>
              <w:right w:type="dxa" w:w="80"/>
            </w:tcMar>
          </w:tcPr>
          <w:p>
            <w:r>
              <w:rPr>
                <w:rFonts w:ascii="Calibri" w:eastAsia="Microsoft YaHei"/>
                <w:color w:val="182030"/>
                <w:sz w:val="21"/>
                <w:szCs w:val="21"/>
              </w:rPr>
              <w:t xml:space="preserve">|| true in CI steps</w:t>
            </w:r>
          </w:p>
        </w:tc>
        <w:tc>
          <w:tcPr>
            <w:tcW w:type="pct" w:w="25%"/>
            <w:tcMar>
              <w:top w:type="dxa" w:w="40"/>
              <w:left w:type="dxa" w:w="80"/>
              <w:bottom w:type="dxa" w:w="40"/>
              <w:right w:type="dxa" w:w="80"/>
            </w:tcMar>
          </w:tcPr>
          <w:p>
            <w:r>
              <w:rPr>
                <w:rFonts w:ascii="Calibri" w:eastAsia="Microsoft YaHei"/>
                <w:color w:val="182030"/>
                <w:sz w:val="21"/>
                <w:szCs w:val="21"/>
              </w:rPr>
              <w:t xml:space="preserve">Workflow lint scan</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Unhandled Errors</w:t>
            </w:r>
          </w:p>
        </w:tc>
        <w:tc>
          <w:tcPr>
            <w:tcW w:type="pct" w:w="30%"/>
            <w:tcMar>
              <w:top w:type="dxa" w:w="40"/>
              <w:left w:type="dxa" w:w="80"/>
              <w:bottom w:type="dxa" w:w="40"/>
              <w:right w:type="dxa" w:w="80"/>
            </w:tcMar>
          </w:tcPr>
          <w:p>
            <w:r>
              <w:rPr>
                <w:rFonts w:ascii="Calibri" w:eastAsia="Microsoft YaHei"/>
                <w:color w:val="182030"/>
                <w:sz w:val="21"/>
                <w:szCs w:val="21"/>
              </w:rPr>
              <w:t xml:space="preserve">dangerouslyIgnoreUnhandledErrors</w:t>
            </w:r>
          </w:p>
        </w:tc>
        <w:tc>
          <w:tcPr>
            <w:tcW w:type="pct" w:w="25%"/>
            <w:tcMar>
              <w:top w:type="dxa" w:w="40"/>
              <w:left w:type="dxa" w:w="80"/>
              <w:bottom w:type="dxa" w:w="40"/>
              <w:right w:type="dxa" w:w="80"/>
            </w:tcMar>
          </w:tcPr>
          <w:p>
            <w:r>
              <w:rPr>
                <w:rFonts w:ascii="Calibri" w:eastAsia="Microsoft YaHei"/>
                <w:color w:val="182030"/>
                <w:sz w:val="21"/>
                <w:szCs w:val="21"/>
              </w:rPr>
              <w:t xml:space="preserve">Vitest config scan</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Fake Assertions</w:t>
            </w:r>
          </w:p>
        </w:tc>
        <w:tc>
          <w:tcPr>
            <w:tcW w:type="pct" w:w="30%"/>
            <w:tcMar>
              <w:top w:type="dxa" w:w="40"/>
              <w:left w:type="dxa" w:w="80"/>
              <w:bottom w:type="dxa" w:w="40"/>
              <w:right w:type="dxa" w:w="80"/>
            </w:tcMar>
          </w:tcPr>
          <w:p>
            <w:r>
              <w:rPr>
                <w:rFonts w:ascii="Calibri" w:eastAsia="Microsoft YaHei"/>
                <w:color w:val="182030"/>
                <w:sz w:val="21"/>
                <w:szCs w:val="21"/>
              </w:rPr>
              <w:t xml:space="preserve">expect(true).toBe(true)</w:t>
            </w:r>
          </w:p>
        </w:tc>
        <w:tc>
          <w:tcPr>
            <w:tcW w:type="pct" w:w="25%"/>
            <w:tcMar>
              <w:top w:type="dxa" w:w="40"/>
              <w:left w:type="dxa" w:w="80"/>
              <w:bottom w:type="dxa" w:w="40"/>
              <w:right w:type="dxa" w:w="80"/>
            </w:tcMar>
          </w:tcPr>
          <w:p>
            <w:r>
              <w:rPr>
                <w:rFonts w:ascii="Calibri" w:eastAsia="Microsoft YaHei"/>
                <w:color w:val="182030"/>
                <w:sz w:val="21"/>
                <w:szCs w:val="21"/>
              </w:rPr>
              <w:t xml:space="preserve">Test code review + scan</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Empty Catch</w:t>
            </w:r>
          </w:p>
        </w:tc>
        <w:tc>
          <w:tcPr>
            <w:tcW w:type="pct" w:w="30%"/>
            <w:tcMar>
              <w:top w:type="dxa" w:w="40"/>
              <w:left w:type="dxa" w:w="80"/>
              <w:bottom w:type="dxa" w:w="40"/>
              <w:right w:type="dxa" w:w="80"/>
            </w:tcMar>
          </w:tcPr>
          <w:p>
            <w:r>
              <w:rPr>
                <w:rFonts w:ascii="Calibri" w:eastAsia="Microsoft YaHei"/>
                <w:color w:val="182030"/>
                <w:sz w:val="21"/>
                <w:szCs w:val="21"/>
              </w:rPr>
              <w:t xml:space="preserve">catch {} without handler</w:t>
            </w:r>
          </w:p>
        </w:tc>
        <w:tc>
          <w:tcPr>
            <w:tcW w:type="pct" w:w="25%"/>
            <w:tcMar>
              <w:top w:type="dxa" w:w="40"/>
              <w:left w:type="dxa" w:w="80"/>
              <w:bottom w:type="dxa" w:w="40"/>
              <w:right w:type="dxa" w:w="80"/>
            </w:tcMar>
          </w:tcPr>
          <w:p>
            <w:r>
              <w:rPr>
                <w:rFonts w:ascii="Calibri" w:eastAsia="Microsoft YaHei"/>
                <w:color w:val="182030"/>
                <w:sz w:val="21"/>
                <w:szCs w:val="21"/>
              </w:rPr>
              <w:t xml:space="preserve">ESLint + code scan</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Blind Skips</w:t>
            </w:r>
          </w:p>
        </w:tc>
        <w:tc>
          <w:tcPr>
            <w:tcW w:type="pct" w:w="30%"/>
            <w:tcMar>
              <w:top w:type="dxa" w:w="40"/>
              <w:left w:type="dxa" w:w="80"/>
              <w:bottom w:type="dxa" w:w="40"/>
              <w:right w:type="dxa" w:w="80"/>
            </w:tcMar>
          </w:tcPr>
          <w:p>
            <w:r>
              <w:rPr>
                <w:rFonts w:ascii="Calibri" w:eastAsia="Microsoft YaHei"/>
                <w:color w:val="182030"/>
                <w:sz w:val="21"/>
                <w:szCs w:val="21"/>
              </w:rPr>
              <w:t xml:space="preserve">it.skip without reason</w:t>
            </w:r>
          </w:p>
        </w:tc>
        <w:tc>
          <w:tcPr>
            <w:tcW w:type="pct" w:w="25%"/>
            <w:tcMar>
              <w:top w:type="dxa" w:w="40"/>
              <w:left w:type="dxa" w:w="80"/>
              <w:bottom w:type="dxa" w:w="40"/>
              <w:right w:type="dxa" w:w="80"/>
            </w:tcMar>
          </w:tcPr>
          <w:p>
            <w:r>
              <w:rPr>
                <w:rFonts w:ascii="Calibri" w:eastAsia="Microsoft YaHei"/>
                <w:color w:val="182030"/>
                <w:sz w:val="21"/>
                <w:szCs w:val="21"/>
              </w:rPr>
              <w:t xml:space="preserve">Test code review</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r>
        <w:trPr>
          <w:cantSplit/>
        </w:trPr>
        <w:tc>
          <w:tcPr>
            <w:tcW w:type="pct" w:w="25%"/>
            <w:tcMar>
              <w:top w:type="dxa" w:w="40"/>
              <w:left w:type="dxa" w:w="80"/>
              <w:bottom w:type="dxa" w:w="40"/>
              <w:right w:type="dxa" w:w="80"/>
            </w:tcMar>
          </w:tcPr>
          <w:p>
            <w:r>
              <w:rPr>
                <w:rFonts w:ascii="Calibri" w:eastAsia="Microsoft YaHei"/>
                <w:color w:val="182030"/>
                <w:sz w:val="21"/>
                <w:szCs w:val="21"/>
              </w:rPr>
              <w:t xml:space="preserve">No Machine Paths</w:t>
            </w:r>
          </w:p>
        </w:tc>
        <w:tc>
          <w:tcPr>
            <w:tcW w:type="pct" w:w="30%"/>
            <w:tcMar>
              <w:top w:type="dxa" w:w="40"/>
              <w:left w:type="dxa" w:w="80"/>
              <w:bottom w:type="dxa" w:w="40"/>
              <w:right w:type="dxa" w:w="80"/>
            </w:tcMar>
          </w:tcPr>
          <w:p>
            <w:r>
              <w:rPr>
                <w:rFonts w:ascii="Calibri" w:eastAsia="Microsoft YaHei"/>
                <w:color w:val="182030"/>
                <w:sz w:val="21"/>
                <w:szCs w:val="21"/>
              </w:rPr>
              <w:t xml:space="preserve">/home/z/, /Users/ etc.</w:t>
            </w:r>
          </w:p>
        </w:tc>
        <w:tc>
          <w:tcPr>
            <w:tcW w:type="pct" w:w="25%"/>
            <w:tcMar>
              <w:top w:type="dxa" w:w="40"/>
              <w:left w:type="dxa" w:w="80"/>
              <w:bottom w:type="dxa" w:w="40"/>
              <w:right w:type="dxa" w:w="80"/>
            </w:tcMar>
          </w:tcPr>
          <w:p>
            <w:r>
              <w:rPr>
                <w:rFonts w:ascii="Calibri" w:eastAsia="Microsoft YaHei"/>
                <w:color w:val="182030"/>
                <w:sz w:val="21"/>
                <w:szCs w:val="21"/>
              </w:rPr>
              <w:t xml:space="preserve">3-layer path protection</w:t>
            </w:r>
          </w:p>
        </w:tc>
        <w:tc>
          <w:tcPr>
            <w:tcW w:type="pct" w:w="12%"/>
            <w:tcMar>
              <w:top w:type="dxa" w:w="40"/>
              <w:left w:type="dxa" w:w="80"/>
              <w:bottom w:type="dxa" w:w="40"/>
              <w:right w:type="dxa" w:w="80"/>
            </w:tcMar>
          </w:tcPr>
          <w:p>
            <w:pPr>
              <w:jc w:val="center"/>
            </w:pPr>
            <w:r>
              <w:rPr>
                <w:rFonts w:ascii="Calibri"/>
                <w:b/>
                <w:bCs/>
                <w:color w:val="2D7D46"/>
                <w:sz w:val="21"/>
                <w:szCs w:val="21"/>
              </w:rPr>
              <w:t xml:space="preserve">ACTIVE</w:t>
            </w:r>
          </w:p>
        </w:tc>
      </w:tr>
    </w:tbl>
    <w:p>
      <w:pPr>
        <w:spacing w:after="80" w:line="312"/>
        <w:ind w:firstLine="480"/>
        <w:jc w:val="both"/>
      </w:pPr>
      <w:r>
        <w:rPr>
          <w:rFonts w:ascii="Calibri" w:eastAsia="Microsoft YaHei"/>
          <w:color w:val="182030"/>
          <w:sz w:val="24"/>
          <w:szCs w:val="24"/>
        </w:rPr>
        <w:t xml:space="preserve">The enforcement of these rules is ongoing. During the final verification pass, a fake assertion `expect(true).toBe(true)` was discovered and replaced with a real priority classification assertion. Build timeout protection (`timeout-minutes: 5`) was added to the build job to prevent hanging CI runs. The `ci-local.sh` script was enhanced with missing validations including CSP validation, throw detection, Prisma generate validation, and database environment setup corrections.</w:t>
      </w:r>
    </w:p>
    <w:p>
      <w:pPr>
        <w:pStyle w:val="Heading1"/>
        <w:spacing w:after="160" w:before="360" w:line="312"/>
      </w:pPr>
      <w:bookmarkStart w:id="100012" w:name="_Toc100012"/>
      <w:r>
        <w:rPr>
          <w:rFonts w:ascii="Calibri" w:eastAsia="SimHei"/>
          <w:b/>
          <w:bCs/>
          <w:color w:val="101820"/>
          <w:sz w:val="32"/>
          <w:szCs w:val="32"/>
        </w:rPr>
        <w:t xml:space="preserve">5. Node Compatibility Validation</w:t>
      </w:r>
      <w:bookmarkEnd w:id="100012"/>
    </w:p>
    <w:p>
      <w:pPr>
        <w:spacing w:after="80" w:line="312"/>
        <w:ind w:firstLine="480"/>
        <w:jc w:val="both"/>
      </w:pPr>
      <w:r>
        <w:rPr>
          <w:rFonts w:ascii="Calibri" w:eastAsia="Microsoft YaHei"/>
          <w:color w:val="182030"/>
          <w:sz w:val="24"/>
          <w:szCs w:val="24"/>
        </w:rPr>
        <w:t xml:space="preserve">The Node compatibility matrix workflow runs on a weekly schedule (Monday at 06:00 UTC) and validates the application against both Node 20 and Node 22. The matrix job executes the security gate, unit tests, and build verification for each Node version, ensuring that the application does not develop hidden dependencies on a specific Node runtime version that might differ between developer machines and the CI/production environment.</w:t>
      </w:r>
    </w:p>
    <w:p>
      <w:pPr>
        <w:spacing w:after="80" w:line="312"/>
        <w:ind w:firstLine="480"/>
        <w:jc w:val="both"/>
      </w:pPr>
      <w:r>
        <w:rPr>
          <w:rFonts w:ascii="Calibri" w:eastAsia="Microsoft YaHei"/>
          <w:color w:val="182030"/>
          <w:sz w:val="24"/>
          <w:szCs w:val="24"/>
        </w:rPr>
        <w:t xml:space="preserve">This scheduled validation is particularly important because the project uses Node 22 in CI (as specified in `.nvmrc`) but developers may have different versions installed locally. The weekly matrix provides an early warning system for any compatibility drift, preventing situations where code works on one Node version but fails on another. The job runs as a non-blocking scheduled task, meaning it does not block merges but provides a visible signal in the GitHub Actions dashboard.</w:t>
      </w:r>
    </w:p>
    <w:p>
      <w:pPr>
        <w:pStyle w:val="Heading1"/>
        <w:spacing w:after="160" w:before="360" w:line="312"/>
      </w:pPr>
      <w:bookmarkStart w:id="100013" w:name="_Toc100013"/>
      <w:r>
        <w:rPr>
          <w:rFonts w:ascii="Calibri" w:eastAsia="SimHei"/>
          <w:b/>
          <w:bCs/>
          <w:color w:val="101820"/>
          <w:sz w:val="32"/>
          <w:szCs w:val="32"/>
        </w:rPr>
        <w:t xml:space="preserve">6. Fixes Applied During Final Verification</w:t>
      </w:r>
      <w:bookmarkEnd w:id="100013"/>
    </w:p>
    <w:p>
      <w:pPr>
        <w:spacing w:after="80" w:line="312"/>
        <w:ind w:firstLine="480"/>
        <w:jc w:val="both"/>
      </w:pPr>
      <w:r>
        <w:rPr>
          <w:rFonts w:ascii="Calibri" w:eastAsia="Microsoft YaHei"/>
          <w:color w:val="182030"/>
          <w:sz w:val="24"/>
          <w:szCs w:val="24"/>
        </w:rPr>
        <w:t xml:space="preserve">The final verification pass, conducted on 2026-08-05, identified and resolved four issues that had been introduced during the M4 Phase 2 implementation. Each fix is documented here as evidence of the thoroughness of the verification process.</w:t>
      </w:r>
    </w:p>
    <w:p>
      <w:pPr>
        <w:pStyle w:val="Heading3"/>
        <w:spacing w:after="100" w:before="200" w:line="312"/>
      </w:pPr>
      <w:bookmarkStart w:id="100014" w:name="_Toc100014"/>
      <w:r>
        <w:rPr>
          <w:rFonts w:ascii="Calibri" w:eastAsia="SimHei"/>
          <w:b/>
          <w:bCs/>
          <w:color w:val="506070"/>
          <w:sz w:val="24"/>
          <w:szCs w:val="24"/>
        </w:rPr>
        <w:t xml:space="preserve">6.1 Fake Assertion Removal</w:t>
      </w:r>
      <w:bookmarkEnd w:id="100014"/>
    </w:p>
    <w:p>
      <w:pPr>
        <w:spacing w:after="80" w:line="312"/>
        <w:ind w:firstLine="480"/>
        <w:jc w:val="both"/>
      </w:pPr>
      <w:r>
        <w:rPr>
          <w:rFonts w:ascii="Calibri" w:eastAsia="Microsoft YaHei"/>
          <w:color w:val="182030"/>
          <w:sz w:val="24"/>
          <w:szCs w:val="24"/>
        </w:rPr>
        <w:t xml:space="preserve">A test containing `expect(true).toBe(true)` was discovered during the verification scan. This pattern, while technically passing, does not validate any actual behavior and represents a test anti-pattern. The assertion was replaced with a genuine priority classification assertion that validates the correct categorization of test data.</w:t>
      </w:r>
    </w:p>
    <w:p>
      <w:pPr>
        <w:pStyle w:val="Heading3"/>
        <w:spacing w:after="100" w:before="200" w:line="312"/>
      </w:pPr>
      <w:bookmarkStart w:id="100015" w:name="_Toc100015"/>
      <w:r>
        <w:rPr>
          <w:rFonts w:ascii="Calibri" w:eastAsia="SimHei"/>
          <w:b/>
          <w:bCs/>
          <w:color w:val="506070"/>
          <w:sz w:val="24"/>
          <w:szCs w:val="24"/>
        </w:rPr>
        <w:t xml:space="preserve">6.2 Build Timeout Protection</w:t>
      </w:r>
      <w:bookmarkEnd w:id="100015"/>
    </w:p>
    <w:p>
      <w:pPr>
        <w:spacing w:after="80" w:line="312"/>
        <w:ind w:firstLine="480"/>
        <w:jc w:val="both"/>
      </w:pPr>
      <w:r>
        <w:rPr>
          <w:rFonts w:ascii="Calibri" w:eastAsia="Microsoft YaHei"/>
          <w:color w:val="182030"/>
          <w:sz w:val="24"/>
          <w:szCs w:val="24"/>
        </w:rPr>
        <w:t xml:space="preserve">The build job in CI lacked an explicit timeout, which meant a hanging build could consume CI runner resources indefinitely. The fix added `timeout-minutes: 5` to the build job definition, ensuring that any build exceeding five minutes is automatically cancelled and reported as a timeout failure rather than silently consuming resources.</w:t>
      </w:r>
    </w:p>
    <w:p>
      <w:pPr>
        <w:pStyle w:val="Heading3"/>
        <w:spacing w:after="100" w:before="200" w:line="312"/>
      </w:pPr>
      <w:bookmarkStart w:id="100016" w:name="_Toc100016"/>
      <w:r>
        <w:rPr>
          <w:rFonts w:ascii="Calibri" w:eastAsia="SimHei"/>
          <w:b/>
          <w:bCs/>
          <w:color w:val="506070"/>
          <w:sz w:val="24"/>
          <w:szCs w:val="24"/>
        </w:rPr>
        <w:t xml:space="preserve">6.3 ci-local.sh Completeness</w:t>
      </w:r>
      <w:bookmarkEnd w:id="100016"/>
    </w:p>
    <w:p>
      <w:pPr>
        <w:spacing w:after="80" w:line="312"/>
        <w:ind w:firstLine="480"/>
        <w:jc w:val="both"/>
      </w:pPr>
      <w:r>
        <w:rPr>
          <w:rFonts w:ascii="Calibri" w:eastAsia="Microsoft YaHei"/>
          <w:color w:val="182030"/>
          <w:sz w:val="24"/>
          <w:szCs w:val="24"/>
        </w:rPr>
        <w:t xml:space="preserve">Comparison of `scripts/ci-local.sh` against the GitHub Actions workflow revealed several missing validation steps. The script was updated to include CSP validation, throw detection in test files, Prisma generate verification, database environment setup, and corrections to test skip handling. These additions brought the local CI mirror to full parity with the CI workflow.</w:t>
      </w:r>
    </w:p>
    <w:p>
      <w:pPr>
        <w:pStyle w:val="Heading3"/>
        <w:spacing w:after="100" w:before="200" w:line="312"/>
      </w:pPr>
      <w:bookmarkStart w:id="100017" w:name="_Toc100017"/>
      <w:r>
        <w:rPr>
          <w:rFonts w:ascii="Calibri" w:eastAsia="SimHei"/>
          <w:b/>
          <w:bCs/>
          <w:color w:val="506070"/>
          <w:sz w:val="24"/>
          <w:szCs w:val="24"/>
        </w:rPr>
        <w:t xml:space="preserve">6.4 Security Database Mock Completeness</w:t>
      </w:r>
      <w:bookmarkEnd w:id="100017"/>
    </w:p>
    <w:p>
      <w:pPr>
        <w:spacing w:after="80" w:line="312"/>
        <w:ind w:firstLine="480"/>
        <w:jc w:val="both"/>
      </w:pPr>
      <w:r>
        <w:rPr>
          <w:rFonts w:ascii="Calibri" w:eastAsia="Microsoft YaHei"/>
          <w:color w:val="182030"/>
          <w:sz w:val="24"/>
          <w:szCs w:val="24"/>
        </w:rPr>
        <w:t xml:space="preserve">Security tests were failing due to incomplete database mocks. Missing mock models were added to resolve the failures, bringing the security test suite to 333 passing tests. The mock completeness fix ensures that security validation does not produce false failures that could mask genuine security issues.</w:t>
      </w:r>
    </w:p>
    <w:p>
      <w:pPr>
        <w:pStyle w:val="Heading1"/>
        <w:spacing w:after="160" w:before="360" w:line="312"/>
      </w:pPr>
      <w:bookmarkStart w:id="100018" w:name="_Toc100018"/>
      <w:r>
        <w:rPr>
          <w:rFonts w:ascii="Calibri" w:eastAsia="SimHei"/>
          <w:b/>
          <w:bCs/>
          <w:color w:val="101820"/>
          <w:sz w:val="32"/>
          <w:szCs w:val="32"/>
        </w:rPr>
        <w:t xml:space="preserve">7. Final Acceptance Checklist</w:t>
      </w:r>
      <w:bookmarkEnd w:id="100018"/>
    </w:p>
    <w:p>
      <w:pPr>
        <w:spacing w:after="80" w:line="312"/>
        <w:ind w:firstLine="480"/>
        <w:jc w:val="both"/>
      </w:pPr>
      <w:r>
        <w:rPr>
          <w:rFonts w:ascii="Calibri" w:eastAsia="Microsoft YaHei"/>
          <w:color w:val="182030"/>
          <w:sz w:val="24"/>
          <w:szCs w:val="24"/>
        </w:rPr>
        <w:t xml:space="preserve">The following checklist represents the definitive acceptance criteria for the CI Reliability Foundation. All items have been verified and marked as complete.</w:t>
      </w:r>
    </w:p>
    <w:p>
      <w:pPr>
        <w:keepNext/>
        <w:spacing w:after="80" w:before="200" w:line="312"/>
      </w:pPr>
      <w:r>
        <w:rPr>
          <w:rFonts w:ascii="Calibri" w:eastAsia="SimHei"/>
          <w:b/>
          <w:bCs/>
          <w:color w:val="506070"/>
          <w:sz w:val="21"/>
          <w:szCs w:val="21"/>
        </w:rPr>
        <w:t xml:space="preserve">Table 4: Acceptance Criteria Checklist</w:t>
      </w:r>
    </w:p>
    <w:tbl>
      <w:tblPr>
        <w:tblW w:type="pct" w:w="100%"/>
        <w:tblBorders>
          <w:top w:val="single" w:color="D0D8E0" w:sz="1"/>
          <w:left w:val="none"/>
          <w:bottom w:val="single" w:color="D0D8E0" w:sz="1"/>
          <w:right w:val="none"/>
          <w:insideH w:val="single" w:color="D0D8E0" w:sz="1"/>
          <w:insideV w:val="none"/>
        </w:tblBorders>
      </w:tblPr>
      <w:tblGrid>
        <w:gridCol w:w="100"/>
        <w:gridCol w:w="100"/>
        <w:gridCol w:w="100"/>
        <w:gridCol w:w="100"/>
      </w:tblGrid>
      <w:tr>
        <w:trPr>
          <w:cantSplit/>
          <w:tblHeader/>
        </w:trPr>
        <w:tc>
          <w:tcPr>
            <w:tcW w:type="pct" w:w="5%"/>
            <w:shd w:fill="1A2332" w:val="clear"/>
            <w:tcMar>
              <w:top w:type="dxa" w:w="40"/>
              <w:left w:type="dxa" w:w="80"/>
              <w:bottom w:type="dxa" w:w="40"/>
              <w:right w:type="dxa" w:w="80"/>
            </w:tcMar>
          </w:tcPr>
          <w:p>
            <w:pPr>
              <w:jc w:val="center"/>
            </w:pPr>
            <w:r>
              <w:rPr>
                <w:rFonts w:ascii="Calibri"/>
                <w:b/>
                <w:bCs/>
                <w:color w:val="FFFFFF"/>
                <w:sz w:val="21"/>
                <w:szCs w:val="21"/>
              </w:rPr>
              <w:t xml:space="preserve">#</w:t>
            </w:r>
          </w:p>
        </w:tc>
        <w:tc>
          <w:tcPr>
            <w:tcW w:type="pct" w:w="40%"/>
            <w:shd w:fill="1A2332" w:val="clear"/>
            <w:tcMar>
              <w:top w:type="dxa" w:w="40"/>
              <w:left w:type="dxa" w:w="80"/>
              <w:bottom w:type="dxa" w:w="40"/>
              <w:right w:type="dxa" w:w="80"/>
            </w:tcMar>
          </w:tcPr>
          <w:p>
            <w:pPr>
              <w:jc w:val="center"/>
            </w:pPr>
            <w:r>
              <w:rPr>
                <w:rFonts w:ascii="Calibri"/>
                <w:b/>
                <w:bCs/>
                <w:color w:val="FFFFFF"/>
                <w:sz w:val="21"/>
                <w:szCs w:val="21"/>
              </w:rPr>
              <w:t xml:space="preserve">Criterion</w:t>
            </w:r>
          </w:p>
        </w:tc>
        <w:tc>
          <w:tcPr>
            <w:tcW w:type="pct" w:w="35%"/>
            <w:shd w:fill="1A2332" w:val="clear"/>
            <w:tcMar>
              <w:top w:type="dxa" w:w="40"/>
              <w:left w:type="dxa" w:w="80"/>
              <w:bottom w:type="dxa" w:w="40"/>
              <w:right w:type="dxa" w:w="80"/>
            </w:tcMar>
          </w:tcPr>
          <w:p>
            <w:pPr>
              <w:jc w:val="center"/>
            </w:pPr>
            <w:r>
              <w:rPr>
                <w:rFonts w:ascii="Calibri"/>
                <w:b/>
                <w:bCs/>
                <w:color w:val="FFFFFF"/>
                <w:sz w:val="21"/>
                <w:szCs w:val="21"/>
              </w:rPr>
              <w:t xml:space="preserve">Evidence</w:t>
            </w:r>
          </w:p>
        </w:tc>
        <w:tc>
          <w:tcPr>
            <w:tcW w:type="pct" w:w="20%"/>
            <w:shd w:fill="1A2332" w:val="clear"/>
            <w:tcMar>
              <w:top w:type="dxa" w:w="40"/>
              <w:left w:type="dxa" w:w="80"/>
              <w:bottom w:type="dxa" w:w="40"/>
              <w:right w:type="dxa" w:w="80"/>
            </w:tcMar>
          </w:tcPr>
          <w:p>
            <w:pPr>
              <w:jc w:val="center"/>
            </w:pPr>
            <w:r>
              <w:rPr>
                <w:rFonts w:ascii="Calibri"/>
                <w:b/>
                <w:bCs/>
                <w:color w:val="FFFFFF"/>
                <w:sz w:val="21"/>
                <w:szCs w:val="21"/>
              </w:rPr>
              <w:t xml:space="preserve">Status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1</w:t>
            </w:r>
          </w:p>
        </w:tc>
        <w:tc>
          <w:tcPr>
            <w:tcW w:type="pct" w:w="40%"/>
            <w:tcMar>
              <w:top w:type="dxa" w:w="40"/>
              <w:left w:type="dxa" w:w="80"/>
              <w:bottom w:type="dxa" w:w="40"/>
              <w:right w:type="dxa" w:w="80"/>
            </w:tcMar>
          </w:tcPr>
          <w:p>
            <w:r>
              <w:rPr>
                <w:rFonts w:ascii="Calibri" w:eastAsia="Microsoft YaHei"/>
                <w:color w:val="182030"/>
                <w:sz w:val="21"/>
                <w:szCs w:val="21"/>
              </w:rPr>
              <w:t xml:space="preserve">Local CI mirror matches GitHub CI</w:t>
            </w:r>
          </w:p>
        </w:tc>
        <w:tc>
          <w:tcPr>
            <w:tcW w:type="pct" w:w="35%"/>
            <w:tcMar>
              <w:top w:type="dxa" w:w="40"/>
              <w:left w:type="dxa" w:w="80"/>
              <w:bottom w:type="dxa" w:w="40"/>
              <w:right w:type="dxa" w:w="80"/>
            </w:tcMar>
          </w:tcPr>
          <w:p>
            <w:r>
              <w:rPr>
                <w:rFonts w:ascii="Calibri" w:eastAsia="Microsoft YaHei"/>
                <w:color w:val="182030"/>
                <w:sz w:val="21"/>
                <w:szCs w:val="21"/>
              </w:rPr>
              <w:t xml:space="preserve">11-job mapping verified</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2</w:t>
            </w:r>
          </w:p>
        </w:tc>
        <w:tc>
          <w:tcPr>
            <w:tcW w:type="pct" w:w="40%"/>
            <w:tcMar>
              <w:top w:type="dxa" w:w="40"/>
              <w:left w:type="dxa" w:w="80"/>
              <w:bottom w:type="dxa" w:w="40"/>
              <w:right w:type="dxa" w:w="80"/>
            </w:tcMar>
          </w:tcPr>
          <w:p>
            <w:r>
              <w:rPr>
                <w:rFonts w:ascii="Calibri" w:eastAsia="Microsoft YaHei"/>
                <w:color w:val="182030"/>
                <w:sz w:val="21"/>
                <w:szCs w:val="21"/>
              </w:rPr>
              <w:t xml:space="preserve">Pre-push gate runs full CI mirror</w:t>
            </w:r>
          </w:p>
        </w:tc>
        <w:tc>
          <w:tcPr>
            <w:tcW w:type="pct" w:w="35%"/>
            <w:tcMar>
              <w:top w:type="dxa" w:w="40"/>
              <w:left w:type="dxa" w:w="80"/>
              <w:bottom w:type="dxa" w:w="40"/>
              <w:right w:type="dxa" w:w="80"/>
            </w:tcMar>
          </w:tcPr>
          <w:p>
            <w:r>
              <w:rPr>
                <w:rFonts w:ascii="Calibri" w:eastAsia="Microsoft YaHei"/>
                <w:color w:val="182030"/>
                <w:sz w:val="21"/>
                <w:szCs w:val="21"/>
              </w:rPr>
              <w:t xml:space="preserve">Hook content verified</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3</w:t>
            </w:r>
          </w:p>
        </w:tc>
        <w:tc>
          <w:tcPr>
            <w:tcW w:type="pct" w:w="40%"/>
            <w:tcMar>
              <w:top w:type="dxa" w:w="40"/>
              <w:left w:type="dxa" w:w="80"/>
              <w:bottom w:type="dxa" w:w="40"/>
              <w:right w:type="dxa" w:w="80"/>
            </w:tcMar>
          </w:tcPr>
          <w:p>
            <w:r>
              <w:rPr>
                <w:rFonts w:ascii="Calibri" w:eastAsia="Microsoft YaHei"/>
                <w:color w:val="182030"/>
                <w:sz w:val="21"/>
                <w:szCs w:val="21"/>
              </w:rPr>
              <w:t xml:space="preserve">Three-layer path protection active</w:t>
            </w:r>
          </w:p>
        </w:tc>
        <w:tc>
          <w:tcPr>
            <w:tcW w:type="pct" w:w="35%"/>
            <w:tcMar>
              <w:top w:type="dxa" w:w="40"/>
              <w:left w:type="dxa" w:w="80"/>
              <w:bottom w:type="dxa" w:w="40"/>
              <w:right w:type="dxa" w:w="80"/>
            </w:tcMar>
          </w:tcPr>
          <w:p>
            <w:r>
              <w:rPr>
                <w:rFonts w:ascii="Calibri" w:eastAsia="Microsoft YaHei"/>
                <w:color w:val="182030"/>
                <w:sz w:val="21"/>
                <w:szCs w:val="21"/>
              </w:rPr>
              <w:t xml:space="preserve">All layers tested with violations</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4</w:t>
            </w:r>
          </w:p>
        </w:tc>
        <w:tc>
          <w:tcPr>
            <w:tcW w:type="pct" w:w="40%"/>
            <w:tcMar>
              <w:top w:type="dxa" w:w="40"/>
              <w:left w:type="dxa" w:w="80"/>
              <w:bottom w:type="dxa" w:w="40"/>
              <w:right w:type="dxa" w:w="80"/>
            </w:tcMar>
          </w:tcPr>
          <w:p>
            <w:r>
              <w:rPr>
                <w:rFonts w:ascii="Calibri" w:eastAsia="Microsoft YaHei"/>
                <w:color w:val="182030"/>
                <w:sz w:val="21"/>
                <w:szCs w:val="21"/>
              </w:rPr>
              <w:t xml:space="preserve">CI failures reproducible locally</w:t>
            </w:r>
          </w:p>
        </w:tc>
        <w:tc>
          <w:tcPr>
            <w:tcW w:type="pct" w:w="35%"/>
            <w:tcMar>
              <w:top w:type="dxa" w:w="40"/>
              <w:left w:type="dxa" w:w="80"/>
              <w:bottom w:type="dxa" w:w="40"/>
              <w:right w:type="dxa" w:w="80"/>
            </w:tcMar>
          </w:tcPr>
          <w:p>
            <w:r>
              <w:rPr>
                <w:rFonts w:ascii="Calibri" w:eastAsia="Microsoft YaHei"/>
                <w:color w:val="182030"/>
                <w:sz w:val="21"/>
                <w:szCs w:val="21"/>
              </w:rPr>
              <w:t xml:space="preserve">Command/config parity confirmed</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5</w:t>
            </w:r>
          </w:p>
        </w:tc>
        <w:tc>
          <w:tcPr>
            <w:tcW w:type="pct" w:w="40%"/>
            <w:tcMar>
              <w:top w:type="dxa" w:w="40"/>
              <w:left w:type="dxa" w:w="80"/>
              <w:bottom w:type="dxa" w:w="40"/>
              <w:right w:type="dxa" w:w="80"/>
            </w:tcMar>
          </w:tcPr>
          <w:p>
            <w:r>
              <w:rPr>
                <w:rFonts w:ascii="Calibri" w:eastAsia="Microsoft YaHei"/>
                <w:color w:val="182030"/>
                <w:sz w:val="21"/>
                <w:szCs w:val="21"/>
              </w:rPr>
              <w:t xml:space="preserve">Documentation covers all 10 topics</w:t>
            </w:r>
          </w:p>
        </w:tc>
        <w:tc>
          <w:tcPr>
            <w:tcW w:type="pct" w:w="35%"/>
            <w:tcMar>
              <w:top w:type="dxa" w:w="40"/>
              <w:left w:type="dxa" w:w="80"/>
              <w:bottom w:type="dxa" w:w="40"/>
              <w:right w:type="dxa" w:w="80"/>
            </w:tcMar>
          </w:tcPr>
          <w:p>
            <w:r>
              <w:rPr>
                <w:rFonts w:ascii="Calibri" w:eastAsia="Microsoft YaHei"/>
                <w:color w:val="182030"/>
                <w:sz w:val="21"/>
                <w:szCs w:val="21"/>
              </w:rPr>
              <w:t xml:space="preserve">231-line guide reviewed</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6</w:t>
            </w:r>
          </w:p>
        </w:tc>
        <w:tc>
          <w:tcPr>
            <w:tcW w:type="pct" w:w="40%"/>
            <w:tcMar>
              <w:top w:type="dxa" w:w="40"/>
              <w:left w:type="dxa" w:w="80"/>
              <w:bottom w:type="dxa" w:w="40"/>
              <w:right w:type="dxa" w:w="80"/>
            </w:tcMar>
          </w:tcPr>
          <w:p>
            <w:r>
              <w:rPr>
                <w:rFonts w:ascii="Calibri" w:eastAsia="Microsoft YaHei"/>
                <w:color w:val="182030"/>
                <w:sz w:val="21"/>
                <w:szCs w:val="21"/>
              </w:rPr>
              <w:t xml:space="preserve">No error suppression patterns</w:t>
            </w:r>
          </w:p>
        </w:tc>
        <w:tc>
          <w:tcPr>
            <w:tcW w:type="pct" w:w="35%"/>
            <w:tcMar>
              <w:top w:type="dxa" w:w="40"/>
              <w:left w:type="dxa" w:w="80"/>
              <w:bottom w:type="dxa" w:w="40"/>
              <w:right w:type="dxa" w:w="80"/>
            </w:tcMar>
          </w:tcPr>
          <w:p>
            <w:r>
              <w:rPr>
                <w:rFonts w:ascii="Calibri" w:eastAsia="Microsoft YaHei"/>
                <w:color w:val="182030"/>
                <w:sz w:val="21"/>
                <w:szCs w:val="21"/>
              </w:rPr>
              <w:t xml:space="preserve">Workflow scan clean</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7</w:t>
            </w:r>
          </w:p>
        </w:tc>
        <w:tc>
          <w:tcPr>
            <w:tcW w:type="pct" w:w="40%"/>
            <w:tcMar>
              <w:top w:type="dxa" w:w="40"/>
              <w:left w:type="dxa" w:w="80"/>
              <w:bottom w:type="dxa" w:w="40"/>
              <w:right w:type="dxa" w:w="80"/>
            </w:tcMar>
          </w:tcPr>
          <w:p>
            <w:r>
              <w:rPr>
                <w:rFonts w:ascii="Calibri" w:eastAsia="Microsoft YaHei"/>
                <w:color w:val="182030"/>
                <w:sz w:val="21"/>
                <w:szCs w:val="21"/>
              </w:rPr>
              <w:t xml:space="preserve">No fake assertions</w:t>
            </w:r>
          </w:p>
        </w:tc>
        <w:tc>
          <w:tcPr>
            <w:tcW w:type="pct" w:w="35%"/>
            <w:tcMar>
              <w:top w:type="dxa" w:w="40"/>
              <w:left w:type="dxa" w:w="80"/>
              <w:bottom w:type="dxa" w:w="40"/>
              <w:right w:type="dxa" w:w="80"/>
            </w:tcMar>
          </w:tcPr>
          <w:p>
            <w:r>
              <w:rPr>
                <w:rFonts w:ascii="Calibri" w:eastAsia="Microsoft YaHei"/>
                <w:color w:val="182030"/>
                <w:sz w:val="21"/>
                <w:szCs w:val="21"/>
              </w:rPr>
              <w:t xml:space="preserve">Test scan clean after fix</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8</w:t>
            </w:r>
          </w:p>
        </w:tc>
        <w:tc>
          <w:tcPr>
            <w:tcW w:type="pct" w:w="40%"/>
            <w:tcMar>
              <w:top w:type="dxa" w:w="40"/>
              <w:left w:type="dxa" w:w="80"/>
              <w:bottom w:type="dxa" w:w="40"/>
              <w:right w:type="dxa" w:w="80"/>
            </w:tcMar>
          </w:tcPr>
          <w:p>
            <w:r>
              <w:rPr>
                <w:rFonts w:ascii="Calibri" w:eastAsia="Microsoft YaHei"/>
                <w:color w:val="182030"/>
                <w:sz w:val="21"/>
                <w:szCs w:val="21"/>
              </w:rPr>
              <w:t xml:space="preserve">No empty catch blocks</w:t>
            </w:r>
          </w:p>
        </w:tc>
        <w:tc>
          <w:tcPr>
            <w:tcW w:type="pct" w:w="35%"/>
            <w:tcMar>
              <w:top w:type="dxa" w:w="40"/>
              <w:left w:type="dxa" w:w="80"/>
              <w:bottom w:type="dxa" w:w="40"/>
              <w:right w:type="dxa" w:w="80"/>
            </w:tcMar>
          </w:tcPr>
          <w:p>
            <w:r>
              <w:rPr>
                <w:rFonts w:ascii="Calibri" w:eastAsia="Microsoft YaHei"/>
                <w:color w:val="182030"/>
                <w:sz w:val="21"/>
                <w:szCs w:val="21"/>
              </w:rPr>
              <w:t xml:space="preserve">ESLint + scan clean</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9</w:t>
            </w:r>
          </w:p>
        </w:tc>
        <w:tc>
          <w:tcPr>
            <w:tcW w:type="pct" w:w="40%"/>
            <w:tcMar>
              <w:top w:type="dxa" w:w="40"/>
              <w:left w:type="dxa" w:w="80"/>
              <w:bottom w:type="dxa" w:w="40"/>
              <w:right w:type="dxa" w:w="80"/>
            </w:tcMar>
          </w:tcPr>
          <w:p>
            <w:r>
              <w:rPr>
                <w:rFonts w:ascii="Calibri" w:eastAsia="Microsoft YaHei"/>
                <w:color w:val="182030"/>
                <w:sz w:val="21"/>
                <w:szCs w:val="21"/>
              </w:rPr>
              <w:t xml:space="preserve">Node matrix validated weekly</w:t>
            </w:r>
          </w:p>
        </w:tc>
        <w:tc>
          <w:tcPr>
            <w:tcW w:type="pct" w:w="35%"/>
            <w:tcMar>
              <w:top w:type="dxa" w:w="40"/>
              <w:left w:type="dxa" w:w="80"/>
              <w:bottom w:type="dxa" w:w="40"/>
              <w:right w:type="dxa" w:w="80"/>
            </w:tcMar>
          </w:tcPr>
          <w:p>
            <w:r>
              <w:rPr>
                <w:rFonts w:ascii="Calibri" w:eastAsia="Microsoft YaHei"/>
                <w:color w:val="182030"/>
                <w:sz w:val="21"/>
                <w:szCs w:val="21"/>
              </w:rPr>
              <w:t xml:space="preserve">Schedule confirmed in ci.yml</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r>
        <w:trPr>
          <w:cantSplit/>
        </w:trPr>
        <w:tc>
          <w:tcPr>
            <w:tcW w:type="pct" w:w="5%"/>
            <w:tcMar>
              <w:top w:type="dxa" w:w="40"/>
              <w:left w:type="dxa" w:w="80"/>
              <w:bottom w:type="dxa" w:w="40"/>
              <w:right w:type="dxa" w:w="80"/>
            </w:tcMar>
          </w:tcPr>
          <w:p>
            <w:r>
              <w:rPr>
                <w:rFonts w:ascii="Calibri" w:eastAsia="Microsoft YaHei"/>
                <w:color w:val="182030"/>
                <w:sz w:val="21"/>
                <w:szCs w:val="21"/>
              </w:rPr>
              <w:t xml:space="preserve">10</w:t>
            </w:r>
          </w:p>
        </w:tc>
        <w:tc>
          <w:tcPr>
            <w:tcW w:type="pct" w:w="40%"/>
            <w:tcMar>
              <w:top w:type="dxa" w:w="40"/>
              <w:left w:type="dxa" w:w="80"/>
              <w:bottom w:type="dxa" w:w="40"/>
              <w:right w:type="dxa" w:w="80"/>
            </w:tcMar>
          </w:tcPr>
          <w:p>
            <w:r>
              <w:rPr>
                <w:rFonts w:ascii="Calibri" w:eastAsia="Microsoft YaHei"/>
                <w:color w:val="182030"/>
                <w:sz w:val="21"/>
                <w:szCs w:val="21"/>
              </w:rPr>
              <w:t xml:space="preserve">All evidence committed to GitHub</w:t>
            </w:r>
          </w:p>
        </w:tc>
        <w:tc>
          <w:tcPr>
            <w:tcW w:type="pct" w:w="35%"/>
            <w:tcMar>
              <w:top w:type="dxa" w:w="40"/>
              <w:left w:type="dxa" w:w="80"/>
              <w:bottom w:type="dxa" w:w="40"/>
              <w:right w:type="dxa" w:w="80"/>
            </w:tcMar>
          </w:tcPr>
          <w:p>
            <w:r>
              <w:rPr>
                <w:rFonts w:ascii="Calibri" w:eastAsia="Microsoft YaHei"/>
                <w:color w:val="182030"/>
                <w:sz w:val="21"/>
                <w:szCs w:val="21"/>
              </w:rPr>
              <w:t xml:space="preserve">SHA: 9208c48 verified</w:t>
            </w:r>
          </w:p>
        </w:tc>
        <w:tc>
          <w:tcPr>
            <w:tcW w:type="pct" w:w="12%"/>
            <w:tcMar>
              <w:top w:type="dxa" w:w="40"/>
              <w:left w:type="dxa" w:w="80"/>
              <w:bottom w:type="dxa" w:w="40"/>
              <w:right w:type="dxa" w:w="80"/>
            </w:tcMar>
          </w:tcPr>
          <w:p>
            <w:pPr>
              <w:jc w:val="center"/>
            </w:pPr>
            <w:r>
              <w:rPr>
                <w:rFonts w:ascii="Calibri"/>
                <w:b/>
                <w:bCs/>
                <w:color w:val="2D7D46"/>
                <w:sz w:val="21"/>
                <w:szCs w:val="21"/>
              </w:rPr>
              <w:t xml:space="preserve">PASS</w:t>
            </w:r>
          </w:p>
        </w:tc>
      </w:tr>
    </w:tbl>
    <w:p>
      <w:pPr>
        <w:pStyle w:val="Heading1"/>
        <w:spacing w:after="160" w:before="360" w:line="312"/>
      </w:pPr>
      <w:bookmarkStart w:id="100019" w:name="_Toc100019"/>
      <w:r>
        <w:rPr>
          <w:rFonts w:ascii="Calibri" w:eastAsia="SimHei"/>
          <w:b/>
          <w:bCs/>
          <w:color w:val="101820"/>
          <w:sz w:val="32"/>
          <w:szCs w:val="32"/>
        </w:rPr>
        <w:t xml:space="preserve">8. Engineering Impact Assessment</w:t>
      </w:r>
      <w:bookmarkEnd w:id="100019"/>
    </w:p>
    <w:p>
      <w:pPr>
        <w:spacing w:after="80" w:line="312"/>
        <w:ind w:firstLine="480"/>
        <w:jc w:val="both"/>
      </w:pPr>
      <w:r>
        <w:rPr>
          <w:rFonts w:ascii="Calibri" w:eastAsia="Microsoft YaHei"/>
          <w:color w:val="182030"/>
          <w:sz w:val="24"/>
          <w:szCs w:val="24"/>
        </w:rPr>
        <w:t xml:space="preserve">The CI Reliability Foundation transforms the development workflow from a reactive pattern (code, push, fail, fix) to a proactive pattern (code, validate locally, validate at push gate, confirm in CI, deploy). The estimated impact includes a significant reduction in CI failure rate, elimination of the push-and-pray anti-pattern where developers push code without confidence in CI outcome, and a structural guarantee that environment-specific assumptions cannot reach the CI pipeline undetected.</w:t>
      </w:r>
    </w:p>
    <w:p>
      <w:pPr>
        <w:spacing w:after="80" w:line="312"/>
        <w:ind w:firstLine="480"/>
        <w:jc w:val="both"/>
      </w:pPr>
      <w:r>
        <w:rPr>
          <w:rFonts w:ascii="Calibri" w:eastAsia="Microsoft YaHei"/>
          <w:color w:val="182030"/>
          <w:sz w:val="24"/>
          <w:szCs w:val="24"/>
        </w:rPr>
        <w:t xml:space="preserve">The enforcement rules ensure that CI continues to validate genuine quality over time, preventing the gradual erosion of CI standards through convenience shortcuts. The documentation ensures that any team member can maintain and extend the CI reliability foundation without requiring tribal knowledge or original implementer involvement. The Node compatibility matrix provides ongoing assurance that the application remains portable across supported runtime versions.</w:t>
      </w:r>
    </w:p>
    <w:p>
      <w:pPr>
        <w:spacing w:after="80" w:line="312"/>
        <w:ind w:firstLine="480"/>
        <w:jc w:val="both"/>
      </w:pPr>
      <w:r>
        <w:rPr>
          <w:rFonts w:ascii="Calibri" w:eastAsia="Microsoft YaHei"/>
          <w:color w:val="182030"/>
          <w:sz w:val="24"/>
          <w:szCs w:val="24"/>
        </w:rPr>
        <w:t xml:space="preserve">With all ten acceptance criteria verified and documented, the CI Reliability Foundation is accepted as a completed engineering milestone. The project is cleared to proceed to M4 Phase 3: Deployment Pipeline Foundation.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808080"/>
        <w:sz w:val="18"/>
        <w:szCs w:val="18"/>
      </w:rPr>
      <w:t xml:space="preserve">CI Reliability Foundation — Verification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101820"/>
      <w:sz w:val="32"/>
      <w:szCs w:val="32"/>
    </w:rPr>
  </w:style>
  <w:style w:type="paragraph" w:styleId="Heading2">
    <w:name w:val="Heading 2"/>
    <w:basedOn w:val="Normal"/>
    <w:next w:val="Normal"/>
    <w:qFormat/>
    <w:pPr>
      <w:spacing w:after="120" w:before="280" w:line="312"/>
      <w:outlineLvl w:val="1"/>
    </w:pPr>
    <w:rPr>
      <w:rFonts w:ascii="Calibri" w:eastAsia="SimHei"/>
      <w:b/>
      <w:bCs/>
      <w:color w:val="101820"/>
      <w:sz w:val="28"/>
      <w:szCs w:val="28"/>
    </w:rPr>
  </w:style>
  <w:style w:type="paragraph" w:styleId="Heading3">
    <w:name w:val="Heading 3"/>
    <w:basedOn w:val="Normal"/>
    <w:next w:val="Normal"/>
    <w:qFormat/>
    <w:pPr>
      <w:spacing w:after="100" w:before="200" w:line="312"/>
      <w:outlineLvl w:val="2"/>
    </w:pPr>
    <w:rPr>
      <w:rFonts w:ascii="Calibri" w:eastAsia="SimHei"/>
      <w:b/>
      <w:bCs/>
      <w:color w:val="50607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2026-08-05T15:47:09.475Z</dcterms:created>
  <dcterms:modified xsi:type="dcterms:W3CDTF">2026-08-05T15:47:09.475Z</dcterms:modified>
</cp:coreProperties>
</file>

<file path=docProps/custom.xml><?xml version="1.0" encoding="utf-8"?>
<Properties xmlns="http://schemas.openxmlformats.org/officeDocument/2006/custom-properties" xmlns:vt="http://schemas.openxmlformats.org/officeDocument/2006/docPropsVTypes"/>
</file>