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sz="0"/>
          <w:left w:val="none" w:sz="0"/>
          <w:bottom w:val="none" w:sz="0"/>
          <w:right w:val="none" w:sz="0"/>
          <w:insideH w:val="none" w:sz="0"/>
          <w:insideV w:val="none" w:sz="0"/>
        </w:tblBorders>
      </w:tblPr>
      <w:tblGrid>
        <w:gridCol w:w="100"/>
      </w:tblGrid>
      <w:tr>
        <w:trPr>
          <w:trHeight w:val="16838" w:hRule="exact"/>
        </w:trPr>
        <w:tc>
          <w:tcPr>
            <w:tcW w:type="pct" w:w="100%"/>
            <w:tcBorders>
              <w:top w:val="none" w:sz="0"/>
              <w:left w:val="none" w:sz="0"/>
              <w:bottom w:val="none" w:sz="0"/>
              <w:right w:val="none" w:sz="0"/>
            </w:tcBorders>
            <w:shd w:fill="101820" w:val="clear"/>
            <w:vAlign w:val="top"/>
          </w:tcPr>
          <w:tbl>
            <w:tblPr>
              <w:tblW w:type="pct" w:w="100%"/>
              <w:tblBorders>
                <w:top w:val="none" w:sz="0"/>
                <w:left w:val="none" w:sz="0"/>
                <w:bottom w:val="none" w:sz="0"/>
                <w:right w:val="none" w:sz="0"/>
                <w:insideH w:val="none" w:sz="0"/>
                <w:insideV w:val="none" w:sz="0"/>
              </w:tblBorders>
            </w:tblPr>
            <w:tblGrid>
              <w:gridCol w:w="100"/>
            </w:tblGrid>
            <w:tr>
              <w:trPr>
                <w:trHeight w:val="120" w:hRule="exact"/>
              </w:trPr>
              <w:tc>
                <w:tcPr>
                  <w:tcW w:type="pct" w:w="100%"/>
                  <w:tcBorders>
                    <w:top w:val="none" w:sz="0"/>
                    <w:left w:val="none" w:sz="0"/>
                    <w:bottom w:val="none" w:sz="0"/>
                    <w:right w:val="none" w:sz="0"/>
                  </w:tcBorders>
                  <w:shd w:fill="2D7D46" w:val="clear"/>
                </w:tcPr>
                <w:p>
                  <w:pPr>
                    <w:spacing w:after="0" w:before="0"/>
                  </w:pPr>
                </w:p>
              </w:tc>
            </w:tr>
          </w:tbl>
          <w:p>
            <w:pPr>
              <w:spacing w:after="0" w:before="2200"/>
            </w:pPr>
          </w:p>
          <w:p>
            <w:pPr>
              <w:spacing w:after="120" w:before="0" w:line="480"/>
              <w:jc w:val="left"/>
            </w:pPr>
            <w:r>
              <w:rPr>
                <w:rFonts w:ascii="Calibri" w:eastAsia="SimHei"/>
                <w:b/>
                <w:bCs/>
                <w:color w:val="FFFFFF"/>
                <w:sz w:val="56"/>
                <w:szCs w:val="56"/>
              </w:rPr>
              <w:t xml:space="preserve">M4 Phase 3</w:t>
            </w:r>
          </w:p>
          <w:p>
            <w:pPr>
              <w:spacing w:after="80" w:before="0" w:line="400"/>
              <w:jc w:val="left"/>
            </w:pPr>
            <w:r>
              <w:rPr>
                <w:rFonts w:ascii="Calibri" w:eastAsia="SimHei"/>
                <w:b/>
                <w:bCs/>
                <w:color w:val="FFFFFF"/>
                <w:sz w:val="40"/>
                <w:szCs w:val="40"/>
              </w:rPr>
              <w:t xml:space="preserve">Deployment Pipeline Foundation</w:t>
            </w:r>
          </w:p>
          <w:p>
            <w:pPr>
              <w:spacing w:after="60" w:before="0" w:line="360"/>
              <w:jc w:val="left"/>
            </w:pPr>
            <w:r>
              <w:rPr>
                <w:rFonts w:ascii="Calibri" w:eastAsia="Microsoft YaHei"/>
                <w:color w:val="A0B0C0"/>
                <w:sz w:val="30"/>
                <w:szCs w:val="30"/>
              </w:rPr>
              <w:t xml:space="preserve">Architecture Audit &amp; Proposed Design</w:t>
            </w:r>
          </w:p>
          <w:tbl>
            <w:tblPr>
              <w:tblW w:type="pct" w:w="30%"/>
              <w:tblBorders>
                <w:top w:val="none" w:sz="0"/>
                <w:left w:val="none" w:sz="0"/>
                <w:bottom w:val="none" w:sz="0"/>
                <w:right w:val="none" w:sz="0"/>
                <w:insideH w:val="none" w:sz="0"/>
                <w:insideV w:val="none" w:sz="0"/>
              </w:tblBorders>
            </w:tblPr>
            <w:tblGrid>
              <w:gridCol w:w="100"/>
            </w:tblGrid>
            <w:tr>
              <w:trPr>
                <w:trHeight w:val="60" w:hRule="exact"/>
              </w:trPr>
              <w:tc>
                <w:tcPr>
                  <w:tcW w:type="pct" w:w="100%"/>
                  <w:tcBorders>
                    <w:top w:val="none" w:sz="0"/>
                    <w:left w:val="none" w:sz="0"/>
                    <w:bottom w:val="none" w:sz="0"/>
                    <w:right w:val="none" w:sz="0"/>
                  </w:tcBorders>
                  <w:shd w:fill="2D7D46" w:val="clear"/>
                </w:tcPr>
                <w:p>
                  <w:pPr>
                    <w:spacing w:after="0" w:before="0"/>
                  </w:pPr>
                </w:p>
              </w:tc>
            </w:tr>
          </w:tbl>
          <w:p>
            <w:pPr>
              <w:spacing w:after="0" w:before="500"/>
            </w:pPr>
          </w:p>
          <w:p>
            <w:pPr>
              <w:spacing w:after="60" w:before="0" w:line="300"/>
              <w:jc w:val="left"/>
            </w:pPr>
            <w:r>
              <w:rPr>
                <w:rFonts w:ascii="Calibri" w:eastAsia="Microsoft YaHei"/>
                <w:color w:val="708090"/>
                <w:sz w:val="22"/>
                <w:szCs w:val="22"/>
              </w:rPr>
              <w:t xml:space="preserve">DeepMindQ CRM — Deployment Infrastructure</w:t>
            </w:r>
          </w:p>
          <w:p>
            <w:pPr>
              <w:spacing w:after="60" w:before="0" w:line="300"/>
              <w:jc w:val="left"/>
            </w:pPr>
            <w:r>
              <w:rPr>
                <w:rFonts w:ascii="Calibri"/>
                <w:color w:val="708090"/>
                <w:sz w:val="20"/>
                <w:szCs w:val="20"/>
              </w:rPr>
              <w:t xml:space="preserve">Repository: DeepMindQ/deepmindq-crm</w:t>
            </w:r>
          </w:p>
          <w:p>
            <w:pPr>
              <w:spacing w:after="60" w:before="0" w:line="300"/>
              <w:jc w:val="left"/>
            </w:pPr>
            <w:r>
              <w:rPr>
                <w:rFonts w:ascii="Calibri"/>
                <w:color w:val="708090"/>
                <w:sz w:val="20"/>
                <w:szCs w:val="20"/>
              </w:rPr>
              <w:t xml:space="preserve">Date: 2026-08-05</w:t>
            </w:r>
          </w:p>
          <w:p>
            <w:pPr>
              <w:spacing w:after="60" w:before="0" w:line="300"/>
              <w:jc w:val="left"/>
            </w:pPr>
            <w:r>
              <w:rPr>
                <w:rFonts w:ascii="Calibri"/>
                <w:color w:val="708090"/>
                <w:sz w:val="20"/>
                <w:szCs w:val="20"/>
              </w:rPr>
              <w:t xml:space="preserve">Classification: Internal Engineering Document</w:t>
            </w:r>
          </w:p>
        </w:tc>
      </w:tr>
    </w:tbl>
    <w:p>
      <w:pPr>
        <w:sectPr>
          <w:pgSz w:w="11906" w:h="16838" w:orient="portrait"/>
          <w:pgMar w:top="0" w:right="0" w:bottom="0" w:left="0" w:header="708" w:footer="708" w:gutter="0"/>
          <w:pgNumType/>
          <w:docGrid w:linePitch="360"/>
        </w:sectPr>
      </w:pPr>
    </w:p>
    <w:p>
      <w:pPr>
        <w:spacing w:after="360" w:before="480"/>
        <w:jc w:val="center"/>
      </w:pPr>
      <w:r>
        <w:rPr>
          <w:rFonts w:ascii="Calibri" w:eastAsia="SimHei"/>
          <w:b/>
          <w:bCs/>
          <w:color w:val="10182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Current Deployment Architecture</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Hosting Configuration</w:t>
            </w:r>
            <w:r>
              <w:tab/>
            </w:r>
            <w:r>
              <w:fldChar w:fldCharType="begin"/>
            </w:r>
            <w:r>
              <w:instrText xml:space="preserve"> PAGEREF _Toc100002 \h </w:instrText>
            </w:r>
            <w:r>
              <w:fldChar w:fldCharType="separate"/>
            </w:r>
            <w:r>
              <w:t>2</w:t>
            </w:r>
            <w:r>
              <w:fldChar w:fldCharType="end"/>
            </w:r>
          </w:hyperlink>
        </w:p>
        <w:p>
          <w:pPr>
            <w:pStyle w:val="12"/>
            <w:ind w:left="720"/>
            <w:tabs>
              <w:tab w:val="right" w:leader="dot" w:pos="9026"/>
            </w:tabs>
            <w:spacing w:before="120" w:after="60"/>
          </w:pPr>
          <w:hyperlink w:anchor="_Toc100003" w:history="1">
            <w:r>
              <w:rPr>
                <w:rStyle w:val="Hyperlink"/>
              </w:rPr>
              <w:t>2.1.1 Vercel Configuration</w:t>
            </w:r>
            <w:r>
              <w:tab/>
            </w:r>
            <w:r>
              <w:fldChar w:fldCharType="begin"/>
            </w:r>
            <w:r>
              <w:instrText xml:space="preserve"> PAGEREF _Toc100003 \h </w:instrText>
            </w:r>
            <w:r>
              <w:fldChar w:fldCharType="separate"/>
            </w:r>
            <w:r>
              <w:t>2</w:t>
            </w:r>
            <w:r>
              <w:fldChar w:fldCharType="end"/>
            </w:r>
          </w:hyperlink>
        </w:p>
        <w:p>
          <w:pPr>
            <w:pStyle w:val="12"/>
            <w:ind w:left="720"/>
            <w:tabs>
              <w:tab w:val="right" w:leader="dot" w:pos="9026"/>
            </w:tabs>
            <w:spacing w:before="120" w:after="60"/>
          </w:pPr>
          <w:hyperlink w:anchor="_Toc100004" w:history="1">
            <w:r>
              <w:rPr>
                <w:rStyle w:val="Hyperlink"/>
              </w:rPr>
              <w:t>2.1.2 Docker Configuration</w:t>
            </w:r>
            <w:r>
              <w:tab/>
            </w:r>
            <w:r>
              <w:fldChar w:fldCharType="begin"/>
            </w:r>
            <w:r>
              <w:instrText xml:space="preserve"> PAGEREF _Toc100004 \h </w:instrText>
            </w:r>
            <w:r>
              <w:fldChar w:fldCharType="separate"/>
            </w:r>
            <w:r>
              <w:t>2</w:t>
            </w:r>
            <w:r>
              <w:fldChar w:fldCharType="end"/>
            </w:r>
          </w:hyperlink>
        </w:p>
        <w:p>
          <w:pPr>
            <w:pStyle w:val="12"/>
            <w:ind w:left="720"/>
            <w:tabs>
              <w:tab w:val="right" w:leader="dot" w:pos="9026"/>
            </w:tabs>
            <w:spacing w:before="120" w:after="60"/>
          </w:pPr>
          <w:hyperlink w:anchor="_Toc100005" w:history="1">
            <w:r>
              <w:rPr>
                <w:rStyle w:val="Hyperlink"/>
              </w:rPr>
              <w:t>2.1.3 Render.com Blueprint</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2.2 GitHub Workflow Infrastructure</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2.3 Current Build Process</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2.4 Current Deployment Flow</w:t>
            </w:r>
            <w:r>
              <w:tab/>
            </w:r>
            <w:r>
              <w:fldChar w:fldCharType="begin"/>
            </w:r>
            <w:r>
              <w:instrText xml:space="preserve"> PAGEREF _Toc100008 \h </w:instrText>
            </w:r>
            <w:r>
              <w:fldChar w:fldCharType="separate"/>
            </w:r>
            <w:r>
              <w:t>4</w:t>
            </w:r>
            <w:r>
              <w:fldChar w:fldCharType="end"/>
            </w:r>
          </w:hyperlink>
        </w:p>
        <w:p>
          <w:pPr>
            <w:pStyle w:val="9"/>
            <w:tabs>
              <w:tab w:val="right" w:leader="dot" w:pos="9026"/>
            </w:tabs>
            <w:spacing w:before="120" w:after="60"/>
          </w:pPr>
          <w:hyperlink w:anchor="_Toc100009" w:history="1">
            <w:r>
              <w:rPr>
                <w:rStyle w:val="Hyperlink"/>
              </w:rPr>
              <w:t>3. Environment Strategy Audit</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3.1 Current Environment Landscape</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3.2 Environment Variables</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3.3 Secrets Management</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3.4 Database Separation Strategy</w:t>
            </w:r>
            <w:r>
              <w:tab/>
            </w:r>
            <w:r>
              <w:fldChar w:fldCharType="begin"/>
            </w:r>
            <w:r>
              <w:instrText xml:space="preserve"> PAGEREF _Toc100013 \h </w:instrText>
            </w:r>
            <w:r>
              <w:fldChar w:fldCharType="separate"/>
            </w:r>
            <w:r>
              <w:t>6</w:t>
            </w:r>
            <w:r>
              <w:fldChar w:fldCharType="end"/>
            </w:r>
          </w:hyperlink>
        </w:p>
        <w:p>
          <w:pPr>
            <w:pStyle w:val="9"/>
            <w:tabs>
              <w:tab w:val="right" w:leader="dot" w:pos="9026"/>
            </w:tabs>
            <w:spacing w:before="120" w:after="60"/>
          </w:pPr>
          <w:hyperlink w:anchor="_Toc100014" w:history="1">
            <w:r>
              <w:rPr>
                <w:rStyle w:val="Hyperlink"/>
              </w:rPr>
              <w:t>4. Database Deployment Strategy Assessment</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4.1 Prisma Migration Process</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4.2 Migration Safety Analysis</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4.3 Proposed Migration Workflow</w:t>
            </w:r>
            <w:r>
              <w:tab/>
            </w:r>
            <w:r>
              <w:fldChar w:fldCharType="begin"/>
            </w:r>
            <w:r>
              <w:instrText xml:space="preserve"> PAGEREF _Toc100017 \h </w:instrText>
            </w:r>
            <w:r>
              <w:fldChar w:fldCharType="separate"/>
            </w:r>
            <w:r>
              <w:t>7</w:t>
            </w:r>
            <w:r>
              <w:fldChar w:fldCharType="end"/>
            </w:r>
          </w:hyperlink>
        </w:p>
        <w:p>
          <w:pPr>
            <w:pStyle w:val="9"/>
            <w:tabs>
              <w:tab w:val="right" w:leader="dot" w:pos="9026"/>
            </w:tabs>
            <w:spacing w:before="120" w:after="60"/>
          </w:pPr>
          <w:hyperlink w:anchor="_Toc100018" w:history="1">
            <w:r>
              <w:rPr>
                <w:rStyle w:val="Hyperlink"/>
              </w:rPr>
              <w:t>5. Proposed Deployment Architecture</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5.1 Pipeline Overview</w:t>
            </w:r>
            <w:r>
              <w:tab/>
            </w:r>
            <w:r>
              <w:fldChar w:fldCharType="begin"/>
            </w:r>
            <w:r>
              <w:instrText xml:space="preserve"> PAGEREF _Toc100019 \h </w:instrText>
            </w:r>
            <w:r>
              <w:fldChar w:fldCharType="separate"/>
            </w:r>
            <w:r>
              <w:t>8</w:t>
            </w:r>
            <w:r>
              <w:fldChar w:fldCharType="end"/>
            </w:r>
          </w:hyperlink>
        </w:p>
        <w:p>
          <w:pPr>
            <w:pStyle w:val="11"/>
            <w:ind w:left="360"/>
            <w:tabs>
              <w:tab w:val="right" w:leader="dot" w:pos="9026"/>
            </w:tabs>
            <w:spacing w:before="120" w:after="60"/>
          </w:pPr>
          <w:hyperlink w:anchor="_Toc100020" w:history="1">
            <w:r>
              <w:rPr>
                <w:rStyle w:val="Hyperlink"/>
              </w:rPr>
              <w:t>5.2 Branch Strategy Alignment</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5.3 Staging Environment Design</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5.4 Production Deployment Design</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5.5 Smoke Test Design</w:t>
            </w:r>
            <w:r>
              <w:tab/>
            </w:r>
            <w:r>
              <w:fldChar w:fldCharType="begin"/>
            </w:r>
            <w:r>
              <w:instrText xml:space="preserve"> PAGEREF _Toc100023 \h </w:instrText>
            </w:r>
            <w:r>
              <w:fldChar w:fldCharType="separate"/>
            </w:r>
            <w:r>
              <w:t>9</w:t>
            </w:r>
            <w:r>
              <w:fldChar w:fldCharType="end"/>
            </w:r>
          </w:hyperlink>
        </w:p>
        <w:p>
          <w:pPr>
            <w:pStyle w:val="11"/>
            <w:ind w:left="360"/>
            <w:tabs>
              <w:tab w:val="right" w:leader="dot" w:pos="9026"/>
            </w:tabs>
            <w:spacing w:before="120" w:after="60"/>
          </w:pPr>
          <w:hyperlink w:anchor="_Toc100024" w:history="1">
            <w:r>
              <w:rPr>
                <w:rStyle w:val="Hyperlink"/>
              </w:rPr>
              <w:t>5.6 Health Endpoint</w:t>
            </w:r>
            <w:r>
              <w:tab/>
            </w:r>
            <w:r>
              <w:fldChar w:fldCharType="begin"/>
            </w:r>
            <w:r>
              <w:instrText xml:space="preserve"> PAGEREF _Toc100024 \h </w:instrText>
            </w:r>
            <w:r>
              <w:fldChar w:fldCharType="separate"/>
            </w:r>
            <w:r>
              <w:t>10</w:t>
            </w:r>
            <w:r>
              <w:fldChar w:fldCharType="end"/>
            </w:r>
          </w:hyperlink>
        </w:p>
        <w:p>
          <w:pPr>
            <w:pStyle w:val="11"/>
            <w:ind w:left="360"/>
            <w:tabs>
              <w:tab w:val="right" w:leader="dot" w:pos="9026"/>
            </w:tabs>
            <w:spacing w:before="120" w:after="60"/>
          </w:pPr>
          <w:hyperlink w:anchor="_Toc100025" w:history="1">
            <w:r>
              <w:rPr>
                <w:rStyle w:val="Hyperlink"/>
              </w:rPr>
              <w:t>5.7 Rollback Procedure</w:t>
            </w:r>
            <w:r>
              <w:tab/>
            </w:r>
            <w:r>
              <w:fldChar w:fldCharType="begin"/>
            </w:r>
            <w:r>
              <w:instrText xml:space="preserve"> PAGEREF _Toc100025 \h </w:instrText>
            </w:r>
            <w:r>
              <w:fldChar w:fldCharType="separate"/>
            </w:r>
            <w:r>
              <w:t>10</w:t>
            </w:r>
            <w:r>
              <w:fldChar w:fldCharType="end"/>
            </w:r>
          </w:hyperlink>
        </w:p>
        <w:p>
          <w:pPr>
            <w:pStyle w:val="9"/>
            <w:tabs>
              <w:tab w:val="right" w:leader="dot" w:pos="9026"/>
            </w:tabs>
            <w:spacing w:before="120" w:after="60"/>
          </w:pPr>
          <w:hyperlink w:anchor="_Toc100026" w:history="1">
            <w:r>
              <w:rPr>
                <w:rStyle w:val="Hyperlink"/>
              </w:rPr>
              <w:t>6. Implementation Plan</w:t>
            </w:r>
            <w:r>
              <w:tab/>
            </w:r>
            <w:r>
              <w:fldChar w:fldCharType="begin"/>
            </w:r>
            <w:r>
              <w:instrText xml:space="preserve"> PAGEREF _Toc100026 \h </w:instrText>
            </w:r>
            <w:r>
              <w:fldChar w:fldCharType="separate"/>
            </w:r>
            <w:r>
              <w:t>10</w:t>
            </w:r>
            <w:r>
              <w:fldChar w:fldCharType="end"/>
            </w:r>
          </w:hyperlink>
        </w:p>
        <w:p>
          <w:pPr>
            <w:pStyle w:val="11"/>
            <w:ind w:left="360"/>
            <w:tabs>
              <w:tab w:val="right" w:leader="dot" w:pos="9026"/>
            </w:tabs>
            <w:spacing w:before="120" w:after="60"/>
          </w:pPr>
          <w:hyperlink w:anchor="_Toc100027" w:history="1">
            <w:r>
              <w:rPr>
                <w:rStyle w:val="Hyperlink"/>
              </w:rPr>
              <w:t>6.1 Phase Dependencies</w:t>
            </w:r>
            <w:r>
              <w:tab/>
            </w:r>
            <w:r>
              <w:fldChar w:fldCharType="begin"/>
            </w:r>
            <w:r>
              <w:instrText xml:space="preserve"> PAGEREF _Toc100027 \h </w:instrText>
            </w:r>
            <w:r>
              <w:fldChar w:fldCharType="separate"/>
            </w:r>
            <w:r>
              <w:t>11</w:t>
            </w:r>
            <w:r>
              <w:fldChar w:fldCharType="end"/>
            </w:r>
          </w:hyperlink>
        </w:p>
        <w:p>
          <w:pPr>
            <w:pStyle w:val="9"/>
            <w:tabs>
              <w:tab w:val="right" w:leader="dot" w:pos="9026"/>
            </w:tabs>
            <w:spacing w:before="120" w:after="60"/>
          </w:pPr>
          <w:hyperlink w:anchor="_Toc100028" w:history="1">
            <w:r>
              <w:rPr>
                <w:rStyle w:val="Hyperlink"/>
              </w:rPr>
              <w:t>7. Technical Debt and Risk Register</w:t>
            </w:r>
            <w:r>
              <w:tab/>
            </w:r>
            <w:r>
              <w:fldChar w:fldCharType="begin"/>
            </w:r>
            <w:r>
              <w:instrText xml:space="preserve"> PAGEREF _Toc100028 \h </w:instrText>
            </w:r>
            <w:r>
              <w:fldChar w:fldCharType="separate"/>
            </w:r>
            <w:r>
              <w:t>11</w:t>
            </w:r>
            <w:r>
              <w:fldChar w:fldCharType="end"/>
            </w:r>
          </w:hyperlink>
        </w:p>
        <w:p>
          <w:pPr>
            <w:pStyle w:val="11"/>
            <w:ind w:left="360"/>
            <w:tabs>
              <w:tab w:val="right" w:leader="dot" w:pos="9026"/>
            </w:tabs>
            <w:spacing w:before="120" w:after="60"/>
          </w:pPr>
          <w:hyperlink w:anchor="_Toc100029" w:history="1">
            <w:r>
              <w:rPr>
                <w:rStyle w:val="Hyperlink"/>
              </w:rPr>
              <w:t>7.1 Existing Technical Debt</w:t>
            </w:r>
            <w:r>
              <w:tab/>
            </w:r>
            <w:r>
              <w:fldChar w:fldCharType="begin"/>
            </w:r>
            <w:r>
              <w:instrText xml:space="preserve"> PAGEREF _Toc100029 \h </w:instrText>
            </w:r>
            <w:r>
              <w:fldChar w:fldCharType="separate"/>
            </w:r>
            <w:r>
              <w:t>11</w:t>
            </w:r>
            <w:r>
              <w:fldChar w:fldCharType="end"/>
            </w:r>
          </w:hyperlink>
        </w:p>
        <w:p>
          <w:pPr>
            <w:pStyle w:val="11"/>
            <w:ind w:left="360"/>
            <w:tabs>
              <w:tab w:val="right" w:leader="dot" w:pos="9026"/>
            </w:tabs>
            <w:spacing w:before="120" w:after="60"/>
          </w:pPr>
          <w:hyperlink w:anchor="_Toc100030" w:history="1">
            <w:r>
              <w:rPr>
                <w:rStyle w:val="Hyperlink"/>
              </w:rPr>
              <w:t>7.2 Deployment Pipeline Risks</w:t>
            </w:r>
            <w:r>
              <w:tab/>
            </w:r>
            <w:r>
              <w:fldChar w:fldCharType="begin"/>
            </w:r>
            <w:r>
              <w:instrText xml:space="preserve"> PAGEREF _Toc100030 \h </w:instrText>
            </w:r>
            <w:r>
              <w:fldChar w:fldCharType="separate"/>
            </w:r>
            <w:r>
              <w:t>12</w:t>
            </w:r>
            <w:r>
              <w:fldChar w:fldCharType="end"/>
            </w:r>
          </w:hyperlink>
        </w:p>
        <w:p>
          <w:pPr>
            <w:pStyle w:val="9"/>
            <w:tabs>
              <w:tab w:val="right" w:leader="dot" w:pos="9026"/>
            </w:tabs>
            <w:spacing w:before="120" w:after="60"/>
          </w:pPr>
          <w:hyperlink w:anchor="_Toc100031" w:history="1">
            <w:r>
              <w:rPr>
                <w:rStyle w:val="Hyperlink"/>
              </w:rPr>
              <w:t>8. M4 Phase 3 Completion Criteria</w:t>
            </w:r>
            <w:r>
              <w:tab/>
            </w:r>
            <w:r>
              <w:fldChar w:fldCharType="begin"/>
            </w:r>
            <w:r>
              <w:instrText xml:space="preserve"> PAGEREF _Toc100031 \h </w:instrText>
            </w:r>
            <w:r>
              <w:fldChar w:fldCharType="separate"/>
            </w:r>
            <w:r>
              <w:t>12</w:t>
            </w:r>
            <w:r>
              <w:fldChar w:fldCharType="end"/>
            </w:r>
          </w:hyperlink>
        </w:p>
        <w:p>
          <w:r>
            <w:fldChar w:fldCharType="end"/>
          </w:r>
        </w:p>
      </w:sdtContent>
    </w:sdt>
    <w:p>
      <w:pPr>
        <w:spacing w:before="200"/>
      </w:pPr>
      <w:r>
        <w:rPr>
          <w:i/>
          <w:iCs/>
          <w:color w:val="888888"/>
          <w:sz w:val="18"/>
          <w:szCs w:val="18"/>
        </w:rPr>
        <w:t xml:space="preserve">Note: Right-click the Table of Contents and select "Update Field" to refresh page numbers.</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Calibri" w:eastAsia="SimHei"/>
          <w:b/>
          <w:bCs/>
          <w:color w:val="101820"/>
          <w:sz w:val="32"/>
          <w:szCs w:val="32"/>
        </w:rPr>
        <w:t xml:space="preserve">1. Executive Summary</w:t>
      </w:r>
      <w:bookmarkEnd w:id="100000"/>
    </w:p>
    <w:p>
      <w:pPr>
        <w:spacing w:after="80" w:line="312"/>
        <w:ind w:firstLine="480"/>
        <w:jc w:val="both"/>
      </w:pPr>
      <w:r>
        <w:rPr>
          <w:rFonts w:ascii="Calibri" w:eastAsia="Microsoft YaHei"/>
          <w:color w:val="182030"/>
          <w:sz w:val="24"/>
          <w:szCs w:val="24"/>
        </w:rPr>
        <w:t xml:space="preserve">This architecture audit provides a comprehensive assessment of the current deployment infrastructure for the DeepMindQ CRM project and proposes the deployment pipeline foundation for M4 Phase 3. The audit examines existing hosting configurations, workflow files, build processes, environment strategies, database deployment approaches, and identifies the gaps that must be addressed to achieve automated, safe, and repeatable deployments.</w:t>
      </w:r>
    </w:p>
    <w:p>
      <w:pPr>
        <w:spacing w:after="80" w:line="312"/>
        <w:ind w:firstLine="480"/>
        <w:jc w:val="both"/>
      </w:pPr>
      <w:r>
        <w:rPr>
          <w:rFonts w:ascii="Calibri" w:eastAsia="Microsoft YaHei"/>
          <w:color w:val="182030"/>
          <w:sz w:val="24"/>
          <w:szCs w:val="24"/>
        </w:rPr>
        <w:t xml:space="preserve">The current deployment state is functional but manual: the application deploys to Vercel on push to `main` with GitHub auto-deploy enabled, Docker configurations exist for self-hosted deployment, and a Render.com blueprint is available as an alternative platform. However, there is no automated staging-to-production promotion pipeline, no smoke test automation, no deployment health checks, and no documented rollback procedures. The nightly regression suite provides some post-deployment validation but is not integrated into the deployment flow.</w:t>
      </w:r>
    </w:p>
    <w:p>
      <w:pPr>
        <w:spacing w:after="80" w:line="312"/>
        <w:ind w:firstLine="480"/>
        <w:jc w:val="both"/>
      </w:pPr>
      <w:r>
        <w:rPr>
          <w:rFonts w:ascii="Calibri" w:eastAsia="Microsoft YaHei"/>
          <w:color w:val="182030"/>
          <w:sz w:val="24"/>
          <w:szCs w:val="24"/>
        </w:rPr>
        <w:t xml:space="preserve">The proposed deployment architecture introduces a structured promotion pipeline: feature branch validation through CI, pull request merging to `develop` with automated staging deployment, smoke test execution against staging, approval gate for production promotion, merge to `main` with automated production deployment, and post-deployment health validation. This pipeline ensures that every production deployment is preceded by a validated staging deployment and explicit human approval.</w:t>
      </w:r>
    </w:p>
    <w:p>
      <w:pPr>
        <w:pStyle w:val="Heading1"/>
        <w:spacing w:after="160" w:before="360" w:line="312"/>
      </w:pPr>
      <w:bookmarkStart w:id="100001" w:name="_Toc100001"/>
      <w:r>
        <w:rPr>
          <w:rFonts w:ascii="Calibri" w:eastAsia="SimHei"/>
          <w:b/>
          <w:bCs/>
          <w:color w:val="101820"/>
          <w:sz w:val="32"/>
          <w:szCs w:val="32"/>
        </w:rPr>
        <w:t xml:space="preserve">2. Current Deployment Architecture</w:t>
      </w:r>
      <w:bookmarkEnd w:id="100001"/>
    </w:p>
    <w:p>
      <w:pPr>
        <w:pStyle w:val="Heading2"/>
        <w:spacing w:after="120" w:before="280" w:line="312"/>
      </w:pPr>
      <w:bookmarkStart w:id="100002" w:name="_Toc100002"/>
      <w:r>
        <w:rPr>
          <w:rFonts w:ascii="Calibri" w:eastAsia="SimHei"/>
          <w:b/>
          <w:bCs/>
          <w:color w:val="101820"/>
          <w:sz w:val="28"/>
          <w:szCs w:val="28"/>
        </w:rPr>
        <w:t xml:space="preserve">2.1 Hosting Configuration</w:t>
      </w:r>
      <w:bookmarkEnd w:id="100002"/>
    </w:p>
    <w:p>
      <w:pPr>
        <w:spacing w:after="80" w:line="312"/>
        <w:ind w:firstLine="480"/>
        <w:jc w:val="both"/>
      </w:pPr>
      <w:r>
        <w:rPr>
          <w:rFonts w:ascii="Calibri" w:eastAsia="Microsoft YaHei"/>
          <w:color w:val="182030"/>
          <w:sz w:val="24"/>
          <w:szCs w:val="24"/>
        </w:rPr>
        <w:t xml:space="preserve">The DeepMindQ CRM currently supports three deployment targets: Vercel as the primary hosting platform, Docker for self-hosted deployments, and Render.com as an alternative PaaS option. Each platform has specific configuration and build requirements that affect deployment strategy.</w:t>
      </w:r>
    </w:p>
    <w:p>
      <w:pPr>
        <w:pStyle w:val="Heading3"/>
        <w:spacing w:after="100" w:before="200" w:line="312"/>
      </w:pPr>
      <w:bookmarkStart w:id="100003" w:name="_Toc100003"/>
      <w:r>
        <w:rPr>
          <w:rFonts w:ascii="Calibri" w:eastAsia="SimHei"/>
          <w:b/>
          <w:bCs/>
          <w:color w:val="506070"/>
          <w:sz w:val="24"/>
          <w:szCs w:val="24"/>
        </w:rPr>
        <w:t xml:space="preserve">2.1.1 Vercel Configuration</w:t>
      </w:r>
      <w:bookmarkEnd w:id="100003"/>
    </w:p>
    <w:p>
      <w:pPr>
        <w:spacing w:after="80" w:line="312"/>
        <w:ind w:firstLine="480"/>
        <w:jc w:val="both"/>
      </w:pPr>
      <w:r>
        <w:rPr>
          <w:rFonts w:ascii="Calibri" w:eastAsia="Microsoft YaHei"/>
          <w:color w:val="182030"/>
          <w:sz w:val="24"/>
          <w:szCs w:val="24"/>
        </w:rPr>
        <w:t xml:space="preserve">The `vercel.json` configuration specifies a Next.js framework build with the Mumbai region (`bom1`), a custom build command (`npm run build:vercel`), and GitHub auto-deploy integration. The build command deliberately omits `prisma migrate deploy`, executing only `prisma generate` followed by `next build`. This design decision means database migrations are not part of the Vercel build process, which avoids build-time database access but requires migrations to be executed separately.</w:t>
      </w:r>
    </w:p>
    <w:p>
      <w:pPr>
        <w:spacing w:after="80" w:line="312"/>
        <w:ind w:firstLine="480"/>
        <w:jc w:val="both"/>
      </w:pPr>
      <w:r>
        <w:rPr>
          <w:rFonts w:ascii="Calibri" w:eastAsia="Microsoft YaHei"/>
          <w:color w:val="182030"/>
          <w:sz w:val="24"/>
          <w:szCs w:val="24"/>
        </w:rPr>
        <w:t xml:space="preserve">A cron job is configured at the path `/api/cron/job-processor` with a daily schedule at 06:00 UTC. This handles background processing tasks such as AI job queue management and scheduled analytics computations. The GitHub integration is configured with `autoAlias: true` and `silent: true`, meaning Vercel automatically creates deployment aliases for PR previews without posting deployment comments to the PR.</w:t>
      </w:r>
    </w:p>
    <w:p>
      <w:pPr>
        <w:pStyle w:val="Heading3"/>
        <w:spacing w:after="100" w:before="200" w:line="312"/>
      </w:pPr>
      <w:bookmarkStart w:id="100004" w:name="_Toc100004"/>
      <w:r>
        <w:rPr>
          <w:rFonts w:ascii="Calibri" w:eastAsia="SimHei"/>
          <w:b/>
          <w:bCs/>
          <w:color w:val="506070"/>
          <w:sz w:val="24"/>
          <w:szCs w:val="24"/>
        </w:rPr>
        <w:t xml:space="preserve">2.1.2 Docker Configuration</w:t>
      </w:r>
      <w:bookmarkEnd w:id="100004"/>
    </w:p>
    <w:p>
      <w:pPr>
        <w:spacing w:after="80" w:line="312"/>
        <w:ind w:firstLine="480"/>
        <w:jc w:val="both"/>
      </w:pPr>
      <w:r>
        <w:rPr>
          <w:rFonts w:ascii="Calibri" w:eastAsia="Microsoft YaHei"/>
          <w:color w:val="182030"/>
          <w:sz w:val="24"/>
          <w:szCs w:val="24"/>
        </w:rPr>
        <w:t xml:space="preserve">The Dockerfile implements a three-stage multi-stage build optimized for production deployment. Stage 1 (deps) installs production dependencies only. Stage 2 (builder) generates the Prisma client, executes database migrations, and builds the Next.js application with standalone output mode. Stage 3 (runner) creates a minimal runtime image running as a non-root user (UID 1001) with a health check targeting `/api/health` on port 3000.</w:t>
      </w:r>
    </w:p>
    <w:p>
      <w:pPr>
        <w:spacing w:after="80" w:line="312"/>
        <w:ind w:firstLine="480"/>
        <w:jc w:val="both"/>
      </w:pPr>
      <w:r>
        <w:rPr>
          <w:rFonts w:ascii="Calibri" w:eastAsia="Microsoft YaHei"/>
          <w:color w:val="182030"/>
          <w:sz w:val="24"/>
          <w:szCs w:val="24"/>
        </w:rPr>
        <w:t xml:space="preserve">The docker-compose.yml orchestrates three services: a PostgreSQL 16 database with automatic health checks and data volume persistence, the application container with full environment variable passthrough and database dependency ordering, and a backup service that performs compressed PostgreSQL dumps with a 30-backup rotation policy. The Caddyfile provides reverse proxy functionality on port 81, routing requests to the Next.js application on port 3000.</w:t>
      </w:r>
    </w:p>
    <w:p>
      <w:pPr>
        <w:pStyle w:val="Heading3"/>
        <w:spacing w:after="100" w:before="200" w:line="312"/>
      </w:pPr>
      <w:bookmarkStart w:id="100005" w:name="_Toc100005"/>
      <w:r>
        <w:rPr>
          <w:rFonts w:ascii="Calibri" w:eastAsia="SimHei"/>
          <w:b/>
          <w:bCs/>
          <w:color w:val="506070"/>
          <w:sz w:val="24"/>
          <w:szCs w:val="24"/>
        </w:rPr>
        <w:t xml:space="preserve">2.1.3 Render.com Blueprint</w:t>
      </w:r>
      <w:bookmarkEnd w:id="100005"/>
    </w:p>
    <w:p>
      <w:pPr>
        <w:spacing w:after="80" w:line="312"/>
        <w:ind w:firstLine="480"/>
        <w:jc w:val="both"/>
      </w:pPr>
      <w:r>
        <w:rPr>
          <w:rFonts w:ascii="Calibri" w:eastAsia="Microsoft YaHei"/>
          <w:color w:val="182030"/>
          <w:sz w:val="24"/>
          <w:szCs w:val="24"/>
        </w:rPr>
        <w:t xml:space="preserve">The `render.yaml` file provides a Render.com service definition that uses the same `build:vercel` command as Vercel, deliberately avoiding database access at build time. The blueprint auto-generates the `NEXTAUTH_SECRET` environment variable and configures a post-deploy database initialization step via `POST /api/setup-db`. This configuration demonstrates platform portability but has not been tested in a live Render environment.</w:t>
      </w:r>
    </w:p>
    <w:p>
      <w:pPr>
        <w:pStyle w:val="Heading2"/>
        <w:spacing w:after="120" w:before="280" w:line="312"/>
      </w:pPr>
      <w:bookmarkStart w:id="100006" w:name="_Toc100006"/>
      <w:r>
        <w:rPr>
          <w:rFonts w:ascii="Calibri" w:eastAsia="SimHei"/>
          <w:b/>
          <w:bCs/>
          <w:color w:val="101820"/>
          <w:sz w:val="28"/>
          <w:szCs w:val="28"/>
        </w:rPr>
        <w:t xml:space="preserve">2.2 GitHub Workflow Infrastructure</w:t>
      </w:r>
      <w:bookmarkEnd w:id="100006"/>
    </w:p>
    <w:p>
      <w:pPr>
        <w:spacing w:after="80" w:line="312"/>
        <w:ind w:firstLine="480"/>
        <w:jc w:val="both"/>
      </w:pPr>
      <w:r>
        <w:rPr>
          <w:rFonts w:ascii="Calibri" w:eastAsia="Microsoft YaHei"/>
          <w:color w:val="182030"/>
          <w:sz w:val="24"/>
          <w:szCs w:val="24"/>
        </w:rPr>
        <w:t xml:space="preserve">The project maintains three GitHub Actions workflow files that collectively define the CI/CD infrastructure. Understanding these workflows is essential for designing the deployment pipeline because the deployment jobs must integrate with the existing CI architecture.</w:t>
      </w:r>
    </w:p>
    <w:p>
      <w:pPr>
        <w:keepNext/>
        <w:spacing w:after="80" w:before="200" w:line="312"/>
      </w:pPr>
      <w:r>
        <w:rPr>
          <w:rFonts w:ascii="Calibri" w:eastAsia="SimHei"/>
          <w:b/>
          <w:bCs/>
          <w:color w:val="506070"/>
          <w:sz w:val="21"/>
          <w:szCs w:val="21"/>
        </w:rPr>
        <w:t xml:space="preserve">Table 1: GitHub Actions Workflow Inventory</w:t>
      </w:r>
    </w:p>
    <w:tbl>
      <w:tblPr>
        <w:tblW w:type="pct" w:w="100%"/>
        <w:tblBorders>
          <w:top w:val="single" w:color="D0D8E0" w:sz="1"/>
          <w:left w:val="none"/>
          <w:bottom w:val="single" w:color="D0D8E0" w:sz="1"/>
          <w:right w:val="none"/>
          <w:insideH w:val="single" w:color="D0D8E0" w:sz="1"/>
          <w:insideV w:val="none"/>
        </w:tblBorders>
      </w:tblPr>
      <w:tblGrid>
        <w:gridCol w:w="100"/>
        <w:gridCol w:w="100"/>
        <w:gridCol w:w="100"/>
        <w:gridCol w:w="100"/>
      </w:tblGrid>
      <w:tr>
        <w:trPr>
          <w:cantSplit/>
          <w:tblHeader/>
        </w:trPr>
        <w:tc>
          <w:tcPr>
            <w:tcW w:type="pct" w:w="25%"/>
            <w:shd w:fill="1A2332" w:val="clear"/>
            <w:tcMar>
              <w:top w:type="dxa" w:w="40"/>
              <w:left w:type="dxa" w:w="80"/>
              <w:bottom w:type="dxa" w:w="40"/>
              <w:right w:type="dxa" w:w="80"/>
            </w:tcMar>
          </w:tcPr>
          <w:p>
            <w:pPr>
              <w:jc w:val="center"/>
            </w:pPr>
            <w:r>
              <w:rPr>
                <w:rFonts w:ascii="Calibri"/>
                <w:b/>
                <w:bCs/>
                <w:color w:val="FFFFFF"/>
                <w:sz w:val="21"/>
                <w:szCs w:val="21"/>
              </w:rPr>
              <w:t xml:space="preserve">Workflow File</w:t>
            </w:r>
          </w:p>
        </w:tc>
        <w:tc>
          <w:tcPr>
            <w:tcW w:type="pct" w:w="25%"/>
            <w:shd w:fill="1A2332" w:val="clear"/>
            <w:tcMar>
              <w:top w:type="dxa" w:w="40"/>
              <w:left w:type="dxa" w:w="80"/>
              <w:bottom w:type="dxa" w:w="40"/>
              <w:right w:type="dxa" w:w="80"/>
            </w:tcMar>
          </w:tcPr>
          <w:p>
            <w:pPr>
              <w:jc w:val="center"/>
            </w:pPr>
            <w:r>
              <w:rPr>
                <w:rFonts w:ascii="Calibri"/>
                <w:b/>
                <w:bCs/>
                <w:color w:val="FFFFFF"/>
                <w:sz w:val="21"/>
                <w:szCs w:val="21"/>
              </w:rPr>
              <w:t xml:space="preserve">Triggers</w:t>
            </w:r>
          </w:p>
        </w:tc>
        <w:tc>
          <w:tcPr>
            <w:tcW w:type="pct" w:w="25%"/>
            <w:shd w:fill="1A2332" w:val="clear"/>
            <w:tcMar>
              <w:top w:type="dxa" w:w="40"/>
              <w:left w:type="dxa" w:w="80"/>
              <w:bottom w:type="dxa" w:w="40"/>
              <w:right w:type="dxa" w:w="80"/>
            </w:tcMar>
          </w:tcPr>
          <w:p>
            <w:pPr>
              <w:jc w:val="center"/>
            </w:pPr>
            <w:r>
              <w:rPr>
                <w:rFonts w:ascii="Calibri"/>
                <w:b/>
                <w:bCs/>
                <w:color w:val="FFFFFF"/>
                <w:sz w:val="21"/>
                <w:szCs w:val="21"/>
              </w:rPr>
              <w:t xml:space="preserve">Jobs</w:t>
            </w:r>
          </w:p>
        </w:tc>
        <w:tc>
          <w:tcPr>
            <w:tcW w:type="pct" w:w="25%"/>
            <w:shd w:fill="1A2332" w:val="clear"/>
            <w:tcMar>
              <w:top w:type="dxa" w:w="40"/>
              <w:left w:type="dxa" w:w="80"/>
              <w:bottom w:type="dxa" w:w="40"/>
              <w:right w:type="dxa" w:w="80"/>
            </w:tcMar>
          </w:tcPr>
          <w:p>
            <w:pPr>
              <w:jc w:val="center"/>
            </w:pPr>
            <w:r>
              <w:rPr>
                <w:rFonts w:ascii="Calibri"/>
                <w:b/>
                <w:bCs/>
                <w:color w:val="FFFFFF"/>
                <w:sz w:val="21"/>
                <w:szCs w:val="21"/>
              </w:rPr>
              <w:t xml:space="preserve">Deployment Role</w:t>
            </w:r>
          </w:p>
        </w:tc>
      </w:tr>
      <w:tr>
        <w:trPr>
          <w:cantSplit/>
          <w:tblHeader w:val="false"/>
        </w:trPr>
        <w:tc>
          <w:tcPr>
            <w:tcW w:type="pct" w:w="25%"/>
            <w:tcMar>
              <w:top w:type="dxa" w:w="40"/>
              <w:left w:type="dxa" w:w="80"/>
              <w:bottom w:type="dxa" w:w="40"/>
              <w:right w:type="dxa" w:w="80"/>
            </w:tcMar>
          </w:tcPr>
          <w:p>
            <w:r>
              <w:rPr>
                <w:rFonts w:ascii="Calibri" w:eastAsia="Microsoft YaHei"/>
                <w:color w:val="182030"/>
                <w:sz w:val="21"/>
                <w:szCs w:val="21"/>
              </w:rPr>
              <w:t xml:space="preserve">ci.yml (691 lines)</w:t>
            </w:r>
          </w:p>
        </w:tc>
        <w:tc>
          <w:tcPr>
            <w:tcW w:type="pct" w:w="25%"/>
            <w:tcMar>
              <w:top w:type="dxa" w:w="40"/>
              <w:left w:type="dxa" w:w="80"/>
              <w:bottom w:type="dxa" w:w="40"/>
              <w:right w:type="dxa" w:w="80"/>
            </w:tcMar>
          </w:tcPr>
          <w:p>
            <w:r>
              <w:rPr>
                <w:rFonts w:ascii="Calibri" w:eastAsia="Microsoft YaHei"/>
                <w:color w:val="182030"/>
                <w:sz w:val="21"/>
                <w:szCs w:val="21"/>
              </w:rPr>
              <w:t xml:space="preserve">push, PR, merge_group, weekly cron</w:t>
            </w:r>
          </w:p>
        </w:tc>
        <w:tc>
          <w:tcPr>
            <w:tcW w:type="pct" w:w="25%"/>
            <w:tcMar>
              <w:top w:type="dxa" w:w="40"/>
              <w:left w:type="dxa" w:w="80"/>
              <w:bottom w:type="dxa" w:w="40"/>
              <w:right w:type="dxa" w:w="80"/>
            </w:tcMar>
          </w:tcPr>
          <w:p>
            <w:r>
              <w:rPr>
                <w:rFonts w:ascii="Calibri" w:eastAsia="Microsoft YaHei"/>
                <w:color w:val="182030"/>
                <w:sz w:val="21"/>
                <w:szCs w:val="21"/>
              </w:rPr>
              <w:t xml:space="preserve">20 (10 blocking + 9 info + 1 scheduled)</w:t>
            </w:r>
          </w:p>
        </w:tc>
        <w:tc>
          <w:tcPr>
            <w:tcW w:type="pct" w:w="25%"/>
            <w:tcMar>
              <w:top w:type="dxa" w:w="40"/>
              <w:left w:type="dxa" w:w="80"/>
              <w:bottom w:type="dxa" w:w="40"/>
              <w:right w:type="dxa" w:w="80"/>
            </w:tcMar>
          </w:tcPr>
          <w:p>
            <w:r>
              <w:rPr>
                <w:rFonts w:ascii="Calibri" w:eastAsia="Microsoft YaHei"/>
                <w:color w:val="182030"/>
                <w:sz w:val="21"/>
                <w:szCs w:val="21"/>
              </w:rPr>
              <w:t xml:space="preserve">None — CI validation only</w:t>
            </w:r>
          </w:p>
        </w:tc>
      </w:tr>
      <w:tr>
        <w:trPr>
          <w:cantSplit/>
          <w:tblHeader w:val="false"/>
        </w:trPr>
        <w:tc>
          <w:tcPr>
            <w:tcW w:type="pct" w:w="25%"/>
            <w:tcMar>
              <w:top w:type="dxa" w:w="40"/>
              <w:left w:type="dxa" w:w="80"/>
              <w:bottom w:type="dxa" w:w="40"/>
              <w:right w:type="dxa" w:w="80"/>
            </w:tcMar>
          </w:tcPr>
          <w:p>
            <w:r>
              <w:rPr>
                <w:rFonts w:ascii="Calibri" w:eastAsia="Microsoft YaHei"/>
                <w:color w:val="182030"/>
                <w:sz w:val="21"/>
                <w:szCs w:val="21"/>
              </w:rPr>
              <w:t xml:space="preserve">nightly-regression.yml (165 lines)</w:t>
            </w:r>
          </w:p>
        </w:tc>
        <w:tc>
          <w:tcPr>
            <w:tcW w:type="pct" w:w="25%"/>
            <w:tcMar>
              <w:top w:type="dxa" w:w="40"/>
              <w:left w:type="dxa" w:w="80"/>
              <w:bottom w:type="dxa" w:w="40"/>
              <w:right w:type="dxa" w:w="80"/>
            </w:tcMar>
          </w:tcPr>
          <w:p>
            <w:r>
              <w:rPr>
                <w:rFonts w:ascii="Calibri" w:eastAsia="Microsoft YaHei"/>
                <w:color w:val="182030"/>
                <w:sz w:val="21"/>
                <w:szCs w:val="21"/>
              </w:rPr>
              <w:t xml:space="preserve">Daily 02:00 UTC, manual</w:t>
            </w:r>
          </w:p>
        </w:tc>
        <w:tc>
          <w:tcPr>
            <w:tcW w:type="pct" w:w="25%"/>
            <w:tcMar>
              <w:top w:type="dxa" w:w="40"/>
              <w:left w:type="dxa" w:w="80"/>
              <w:bottom w:type="dxa" w:w="40"/>
              <w:right w:type="dxa" w:w="80"/>
            </w:tcMar>
          </w:tcPr>
          <w:p>
            <w:r>
              <w:rPr>
                <w:rFonts w:ascii="Calibri" w:eastAsia="Microsoft YaHei"/>
                <w:color w:val="182030"/>
                <w:sz w:val="21"/>
                <w:szCs w:val="21"/>
              </w:rPr>
              <w:t xml:space="preserve">3 (regression, performance, memory)</w:t>
            </w:r>
          </w:p>
        </w:tc>
        <w:tc>
          <w:tcPr>
            <w:tcW w:type="pct" w:w="25%"/>
            <w:tcMar>
              <w:top w:type="dxa" w:w="40"/>
              <w:left w:type="dxa" w:w="80"/>
              <w:bottom w:type="dxa" w:w="40"/>
              <w:right w:type="dxa" w:w="80"/>
            </w:tcMar>
          </w:tcPr>
          <w:p>
            <w:r>
              <w:rPr>
                <w:rFonts w:ascii="Calibri" w:eastAsia="Microsoft YaHei"/>
                <w:color w:val="182030"/>
                <w:sz w:val="21"/>
                <w:szCs w:val="21"/>
              </w:rPr>
              <w:t xml:space="preserve">None — post-hoc validation</w:t>
            </w:r>
          </w:p>
        </w:tc>
      </w:tr>
      <w:tr>
        <w:trPr>
          <w:cantSplit/>
          <w:tblHeader w:val="false"/>
        </w:trPr>
        <w:tc>
          <w:tcPr>
            <w:tcW w:type="pct" w:w="25%"/>
            <w:tcMar>
              <w:top w:type="dxa" w:w="40"/>
              <w:left w:type="dxa" w:w="80"/>
              <w:bottom w:type="dxa" w:w="40"/>
              <w:right w:type="dxa" w:w="80"/>
            </w:tcMar>
          </w:tcPr>
          <w:p>
            <w:r>
              <w:rPr>
                <w:rFonts w:ascii="Calibri" w:eastAsia="Microsoft YaHei"/>
                <w:color w:val="182030"/>
                <w:sz w:val="21"/>
                <w:szCs w:val="21"/>
              </w:rPr>
              <w:t xml:space="preserve">(deploy-staging.yml)</w:t>
            </w:r>
          </w:p>
        </w:tc>
        <w:tc>
          <w:tcPr>
            <w:tcW w:type="pct" w:w="25%"/>
            <w:tcMar>
              <w:top w:type="dxa" w:w="40"/>
              <w:left w:type="dxa" w:w="80"/>
              <w:bottom w:type="dxa" w:w="40"/>
              <w:right w:type="dxa" w:w="80"/>
            </w:tcMar>
          </w:tcPr>
          <w:p>
            <w:r>
              <w:rPr>
                <w:rFonts w:ascii="Calibri" w:eastAsia="Microsoft YaHei"/>
                <w:color w:val="182030"/>
                <w:sz w:val="21"/>
                <w:szCs w:val="21"/>
              </w:rPr>
              <w:t xml:space="preserve">N/A</w:t>
            </w:r>
          </w:p>
        </w:tc>
        <w:tc>
          <w:tcPr>
            <w:tcW w:type="pct" w:w="25%"/>
            <w:tcMar>
              <w:top w:type="dxa" w:w="40"/>
              <w:left w:type="dxa" w:w="80"/>
              <w:bottom w:type="dxa" w:w="40"/>
              <w:right w:type="dxa" w:w="80"/>
            </w:tcMar>
          </w:tcPr>
          <w:p>
            <w:r>
              <w:rPr>
                <w:rFonts w:ascii="Calibri" w:eastAsia="Microsoft YaHei"/>
                <w:color w:val="182030"/>
                <w:sz w:val="21"/>
                <w:szCs w:val="21"/>
              </w:rPr>
              <w:t xml:space="preserve">N/A</w:t>
            </w:r>
          </w:p>
        </w:tc>
        <w:tc>
          <w:tcPr>
            <w:tcW w:type="pct" w:w="25%"/>
            <w:tcMar>
              <w:top w:type="dxa" w:w="40"/>
              <w:left w:type="dxa" w:w="80"/>
              <w:bottom w:type="dxa" w:w="40"/>
              <w:right w:type="dxa" w:w="80"/>
            </w:tcMar>
          </w:tcPr>
          <w:p>
            <w:r>
              <w:rPr>
                <w:rFonts w:ascii="Calibri" w:eastAsia="Microsoft YaHei"/>
                <w:color w:val="182030"/>
                <w:sz w:val="21"/>
                <w:szCs w:val="21"/>
              </w:rPr>
              <w:t xml:space="preserve">DOES NOT EXIST — to be created</w:t>
            </w:r>
          </w:p>
        </w:tc>
      </w:tr>
      <w:tr>
        <w:trPr>
          <w:cantSplit/>
          <w:tblHeader w:val="false"/>
        </w:trPr>
        <w:tc>
          <w:tcPr>
            <w:tcW w:type="pct" w:w="25%"/>
            <w:tcMar>
              <w:top w:type="dxa" w:w="40"/>
              <w:left w:type="dxa" w:w="80"/>
              <w:bottom w:type="dxa" w:w="40"/>
              <w:right w:type="dxa" w:w="80"/>
            </w:tcMar>
          </w:tcPr>
          <w:p>
            <w:r>
              <w:rPr>
                <w:rFonts w:ascii="Calibri" w:eastAsia="Microsoft YaHei"/>
                <w:color w:val="182030"/>
                <w:sz w:val="21"/>
                <w:szCs w:val="21"/>
              </w:rPr>
              <w:t xml:space="preserve">(deploy-production.yml)</w:t>
            </w:r>
          </w:p>
        </w:tc>
        <w:tc>
          <w:tcPr>
            <w:tcW w:type="pct" w:w="25%"/>
            <w:tcMar>
              <w:top w:type="dxa" w:w="40"/>
              <w:left w:type="dxa" w:w="80"/>
              <w:bottom w:type="dxa" w:w="40"/>
              <w:right w:type="dxa" w:w="80"/>
            </w:tcMar>
          </w:tcPr>
          <w:p>
            <w:r>
              <w:rPr>
                <w:rFonts w:ascii="Calibri" w:eastAsia="Microsoft YaHei"/>
                <w:color w:val="182030"/>
                <w:sz w:val="21"/>
                <w:szCs w:val="21"/>
              </w:rPr>
              <w:t xml:space="preserve">N/A</w:t>
            </w:r>
          </w:p>
        </w:tc>
        <w:tc>
          <w:tcPr>
            <w:tcW w:type="pct" w:w="25%"/>
            <w:tcMar>
              <w:top w:type="dxa" w:w="40"/>
              <w:left w:type="dxa" w:w="80"/>
              <w:bottom w:type="dxa" w:w="40"/>
              <w:right w:type="dxa" w:w="80"/>
            </w:tcMar>
          </w:tcPr>
          <w:p>
            <w:r>
              <w:rPr>
                <w:rFonts w:ascii="Calibri" w:eastAsia="Microsoft YaHei"/>
                <w:color w:val="182030"/>
                <w:sz w:val="21"/>
                <w:szCs w:val="21"/>
              </w:rPr>
              <w:t xml:space="preserve">N/A</w:t>
            </w:r>
          </w:p>
        </w:tc>
        <w:tc>
          <w:tcPr>
            <w:tcW w:type="pct" w:w="25%"/>
            <w:tcMar>
              <w:top w:type="dxa" w:w="40"/>
              <w:left w:type="dxa" w:w="80"/>
              <w:bottom w:type="dxa" w:w="40"/>
              <w:right w:type="dxa" w:w="80"/>
            </w:tcMar>
          </w:tcPr>
          <w:p>
            <w:r>
              <w:rPr>
                <w:rFonts w:ascii="Calibri" w:eastAsia="Microsoft YaHei"/>
                <w:color w:val="182030"/>
                <w:sz w:val="21"/>
                <w:szCs w:val="21"/>
              </w:rPr>
              <w:t xml:space="preserve">DOES NOT EXIST — to be created</w:t>
            </w:r>
          </w:p>
        </w:tc>
      </w:tr>
    </w:tbl>
    <w:p>
      <w:pPr>
        <w:spacing w:after="40"/>
      </w:pPr>
    </w:p>
    <w:p>
      <w:pPr>
        <w:spacing w:after="80" w:line="312"/>
        <w:ind w:firstLine="480"/>
        <w:jc w:val="both"/>
      </w:pPr>
      <w:r>
        <w:rPr>
          <w:rFonts w:ascii="Calibri" w:eastAsia="Microsoft YaHei"/>
          <w:color w:val="182030"/>
          <w:sz w:val="24"/>
          <w:szCs w:val="24"/>
        </w:rPr>
        <w:t xml:space="preserve">The CI workflow (ci.yml) operates with 10 blocking jobs and 9 non-blocking informational jobs. Blocking jobs include security gate, dependency audit, API security contract, path check, lint and typecheck, unit tests, security tests, API tests (with database), database tests (with database), integration tests, and build verification. The concurrency group `ci-${{ github.ref }}` with `cancel-in-progress: true` prevents resource waste from redundant CI runs.</w:t>
      </w:r>
    </w:p>
    <w:p>
      <w:pPr>
        <w:pStyle w:val="Heading2"/>
        <w:spacing w:after="120" w:before="280" w:line="312"/>
      </w:pPr>
      <w:bookmarkStart w:id="100007" w:name="_Toc100007"/>
      <w:r>
        <w:rPr>
          <w:rFonts w:ascii="Calibri" w:eastAsia="SimHei"/>
          <w:b/>
          <w:bCs/>
          <w:color w:val="101820"/>
          <w:sz w:val="28"/>
          <w:szCs w:val="28"/>
        </w:rPr>
        <w:t xml:space="preserve">2.3 Current Build Process</w:t>
      </w:r>
      <w:bookmarkEnd w:id="100007"/>
    </w:p>
    <w:p>
      <w:pPr>
        <w:spacing w:after="80" w:line="312"/>
        <w:ind w:firstLine="480"/>
        <w:jc w:val="both"/>
      </w:pPr>
      <w:r>
        <w:rPr>
          <w:rFonts w:ascii="Calibri" w:eastAsia="Microsoft YaHei"/>
          <w:color w:val="182030"/>
          <w:sz w:val="24"/>
          <w:szCs w:val="24"/>
        </w:rPr>
        <w:t xml:space="preserve">The build process varies by deployment target. The `build:vercel` script (`npx prisma generate &amp;&amp; npx next build`) is used for Vercel deployments and omits migration execution. The `build` script (`npx prisma generate &amp;&amp; npx prisma migrate deploy --skip-generate &amp;&amp; npx next build`) is used for Docker/self-hosted deployments and includes migration execution. The `vercel-build` script is identical to `build:vercel` and serves as the Vercel platform build hook.</w:t>
      </w:r>
    </w:p>
    <w:p>
      <w:pPr>
        <w:spacing w:after="80" w:line="312"/>
        <w:ind w:firstLine="480"/>
        <w:jc w:val="both"/>
      </w:pPr>
      <w:r>
        <w:rPr>
          <w:rFonts w:ascii="Calibri" w:eastAsia="Microsoft YaHei"/>
          <w:color w:val="182030"/>
          <w:sz w:val="24"/>
          <w:szCs w:val="24"/>
        </w:rPr>
        <w:t xml:space="preserve">The Next.js configuration (`next.config.ts`) conditionally sets the output mode based on the `VERCEL` environment variable. When deployed to Vercel, it uses the default output mode; for all other platforms, it uses `standalone` output for Docker compatibility. The configuration enables compression, React strict mode, and disables the `poweredByHeader` for security. TypeScript build errors are intentionally ignored (`ignoreBuildErrors: true`) to avoid OOM crashes from 80 known Prisma JsonValue type errors, with `tsc --noEmit` running as a separate CI validation step.</w:t>
      </w:r>
    </w:p>
    <w:p>
      <w:pPr>
        <w:pStyle w:val="Heading2"/>
        <w:spacing w:after="120" w:before="280" w:line="312"/>
      </w:pPr>
      <w:bookmarkStart w:id="100008" w:name="_Toc100008"/>
      <w:r>
        <w:rPr>
          <w:rFonts w:ascii="Calibri" w:eastAsia="SimHei"/>
          <w:b/>
          <w:bCs/>
          <w:color w:val="101820"/>
          <w:sz w:val="28"/>
          <w:szCs w:val="28"/>
        </w:rPr>
        <w:t xml:space="preserve">2.4 Current Deployment Flow</w:t>
      </w:r>
      <w:bookmarkEnd w:id="100008"/>
    </w:p>
    <w:p>
      <w:pPr>
        <w:spacing w:after="80" w:line="312"/>
        <w:ind w:firstLine="480"/>
        <w:jc w:val="both"/>
      </w:pPr>
      <w:r>
        <w:rPr>
          <w:rFonts w:ascii="Calibri" w:eastAsia="Microsoft YaHei"/>
          <w:color w:val="182030"/>
          <w:sz w:val="24"/>
          <w:szCs w:val="24"/>
        </w:rPr>
        <w:t xml:space="preserve">The current deployment flow is entirely Vercel-managed with GitHub auto-deploy. When code is pushed to the `main` branch, Vercel automatically triggers a build and deployment. There is no staging environment, no automated smoke testing, no approval gates, and no rollback mechanism beyond Vercel's built-in deployment reversion capability. This flow is functional for a single-developer project but introduces significant risk for production deployments.</w:t>
      </w:r>
    </w:p>
    <w:p>
      <w:pPr>
        <w:spacing w:after="80" w:line="312"/>
        <w:ind w:firstLine="480"/>
        <w:jc w:val="both"/>
      </w:pPr>
      <w:r>
        <w:rPr>
          <w:rFonts w:ascii="Calibri" w:eastAsia="Microsoft YaHei"/>
          <w:color w:val="182030"/>
          <w:sz w:val="24"/>
          <w:szCs w:val="24"/>
        </w:rPr>
        <w:t xml:space="preserve">The branch strategy uses a dual-trunk model: `main` represents production and `develop` represents staging/integration. However, this branching strategy exists only in documentation. In practice, Vercel deploys only from `main`, and there is no automated deployment from `develop` to a staging environment. Pull requests to `main` trigger CI validation but not deployment preview (despite the `autoAlias` configuration, deployment previews require Vercel team-level configuration).</w:t>
      </w:r>
    </w:p>
    <w:p>
      <w:pPr>
        <w:pStyle w:val="Heading1"/>
        <w:spacing w:after="160" w:before="360" w:line="312"/>
      </w:pPr>
      <w:bookmarkStart w:id="100009" w:name="_Toc100009"/>
      <w:r>
        <w:rPr>
          <w:rFonts w:ascii="Calibri" w:eastAsia="SimHei"/>
          <w:b/>
          <w:bCs/>
          <w:color w:val="101820"/>
          <w:sz w:val="32"/>
          <w:szCs w:val="32"/>
        </w:rPr>
        <w:t xml:space="preserve">3. Environment Strategy Audit</w:t>
      </w:r>
      <w:bookmarkEnd w:id="100009"/>
    </w:p>
    <w:p>
      <w:pPr>
        <w:pStyle w:val="Heading2"/>
        <w:spacing w:after="120" w:before="280" w:line="312"/>
      </w:pPr>
      <w:bookmarkStart w:id="100010" w:name="_Toc100010"/>
      <w:r>
        <w:rPr>
          <w:rFonts w:ascii="Calibri" w:eastAsia="SimHei"/>
          <w:b/>
          <w:bCs/>
          <w:color w:val="101820"/>
          <w:sz w:val="28"/>
          <w:szCs w:val="28"/>
        </w:rPr>
        <w:t xml:space="preserve">3.1 Current Environment Landscape</w:t>
      </w:r>
      <w:bookmarkEnd w:id="100010"/>
    </w:p>
    <w:p>
      <w:pPr>
        <w:spacing w:after="80" w:line="312"/>
        <w:ind w:firstLine="480"/>
        <w:jc w:val="both"/>
      </w:pPr>
      <w:r>
        <w:rPr>
          <w:rFonts w:ascii="Calibri" w:eastAsia="Microsoft YaHei"/>
          <w:color w:val="182030"/>
          <w:sz w:val="24"/>
          <w:szCs w:val="24"/>
        </w:rPr>
        <w:t xml:space="preserve">The project currently operates with an implicit single-environment model. The development environment uses a local SQLite database (`file:/home/z/my-project/db/custom.db`) while production uses PostgreSQL. There is no explicitly configured staging environment. The `.env.example` file documents 137 lines of environment variables, but the separation between environments is managed informally through different `.env` files rather than a structured environment management system.</w:t>
      </w:r>
    </w:p>
    <w:p>
      <w:pPr>
        <w:keepNext/>
        <w:spacing w:after="80" w:before="200" w:line="312"/>
      </w:pPr>
      <w:r>
        <w:rPr>
          <w:rFonts w:ascii="Calibri" w:eastAsia="SimHei"/>
          <w:b/>
          <w:bCs/>
          <w:color w:val="506070"/>
          <w:sz w:val="21"/>
          <w:szCs w:val="21"/>
        </w:rPr>
        <w:t xml:space="preserve">Table 2: Environment Inventory</w:t>
      </w:r>
    </w:p>
    <w:tbl>
      <w:tblPr>
        <w:tblW w:type="pct" w:w="100%"/>
        <w:tblBorders>
          <w:top w:val="single" w:color="D0D8E0" w:sz="1"/>
          <w:left w:val="none"/>
          <w:bottom w:val="single" w:color="D0D8E0" w:sz="1"/>
          <w:right w:val="none"/>
          <w:insideH w:val="single" w:color="D0D8E0" w:sz="1"/>
          <w:insideV w:val="none"/>
        </w:tblBorders>
      </w:tblPr>
      <w:tblGrid>
        <w:gridCol w:w="100"/>
        <w:gridCol w:w="100"/>
        <w:gridCol w:w="100"/>
        <w:gridCol w:w="100"/>
        <w:gridCol w:w="100"/>
      </w:tblGrid>
      <w:tr>
        <w:trPr>
          <w:cantSplit/>
          <w:tblHeader/>
        </w:trPr>
        <w:tc>
          <w:tcPr>
            <w:tcW w:type="pct" w:w="20%"/>
            <w:shd w:fill="1A2332" w:val="clear"/>
            <w:tcMar>
              <w:top w:type="dxa" w:w="40"/>
              <w:left w:type="dxa" w:w="80"/>
              <w:bottom w:type="dxa" w:w="40"/>
              <w:right w:type="dxa" w:w="80"/>
            </w:tcMar>
          </w:tcPr>
          <w:p>
            <w:pPr>
              <w:jc w:val="center"/>
            </w:pPr>
            <w:r>
              <w:rPr>
                <w:rFonts w:ascii="Calibri"/>
                <w:b/>
                <w:bCs/>
                <w:color w:val="FFFFFF"/>
                <w:sz w:val="21"/>
                <w:szCs w:val="21"/>
              </w:rPr>
              <w:t xml:space="preserve">Environment</w:t>
            </w:r>
          </w:p>
        </w:tc>
        <w:tc>
          <w:tcPr>
            <w:tcW w:type="pct" w:w="20%"/>
            <w:shd w:fill="1A2332" w:val="clear"/>
            <w:tcMar>
              <w:top w:type="dxa" w:w="40"/>
              <w:left w:type="dxa" w:w="80"/>
              <w:bottom w:type="dxa" w:w="40"/>
              <w:right w:type="dxa" w:w="80"/>
            </w:tcMar>
          </w:tcPr>
          <w:p>
            <w:pPr>
              <w:jc w:val="center"/>
            </w:pPr>
            <w:r>
              <w:rPr>
                <w:rFonts w:ascii="Calibri"/>
                <w:b/>
                <w:bCs/>
                <w:color w:val="FFFFFF"/>
                <w:sz w:val="21"/>
                <w:szCs w:val="21"/>
              </w:rPr>
              <w:t xml:space="preserve">Database</w:t>
            </w:r>
          </w:p>
        </w:tc>
        <w:tc>
          <w:tcPr>
            <w:tcW w:type="pct" w:w="20%"/>
            <w:shd w:fill="1A2332" w:val="clear"/>
            <w:tcMar>
              <w:top w:type="dxa" w:w="40"/>
              <w:left w:type="dxa" w:w="80"/>
              <w:bottom w:type="dxa" w:w="40"/>
              <w:right w:type="dxa" w:w="80"/>
            </w:tcMar>
          </w:tcPr>
          <w:p>
            <w:pPr>
              <w:jc w:val="center"/>
            </w:pPr>
            <w:r>
              <w:rPr>
                <w:rFonts w:ascii="Calibri"/>
                <w:b/>
                <w:bCs/>
                <w:color w:val="FFFFFF"/>
                <w:sz w:val="21"/>
                <w:szCs w:val="21"/>
              </w:rPr>
              <w:t xml:space="preserve">Hosting</w:t>
            </w:r>
          </w:p>
        </w:tc>
        <w:tc>
          <w:tcPr>
            <w:tcW w:type="pct" w:w="20%"/>
            <w:shd w:fill="1A2332" w:val="clear"/>
            <w:tcMar>
              <w:top w:type="dxa" w:w="40"/>
              <w:left w:type="dxa" w:w="80"/>
              <w:bottom w:type="dxa" w:w="40"/>
              <w:right w:type="dxa" w:w="80"/>
            </w:tcMar>
          </w:tcPr>
          <w:p>
            <w:pPr>
              <w:jc w:val="center"/>
            </w:pPr>
            <w:r>
              <w:rPr>
                <w:rFonts w:ascii="Calibri"/>
                <w:b/>
                <w:bCs/>
                <w:color w:val="FFFFFF"/>
                <w:sz w:val="21"/>
                <w:szCs w:val="21"/>
              </w:rPr>
              <w:t xml:space="preserve">Status</w:t>
            </w:r>
          </w:p>
        </w:tc>
        <w:tc>
          <w:tcPr>
            <w:tcW w:type="pct" w:w="20%"/>
            <w:shd w:fill="1A2332" w:val="clear"/>
            <w:tcMar>
              <w:top w:type="dxa" w:w="40"/>
              <w:left w:type="dxa" w:w="80"/>
              <w:bottom w:type="dxa" w:w="40"/>
              <w:right w:type="dxa" w:w="80"/>
            </w:tcMar>
          </w:tcPr>
          <w:p>
            <w:pPr>
              <w:jc w:val="center"/>
            </w:pPr>
            <w:r>
              <w:rPr>
                <w:rFonts w:ascii="Calibri"/>
                <w:b/>
                <w:bCs/>
                <w:color w:val="FFFFFF"/>
                <w:sz w:val="21"/>
                <w:szCs w:val="21"/>
              </w:rPr>
              <w:t xml:space="preserve">Gap</w:t>
            </w:r>
          </w:p>
        </w:tc>
      </w:tr>
      <w:tr>
        <w:trPr>
          <w:cantSplit/>
          <w:tblHeader w:val="false"/>
        </w:trPr>
        <w:tc>
          <w:tcPr>
            <w:tcW w:type="pct" w:w="20%"/>
            <w:tcMar>
              <w:top w:type="dxa" w:w="40"/>
              <w:left w:type="dxa" w:w="80"/>
              <w:bottom w:type="dxa" w:w="40"/>
              <w:right w:type="dxa" w:w="80"/>
            </w:tcMar>
          </w:tcPr>
          <w:p>
            <w:r>
              <w:rPr>
                <w:rFonts w:ascii="Calibri" w:eastAsia="Microsoft YaHei"/>
                <w:color w:val="182030"/>
                <w:sz w:val="21"/>
                <w:szCs w:val="21"/>
              </w:rPr>
              <w:t xml:space="preserve">Development</w:t>
            </w:r>
          </w:p>
        </w:tc>
        <w:tc>
          <w:tcPr>
            <w:tcW w:type="pct" w:w="20%"/>
            <w:tcMar>
              <w:top w:type="dxa" w:w="40"/>
              <w:left w:type="dxa" w:w="80"/>
              <w:bottom w:type="dxa" w:w="40"/>
              <w:right w:type="dxa" w:w="80"/>
            </w:tcMar>
          </w:tcPr>
          <w:p>
            <w:r>
              <w:rPr>
                <w:rFonts w:ascii="Calibri" w:eastAsia="Microsoft YaHei"/>
                <w:color w:val="182030"/>
                <w:sz w:val="21"/>
                <w:szCs w:val="21"/>
              </w:rPr>
              <w:t xml:space="preserve">SQLite (local file)</w:t>
            </w:r>
          </w:p>
        </w:tc>
        <w:tc>
          <w:tcPr>
            <w:tcW w:type="pct" w:w="20%"/>
            <w:tcMar>
              <w:top w:type="dxa" w:w="40"/>
              <w:left w:type="dxa" w:w="80"/>
              <w:bottom w:type="dxa" w:w="40"/>
              <w:right w:type="dxa" w:w="80"/>
            </w:tcMar>
          </w:tcPr>
          <w:p>
            <w:r>
              <w:rPr>
                <w:rFonts w:ascii="Calibri" w:eastAsia="Microsoft YaHei"/>
                <w:color w:val="182030"/>
                <w:sz w:val="21"/>
                <w:szCs w:val="21"/>
              </w:rPr>
              <w:t xml:space="preserve">localhost:3000</w:t>
            </w:r>
          </w:p>
        </w:tc>
        <w:tc>
          <w:tcPr>
            <w:tcW w:type="pct" w:w="12%"/>
            <w:tcMar>
              <w:top w:type="dxa" w:w="40"/>
              <w:left w:type="dxa" w:w="80"/>
              <w:bottom w:type="dxa" w:w="40"/>
              <w:right w:type="dxa" w:w="80"/>
            </w:tcMar>
          </w:tcPr>
          <w:p>
            <w:pPr>
              <w:jc w:val="center"/>
            </w:pPr>
            <w:r>
              <w:rPr>
                <w:rFonts w:ascii="Calibri"/>
                <w:b/>
                <w:bCs/>
                <w:color w:val="2D7D46"/>
                <w:sz w:val="21"/>
                <w:szCs w:val="21"/>
              </w:rPr>
              <w:t xml:space="preserve">ACTIVE</w:t>
            </w:r>
          </w:p>
        </w:tc>
        <w:tc>
          <w:tcPr>
            <w:tcW w:type="pct" w:w="20%"/>
            <w:tcMar>
              <w:top w:type="dxa" w:w="40"/>
              <w:left w:type="dxa" w:w="80"/>
              <w:bottom w:type="dxa" w:w="40"/>
              <w:right w:type="dxa" w:w="80"/>
            </w:tcMar>
          </w:tcPr>
          <w:p>
            <w:r>
              <w:rPr>
                <w:rFonts w:ascii="Calibri" w:eastAsia="Microsoft YaHei"/>
                <w:color w:val="182030"/>
                <w:sz w:val="21"/>
                <w:szCs w:val="21"/>
              </w:rPr>
              <w:t xml:space="preserve">Schema drift risk with PG</w:t>
            </w:r>
          </w:p>
        </w:tc>
      </w:tr>
      <w:tr>
        <w:trPr>
          <w:cantSplit/>
          <w:tblHeader w:val="false"/>
        </w:trPr>
        <w:tc>
          <w:tcPr>
            <w:tcW w:type="pct" w:w="20%"/>
            <w:tcMar>
              <w:top w:type="dxa" w:w="40"/>
              <w:left w:type="dxa" w:w="80"/>
              <w:bottom w:type="dxa" w:w="40"/>
              <w:right w:type="dxa" w:w="80"/>
            </w:tcMar>
          </w:tcPr>
          <w:p>
            <w:r>
              <w:rPr>
                <w:rFonts w:ascii="Calibri" w:eastAsia="Microsoft YaHei"/>
                <w:color w:val="182030"/>
                <w:sz w:val="21"/>
                <w:szCs w:val="21"/>
              </w:rPr>
              <w:t xml:space="preserve">Staging</w:t>
            </w:r>
          </w:p>
        </w:tc>
        <w:tc>
          <w:tcPr>
            <w:tcW w:type="pct" w:w="20%"/>
            <w:tcMar>
              <w:top w:type="dxa" w:w="40"/>
              <w:left w:type="dxa" w:w="80"/>
              <w:bottom w:type="dxa" w:w="40"/>
              <w:right w:type="dxa" w:w="80"/>
            </w:tcMar>
          </w:tcPr>
          <w:p>
            <w:r>
              <w:rPr>
                <w:rFonts w:ascii="Calibri" w:eastAsia="Microsoft YaHei"/>
                <w:color w:val="182030"/>
                <w:sz w:val="21"/>
                <w:szCs w:val="21"/>
              </w:rPr>
              <w:t xml:space="preserve">Not configured</w:t>
            </w:r>
          </w:p>
        </w:tc>
        <w:tc>
          <w:tcPr>
            <w:tcW w:type="pct" w:w="20%"/>
            <w:tcMar>
              <w:top w:type="dxa" w:w="40"/>
              <w:left w:type="dxa" w:w="80"/>
              <w:bottom w:type="dxa" w:w="40"/>
              <w:right w:type="dxa" w:w="80"/>
            </w:tcMar>
          </w:tcPr>
          <w:p>
            <w:r>
              <w:rPr>
                <w:rFonts w:ascii="Calibri" w:eastAsia="Microsoft YaHei"/>
                <w:color w:val="182030"/>
                <w:sz w:val="21"/>
                <w:szCs w:val="21"/>
              </w:rPr>
              <w:t xml:space="preserve">Not configured</w:t>
            </w:r>
          </w:p>
        </w:tc>
        <w:tc>
          <w:tcPr>
            <w:tcW w:type="pct" w:w="12%"/>
            <w:tcMar>
              <w:top w:type="dxa" w:w="40"/>
              <w:left w:type="dxa" w:w="80"/>
              <w:bottom w:type="dxa" w:w="40"/>
              <w:right w:type="dxa" w:w="80"/>
            </w:tcMar>
          </w:tcPr>
          <w:p>
            <w:pPr>
              <w:jc w:val="center"/>
            </w:pPr>
            <w:r>
              <w:rPr>
                <w:rFonts w:ascii="Calibri"/>
                <w:b/>
                <w:bCs/>
                <w:color w:val="C0392B"/>
                <w:sz w:val="21"/>
                <w:szCs w:val="21"/>
              </w:rPr>
              <w:t xml:space="preserve">MISSING</w:t>
            </w:r>
          </w:p>
        </w:tc>
        <w:tc>
          <w:tcPr>
            <w:tcW w:type="pct" w:w="20%"/>
            <w:tcMar>
              <w:top w:type="dxa" w:w="40"/>
              <w:left w:type="dxa" w:w="80"/>
              <w:bottom w:type="dxa" w:w="40"/>
              <w:right w:type="dxa" w:w="80"/>
            </w:tcMar>
          </w:tcPr>
          <w:p>
            <w:r>
              <w:rPr>
                <w:rFonts w:ascii="Calibri" w:eastAsia="Microsoft YaHei"/>
                <w:color w:val="182030"/>
                <w:sz w:val="21"/>
                <w:szCs w:val="21"/>
              </w:rPr>
              <w:t xml:space="preserve">No staging deployment exists</w:t>
            </w:r>
          </w:p>
        </w:tc>
      </w:tr>
      <w:tr>
        <w:trPr>
          <w:cantSplit/>
          <w:tblHeader w:val="false"/>
        </w:trPr>
        <w:tc>
          <w:tcPr>
            <w:tcW w:type="pct" w:w="20%"/>
            <w:tcMar>
              <w:top w:type="dxa" w:w="40"/>
              <w:left w:type="dxa" w:w="80"/>
              <w:bottom w:type="dxa" w:w="40"/>
              <w:right w:type="dxa" w:w="80"/>
            </w:tcMar>
          </w:tcPr>
          <w:p>
            <w:r>
              <w:rPr>
                <w:rFonts w:ascii="Calibri" w:eastAsia="Microsoft YaHei"/>
                <w:color w:val="182030"/>
                <w:sz w:val="21"/>
                <w:szCs w:val="21"/>
              </w:rPr>
              <w:t xml:space="preserve">Production</w:t>
            </w:r>
          </w:p>
        </w:tc>
        <w:tc>
          <w:tcPr>
            <w:tcW w:type="pct" w:w="20%"/>
            <w:tcMar>
              <w:top w:type="dxa" w:w="40"/>
              <w:left w:type="dxa" w:w="80"/>
              <w:bottom w:type="dxa" w:w="40"/>
              <w:right w:type="dxa" w:w="80"/>
            </w:tcMar>
          </w:tcPr>
          <w:p>
            <w:r>
              <w:rPr>
                <w:rFonts w:ascii="Calibri" w:eastAsia="Microsoft YaHei"/>
                <w:color w:val="182030"/>
                <w:sz w:val="21"/>
                <w:szCs w:val="21"/>
              </w:rPr>
              <w:t xml:space="preserve">PostgreSQL 16</w:t>
            </w:r>
          </w:p>
        </w:tc>
        <w:tc>
          <w:tcPr>
            <w:tcW w:type="pct" w:w="20%"/>
            <w:tcMar>
              <w:top w:type="dxa" w:w="40"/>
              <w:left w:type="dxa" w:w="80"/>
              <w:bottom w:type="dxa" w:w="40"/>
              <w:right w:type="dxa" w:w="80"/>
            </w:tcMar>
          </w:tcPr>
          <w:p>
            <w:r>
              <w:rPr>
                <w:rFonts w:ascii="Calibri" w:eastAsia="Microsoft YaHei"/>
                <w:color w:val="182030"/>
                <w:sz w:val="21"/>
                <w:szCs w:val="21"/>
              </w:rPr>
              <w:t xml:space="preserve">Vercel (bom1)</w:t>
            </w:r>
          </w:p>
        </w:tc>
        <w:tc>
          <w:tcPr>
            <w:tcW w:type="pct" w:w="12%"/>
            <w:tcMar>
              <w:top w:type="dxa" w:w="40"/>
              <w:left w:type="dxa" w:w="80"/>
              <w:bottom w:type="dxa" w:w="40"/>
              <w:right w:type="dxa" w:w="80"/>
            </w:tcMar>
          </w:tcPr>
          <w:p>
            <w:pPr>
              <w:jc w:val="center"/>
            </w:pPr>
            <w:r>
              <w:rPr>
                <w:rFonts w:ascii="Calibri"/>
                <w:b/>
                <w:bCs/>
                <w:color w:val="2D7D46"/>
                <w:sz w:val="21"/>
                <w:szCs w:val="21"/>
              </w:rPr>
              <w:t xml:space="preserve">ACTIVE</w:t>
            </w:r>
          </w:p>
        </w:tc>
        <w:tc>
          <w:tcPr>
            <w:tcW w:type="pct" w:w="20%"/>
            <w:tcMar>
              <w:top w:type="dxa" w:w="40"/>
              <w:left w:type="dxa" w:w="80"/>
              <w:bottom w:type="dxa" w:w="40"/>
              <w:right w:type="dxa" w:w="80"/>
            </w:tcMar>
          </w:tcPr>
          <w:p>
            <w:r>
              <w:rPr>
                <w:rFonts w:ascii="Calibri" w:eastAsia="Microsoft YaHei"/>
                <w:color w:val="182030"/>
                <w:sz w:val="21"/>
                <w:szCs w:val="21"/>
              </w:rPr>
              <w:t xml:space="preserve">No automated smoke tests</w:t>
            </w:r>
          </w:p>
        </w:tc>
      </w:tr>
      <w:tr>
        <w:trPr>
          <w:cantSplit/>
          <w:tblHeader w:val="false"/>
        </w:trPr>
        <w:tc>
          <w:tcPr>
            <w:tcW w:type="pct" w:w="20%"/>
            <w:tcMar>
              <w:top w:type="dxa" w:w="40"/>
              <w:left w:type="dxa" w:w="80"/>
              <w:bottom w:type="dxa" w:w="40"/>
              <w:right w:type="dxa" w:w="80"/>
            </w:tcMar>
          </w:tcPr>
          <w:p>
            <w:r>
              <w:rPr>
                <w:rFonts w:ascii="Calibri" w:eastAsia="Microsoft YaHei"/>
                <w:color w:val="182030"/>
                <w:sz w:val="21"/>
                <w:szCs w:val="21"/>
              </w:rPr>
              <w:t xml:space="preserve">CI/CD</w:t>
            </w:r>
          </w:p>
        </w:tc>
        <w:tc>
          <w:tcPr>
            <w:tcW w:type="pct" w:w="20%"/>
            <w:tcMar>
              <w:top w:type="dxa" w:w="40"/>
              <w:left w:type="dxa" w:w="80"/>
              <w:bottom w:type="dxa" w:w="40"/>
              <w:right w:type="dxa" w:w="80"/>
            </w:tcMar>
          </w:tcPr>
          <w:p>
            <w:r>
              <w:rPr>
                <w:rFonts w:ascii="Calibri" w:eastAsia="Microsoft YaHei"/>
                <w:color w:val="182030"/>
                <w:sz w:val="21"/>
                <w:szCs w:val="21"/>
              </w:rPr>
              <w:t xml:space="preserve">PostgreSQL 16-alpine</w:t>
            </w:r>
          </w:p>
        </w:tc>
        <w:tc>
          <w:tcPr>
            <w:tcW w:type="pct" w:w="20%"/>
            <w:tcMar>
              <w:top w:type="dxa" w:w="40"/>
              <w:left w:type="dxa" w:w="80"/>
              <w:bottom w:type="dxa" w:w="40"/>
              <w:right w:type="dxa" w:w="80"/>
            </w:tcMar>
          </w:tcPr>
          <w:p>
            <w:r>
              <w:rPr>
                <w:rFonts w:ascii="Calibri" w:eastAsia="Microsoft YaHei"/>
                <w:color w:val="182030"/>
                <w:sz w:val="21"/>
                <w:szCs w:val="21"/>
              </w:rPr>
              <w:t xml:space="preserve">GitHub Actions runner</w:t>
            </w:r>
          </w:p>
        </w:tc>
        <w:tc>
          <w:tcPr>
            <w:tcW w:type="pct" w:w="12%"/>
            <w:tcMar>
              <w:top w:type="dxa" w:w="40"/>
              <w:left w:type="dxa" w:w="80"/>
              <w:bottom w:type="dxa" w:w="40"/>
              <w:right w:type="dxa" w:w="80"/>
            </w:tcMar>
          </w:tcPr>
          <w:p>
            <w:pPr>
              <w:jc w:val="center"/>
            </w:pPr>
            <w:r>
              <w:rPr>
                <w:rFonts w:ascii="Calibri"/>
                <w:b/>
                <w:bCs/>
                <w:color w:val="2D7D46"/>
                <w:sz w:val="21"/>
                <w:szCs w:val="21"/>
              </w:rPr>
              <w:t xml:space="preserve">ACTIVE</w:t>
            </w:r>
          </w:p>
        </w:tc>
        <w:tc>
          <w:tcPr>
            <w:tcW w:type="pct" w:w="20%"/>
            <w:tcMar>
              <w:top w:type="dxa" w:w="40"/>
              <w:left w:type="dxa" w:w="80"/>
              <w:bottom w:type="dxa" w:w="40"/>
              <w:right w:type="dxa" w:w="80"/>
            </w:tcMar>
          </w:tcPr>
          <w:p>
            <w:r>
              <w:rPr>
                <w:rFonts w:ascii="Calibri" w:eastAsia="Microsoft YaHei"/>
                <w:color w:val="182030"/>
                <w:sz w:val="21"/>
                <w:szCs w:val="21"/>
              </w:rPr>
              <w:t xml:space="preserve">Ephemeral, per-job setup</w:t>
            </w:r>
          </w:p>
        </w:tc>
      </w:tr>
    </w:tbl>
    <w:p>
      <w:pPr>
        <w:spacing w:after="40"/>
      </w:pPr>
    </w:p>
    <w:p>
      <w:pPr>
        <w:pStyle w:val="Heading2"/>
        <w:spacing w:after="120" w:before="280" w:line="312"/>
      </w:pPr>
      <w:bookmarkStart w:id="100011" w:name="_Toc100011"/>
      <w:r>
        <w:rPr>
          <w:rFonts w:ascii="Calibri" w:eastAsia="SimHei"/>
          <w:b/>
          <w:bCs/>
          <w:color w:val="101820"/>
          <w:sz w:val="28"/>
          <w:szCs w:val="28"/>
        </w:rPr>
        <w:t xml:space="preserve">3.2 Environment Variables</w:t>
      </w:r>
      <w:bookmarkEnd w:id="100011"/>
    </w:p>
    <w:p>
      <w:pPr>
        <w:spacing w:after="80" w:line="312"/>
        <w:ind w:firstLine="480"/>
        <w:jc w:val="both"/>
      </w:pPr>
      <w:r>
        <w:rPr>
          <w:rFonts w:ascii="Calibri" w:eastAsia="Microsoft YaHei"/>
          <w:color w:val="182030"/>
          <w:sz w:val="24"/>
          <w:szCs w:val="24"/>
        </w:rPr>
        <w:t xml:space="preserve">The environment variable landscape is documented across three files: `.env.example` (137 lines), `docs/ENVIRONMENT_CONFIGURATION.md` (207 lines), and `.github/workflows/ci-environment.md` (CI-specific matrix). The variables fall into several categories: database connection strings, authentication secrets (NEXTAUTH_SECRET, SESSION_TOKEN_HMAC_SECRET), authorization configuration (AUTHORIZED_EMAIL), API key encryption, AI provider keys (NVIDIA, Fireworks, Groq, Gemini with graceful degradation), persistence engine flags, and analytics/tracking configuration.</w:t>
      </w:r>
    </w:p>
    <w:p>
      <w:pPr>
        <w:spacing w:after="80" w:line="312"/>
        <w:ind w:firstLine="480"/>
        <w:jc w:val="both"/>
      </w:pPr>
      <w:r>
        <w:rPr>
          <w:rFonts w:ascii="Calibri" w:eastAsia="Microsoft YaHei"/>
          <w:color w:val="182030"/>
          <w:sz w:val="24"/>
          <w:szCs w:val="24"/>
        </w:rPr>
        <w:t xml:space="preserve">A critical finding is that the development environment uses SQLite while all other environments use PostgreSQL. This creates a schema drift risk where SQLite-specific behaviors (such as flexible typing and different date handling) might mask issues that only appear with PostgreSQL. The `build:vercel` command deliberately skips `prisma migrate deploy`, which means Vercel deployments assume the database schema is already current. This assumption must be validated by the deployment pipeline.</w:t>
      </w:r>
    </w:p>
    <w:p>
      <w:pPr>
        <w:pStyle w:val="Heading2"/>
        <w:spacing w:after="120" w:before="280" w:line="312"/>
      </w:pPr>
      <w:bookmarkStart w:id="100012" w:name="_Toc100012"/>
      <w:r>
        <w:rPr>
          <w:rFonts w:ascii="Calibri" w:eastAsia="SimHei"/>
          <w:b/>
          <w:bCs/>
          <w:color w:val="101820"/>
          <w:sz w:val="28"/>
          <w:szCs w:val="28"/>
        </w:rPr>
        <w:t xml:space="preserve">3.3 Secrets Management</w:t>
      </w:r>
      <w:bookmarkEnd w:id="100012"/>
    </w:p>
    <w:p>
      <w:pPr>
        <w:spacing w:after="80" w:line="312"/>
        <w:ind w:firstLine="480"/>
        <w:jc w:val="both"/>
      </w:pPr>
      <w:r>
        <w:rPr>
          <w:rFonts w:ascii="Calibri" w:eastAsia="Microsoft YaHei"/>
          <w:color w:val="182030"/>
          <w:sz w:val="24"/>
          <w:szCs w:val="24"/>
        </w:rPr>
        <w:t xml:space="preserve">Secrets management currently relies on Vercel environment variables for production and local `.env` files for development. There is no centralized secrets management system (such as HashiCorp Vault or AWS Secrets Manager). The docker-compose.yml enforces required secrets through shell parameter expansion (`${VAR:?message}`), which prevents startup with missing variables but does not provide encrypted storage or rotation capabilities.</w:t>
      </w:r>
    </w:p>
    <w:p>
      <w:pPr>
        <w:spacing w:after="80" w:line="312"/>
        <w:ind w:firstLine="480"/>
        <w:jc w:val="both"/>
      </w:pPr>
      <w:r>
        <w:rPr>
          <w:rFonts w:ascii="Calibri" w:eastAsia="Microsoft YaHei"/>
          <w:color w:val="182030"/>
          <w:sz w:val="24"/>
          <w:szCs w:val="24"/>
        </w:rPr>
        <w:t xml:space="preserve">The CI environment uses GitHub Actions secrets for sensitive values. The nightly regression workflow and CI workflow both reference secrets through the GitHub Actions secrets API. For the proposed staging environment, secrets management will require either Vercel environment variables scoped to a staging project or a separate secrets store accessible by the deployment workflow.</w:t>
      </w:r>
    </w:p>
    <w:p>
      <w:pPr>
        <w:pStyle w:val="Heading2"/>
        <w:spacing w:after="120" w:before="280" w:line="312"/>
      </w:pPr>
      <w:bookmarkStart w:id="100013" w:name="_Toc100013"/>
      <w:r>
        <w:rPr>
          <w:rFonts w:ascii="Calibri" w:eastAsia="SimHei"/>
          <w:b/>
          <w:bCs/>
          <w:color w:val="101820"/>
          <w:sz w:val="28"/>
          <w:szCs w:val="28"/>
        </w:rPr>
        <w:t xml:space="preserve">3.4 Database Separation Strategy</w:t>
      </w:r>
      <w:bookmarkEnd w:id="100013"/>
    </w:p>
    <w:p>
      <w:pPr>
        <w:spacing w:after="80" w:line="312"/>
        <w:ind w:firstLine="480"/>
        <w:jc w:val="both"/>
      </w:pPr>
      <w:r>
        <w:rPr>
          <w:rFonts w:ascii="Calibri" w:eastAsia="Microsoft YaHei"/>
          <w:color w:val="182030"/>
          <w:sz w:val="24"/>
          <w:szCs w:val="24"/>
        </w:rPr>
        <w:t xml:space="preserve">The project's architecture mandates dedicated single-tenant deployment per customer, meaning each customer receives a completely isolated instance with its own database. This is documented in the architecture documentation as a fundamental design principle: no multi-tenancy, no shared tenant IDs, no cross-customer database access. This deployment model affects the pipeline design because each production deployment targets a specific customer instance rather than a shared infrastructure.</w:t>
      </w:r>
    </w:p>
    <w:p>
      <w:pPr>
        <w:spacing w:after="80" w:line="312"/>
        <w:ind w:firstLine="480"/>
        <w:jc w:val="both"/>
      </w:pPr>
      <w:r>
        <w:rPr>
          <w:rFonts w:ascii="Calibri" w:eastAsia="Microsoft YaHei"/>
          <w:color w:val="182030"/>
          <w:sz w:val="24"/>
          <w:szCs w:val="24"/>
        </w:rPr>
        <w:t xml:space="preserve">For the deployment pipeline, this means the production deployment workflow must accept a target customer identifier and deploy to that customer's specific Vercel project or infrastructure. The staging environment serves as a shared pre-production validation target, but production deployments are per-customer. This distinction must be reflected in the deployment workflow parameterization.</w:t>
      </w:r>
    </w:p>
    <w:p>
      <w:pPr>
        <w:pStyle w:val="Heading1"/>
        <w:spacing w:after="160" w:before="360" w:line="312"/>
      </w:pPr>
      <w:bookmarkStart w:id="100014" w:name="_Toc100014"/>
      <w:r>
        <w:rPr>
          <w:rFonts w:ascii="Calibri" w:eastAsia="SimHei"/>
          <w:b/>
          <w:bCs/>
          <w:color w:val="101820"/>
          <w:sz w:val="32"/>
          <w:szCs w:val="32"/>
        </w:rPr>
        <w:t xml:space="preserve">4. Database Deployment Strategy Assessment</w:t>
      </w:r>
      <w:bookmarkEnd w:id="100014"/>
    </w:p>
    <w:p>
      <w:pPr>
        <w:pStyle w:val="Heading2"/>
        <w:spacing w:after="120" w:before="280" w:line="312"/>
      </w:pPr>
      <w:bookmarkStart w:id="100015" w:name="_Toc100015"/>
      <w:r>
        <w:rPr>
          <w:rFonts w:ascii="Calibri" w:eastAsia="SimHei"/>
          <w:b/>
          <w:bCs/>
          <w:color w:val="101820"/>
          <w:sz w:val="28"/>
          <w:szCs w:val="28"/>
        </w:rPr>
        <w:t xml:space="preserve">4.1 Prisma Migration Process</w:t>
      </w:r>
      <w:bookmarkEnd w:id="100015"/>
    </w:p>
    <w:p>
      <w:pPr>
        <w:spacing w:after="80" w:line="312"/>
        <w:ind w:firstLine="480"/>
        <w:jc w:val="both"/>
      </w:pPr>
      <w:r>
        <w:rPr>
          <w:rFonts w:ascii="Calibri" w:eastAsia="Microsoft YaHei"/>
          <w:color w:val="182030"/>
          <w:sz w:val="24"/>
          <w:szCs w:val="24"/>
        </w:rPr>
        <w:t xml:space="preserve">The Prisma schema (`prisma/schema.prisma`, 3,362 lines) defines 93 models and 30+ enums with a single baseline migration (`20260701000000_init_baseline`, 3,666 lines of SQL). The migration strategy distinguishes between development and production workflows: `prisma migrate dev` for development (creates, applies, and potentially resets migrations) and `prisma migrate deploy` for production (applies pending migrations without creating new ones).</w:t>
      </w:r>
    </w:p>
    <w:p>
      <w:pPr>
        <w:spacing w:after="80" w:line="312"/>
        <w:ind w:firstLine="480"/>
        <w:jc w:val="both"/>
      </w:pPr>
      <w:r>
        <w:rPr>
          <w:rFonts w:ascii="Calibri" w:eastAsia="Microsoft YaHei"/>
          <w:color w:val="182030"/>
          <w:sz w:val="24"/>
          <w:szCs w:val="24"/>
        </w:rPr>
        <w:t xml:space="preserve">The current state represents a baseline snapshot, meaning no incremental migrations have been applied since the initial schema was established. Future schema changes will require careful migration management to ensure forward-only, backward-compatible migrations that can be applied to production without downtime. The deployment pipeline must integrate migration execution as a distinct step with its own validation and rollback capability.</w:t>
      </w:r>
    </w:p>
    <w:p>
      <w:pPr>
        <w:pStyle w:val="Heading2"/>
        <w:spacing w:after="120" w:before="280" w:line="312"/>
      </w:pPr>
      <w:bookmarkStart w:id="100016" w:name="_Toc100016"/>
      <w:r>
        <w:rPr>
          <w:rFonts w:ascii="Calibri" w:eastAsia="SimHei"/>
          <w:b/>
          <w:bCs/>
          <w:color w:val="101820"/>
          <w:sz w:val="28"/>
          <w:szCs w:val="28"/>
        </w:rPr>
        <w:t xml:space="preserve">4.2 Migration Safety Analysis</w:t>
      </w:r>
      <w:bookmarkEnd w:id="100016"/>
    </w:p>
    <w:p>
      <w:pPr>
        <w:spacing w:after="80" w:line="312"/>
        <w:ind w:firstLine="480"/>
        <w:jc w:val="both"/>
      </w:pPr>
      <w:r>
        <w:rPr>
          <w:rFonts w:ascii="Calibri" w:eastAsia="Microsoft YaHei"/>
          <w:color w:val="182030"/>
          <w:sz w:val="24"/>
          <w:szCs w:val="24"/>
        </w:rPr>
        <w:t xml:space="preserve">Several migration safety concerns must be addressed in the deployment pipeline. First, the `build:vercel` command does not execute migrations, which means the pipeline must include an explicit migration step before or after deployment. Second, the Dockerfile includes `prisma migrate deploy` in the build stage, meaning Docker deployments apply migrations at container build time rather than runtime, which can lead to issues if the database is not accessible during the build.</w:t>
      </w:r>
    </w:p>
    <w:p>
      <w:pPr>
        <w:spacing w:after="80" w:line="312"/>
        <w:ind w:firstLine="480"/>
        <w:jc w:val="both"/>
      </w:pPr>
      <w:r>
        <w:rPr>
          <w:rFonts w:ascii="Calibri" w:eastAsia="Microsoft YaHei"/>
          <w:color w:val="182030"/>
          <w:sz w:val="24"/>
          <w:szCs w:val="24"/>
        </w:rPr>
        <w:t xml:space="preserve">Third, the database backup strategy in docker-compose.yml (pg_dump with gzip and 30-backup rotation) provides recovery capability but does not integrate with the deployment pipeline. A migration failure during deployment should trigger an automatic backup before attempting the migration, and the rollback procedure should restore from this backup rather than requiring manual intervention.</w:t>
      </w:r>
    </w:p>
    <w:p>
      <w:pPr>
        <w:pStyle w:val="Heading2"/>
        <w:spacing w:after="120" w:before="280" w:line="312"/>
      </w:pPr>
      <w:bookmarkStart w:id="100017" w:name="_Toc100017"/>
      <w:r>
        <w:rPr>
          <w:rFonts w:ascii="Calibri" w:eastAsia="SimHei"/>
          <w:b/>
          <w:bCs/>
          <w:color w:val="101820"/>
          <w:sz w:val="28"/>
          <w:szCs w:val="28"/>
        </w:rPr>
        <w:t xml:space="preserve">4.3 Proposed Migration Workflow</w:t>
      </w:r>
      <w:bookmarkEnd w:id="100017"/>
    </w:p>
    <w:p>
      <w:pPr>
        <w:spacing w:after="80" w:line="312"/>
        <w:ind w:firstLine="480"/>
        <w:jc w:val="both"/>
      </w:pPr>
      <w:r>
        <w:rPr>
          <w:rFonts w:ascii="Calibri" w:eastAsia="Microsoft YaHei"/>
          <w:color w:val="182030"/>
          <w:sz w:val="24"/>
          <w:szCs w:val="24"/>
        </w:rPr>
        <w:t xml:space="preserve">The deployment pipeline should implement the following migration workflow: (1) Pre-migration backup of the target database, (2) Dry-run migration to validate SQL compatibility, (3) Execute migration with a timeout, (4) Post-migration health check to verify schema validity, (5) Automatic rollback to the pre-migration backup if the health check fails. This workflow ensures that every schema change is applied safely with automatic recovery capability.</w:t>
      </w:r>
    </w:p>
    <w:p>
      <w:pPr>
        <w:keepNext/>
        <w:spacing w:after="80" w:before="200" w:line="312"/>
      </w:pPr>
      <w:r>
        <w:rPr>
          <w:rFonts w:ascii="Calibri" w:eastAsia="SimHei"/>
          <w:b/>
          <w:bCs/>
          <w:color w:val="506070"/>
          <w:sz w:val="21"/>
          <w:szCs w:val="21"/>
        </w:rPr>
        <w:t xml:space="preserve">Table 3: Migration Risk Assessment</w:t>
      </w:r>
    </w:p>
    <w:tbl>
      <w:tblPr>
        <w:tblW w:type="pct" w:w="100%"/>
        <w:tblBorders>
          <w:top w:val="single" w:color="D0D8E0" w:sz="1"/>
          <w:left w:val="none"/>
          <w:bottom w:val="single" w:color="D0D8E0" w:sz="1"/>
          <w:right w:val="none"/>
          <w:insideH w:val="single" w:color="D0D8E0" w:sz="1"/>
          <w:insideV w:val="none"/>
        </w:tblBorders>
      </w:tblPr>
      <w:tblGrid>
        <w:gridCol w:w="100"/>
        <w:gridCol w:w="100"/>
        <w:gridCol w:w="100"/>
        <w:gridCol w:w="100"/>
      </w:tblGrid>
      <w:tr>
        <w:trPr>
          <w:cantSplit/>
          <w:tblHeader/>
        </w:trPr>
        <w:tc>
          <w:tcPr>
            <w:tcW w:type="pct" w:w="25%"/>
            <w:shd w:fill="1A2332" w:val="clear"/>
            <w:tcMar>
              <w:top w:type="dxa" w:w="40"/>
              <w:left w:type="dxa" w:w="80"/>
              <w:bottom w:type="dxa" w:w="40"/>
              <w:right w:type="dxa" w:w="80"/>
            </w:tcMar>
          </w:tcPr>
          <w:p>
            <w:pPr>
              <w:jc w:val="center"/>
            </w:pPr>
            <w:r>
              <w:rPr>
                <w:rFonts w:ascii="Calibri"/>
                <w:b/>
                <w:bCs/>
                <w:color w:val="FFFFFF"/>
                <w:sz w:val="21"/>
                <w:szCs w:val="21"/>
              </w:rPr>
              <w:t xml:space="preserve">Risk</w:t>
            </w:r>
          </w:p>
        </w:tc>
        <w:tc>
          <w:tcPr>
            <w:tcW w:type="pct" w:w="15%"/>
            <w:shd w:fill="1A2332" w:val="clear"/>
            <w:tcMar>
              <w:top w:type="dxa" w:w="40"/>
              <w:left w:type="dxa" w:w="80"/>
              <w:bottom w:type="dxa" w:w="40"/>
              <w:right w:type="dxa" w:w="80"/>
            </w:tcMar>
          </w:tcPr>
          <w:p>
            <w:pPr>
              <w:jc w:val="center"/>
            </w:pPr>
            <w:r>
              <w:rPr>
                <w:rFonts w:ascii="Calibri"/>
                <w:b/>
                <w:bCs/>
                <w:color w:val="FFFFFF"/>
                <w:sz w:val="21"/>
                <w:szCs w:val="21"/>
              </w:rPr>
              <w:t xml:space="preserve">Severity</w:t>
            </w:r>
          </w:p>
        </w:tc>
        <w:tc>
          <w:tcPr>
            <w:tcW w:type="pct" w:w="35%"/>
            <w:shd w:fill="1A2332" w:val="clear"/>
            <w:tcMar>
              <w:top w:type="dxa" w:w="40"/>
              <w:left w:type="dxa" w:w="80"/>
              <w:bottom w:type="dxa" w:w="40"/>
              <w:right w:type="dxa" w:w="80"/>
            </w:tcMar>
          </w:tcPr>
          <w:p>
            <w:pPr>
              <w:jc w:val="center"/>
            </w:pPr>
            <w:r>
              <w:rPr>
                <w:rFonts w:ascii="Calibri"/>
                <w:b/>
                <w:bCs/>
                <w:color w:val="FFFFFF"/>
                <w:sz w:val="21"/>
                <w:szCs w:val="21"/>
              </w:rPr>
              <w:t xml:space="preserve">Mitigation</w:t>
            </w:r>
          </w:p>
        </w:tc>
        <w:tc>
          <w:tcPr>
            <w:tcW w:type="pct" w:w="25%"/>
            <w:shd w:fill="1A2332" w:val="clear"/>
            <w:tcMar>
              <w:top w:type="dxa" w:w="40"/>
              <w:left w:type="dxa" w:w="80"/>
              <w:bottom w:type="dxa" w:w="40"/>
              <w:right w:type="dxa" w:w="80"/>
            </w:tcMar>
          </w:tcPr>
          <w:p>
            <w:pPr>
              <w:jc w:val="center"/>
            </w:pPr>
            <w:r>
              <w:rPr>
                <w:rFonts w:ascii="Calibri"/>
                <w:b/>
                <w:bCs/>
                <w:color w:val="FFFFFF"/>
                <w:sz w:val="21"/>
                <w:szCs w:val="21"/>
              </w:rPr>
              <w:t xml:space="preserve">Pipeline Phase</w:t>
            </w:r>
          </w:p>
        </w:tc>
      </w:tr>
      <w:tr>
        <w:trPr>
          <w:cantSplit/>
          <w:tblHeader w:val="false"/>
        </w:trPr>
        <w:tc>
          <w:tcPr>
            <w:tcW w:type="pct" w:w="25%"/>
            <w:tcMar>
              <w:top w:type="dxa" w:w="40"/>
              <w:left w:type="dxa" w:w="80"/>
              <w:bottom w:type="dxa" w:w="40"/>
              <w:right w:type="dxa" w:w="80"/>
            </w:tcMar>
          </w:tcPr>
          <w:p>
            <w:r>
              <w:rPr>
                <w:rFonts w:ascii="Calibri" w:eastAsia="Microsoft YaHei"/>
                <w:color w:val="182030"/>
                <w:sz w:val="21"/>
                <w:szCs w:val="21"/>
              </w:rPr>
              <w:t xml:space="preserve">Migration failure mid-execution</w:t>
            </w:r>
          </w:p>
        </w:tc>
        <w:tc>
          <w:tcPr>
            <w:tcW w:type="pct" w:w="15%"/>
            <w:tcMar>
              <w:top w:type="dxa" w:w="40"/>
              <w:left w:type="dxa" w:w="80"/>
              <w:bottom w:type="dxa" w:w="40"/>
              <w:right w:type="dxa" w:w="80"/>
            </w:tcMar>
          </w:tcPr>
          <w:p>
            <w:r>
              <w:rPr>
                <w:rFonts w:ascii="Calibri" w:eastAsia="Microsoft YaHei"/>
                <w:color w:val="182030"/>
                <w:sz w:val="21"/>
                <w:szCs w:val="21"/>
              </w:rPr>
              <w:t xml:space="preserve">High</w:t>
            </w:r>
          </w:p>
        </w:tc>
        <w:tc>
          <w:tcPr>
            <w:tcW w:type="pct" w:w="35%"/>
            <w:tcMar>
              <w:top w:type="dxa" w:w="40"/>
              <w:left w:type="dxa" w:w="80"/>
              <w:bottom w:type="dxa" w:w="40"/>
              <w:right w:type="dxa" w:w="80"/>
            </w:tcMar>
          </w:tcPr>
          <w:p>
            <w:r>
              <w:rPr>
                <w:rFonts w:ascii="Calibri" w:eastAsia="Microsoft YaHei"/>
                <w:color w:val="182030"/>
                <w:sz w:val="21"/>
                <w:szCs w:val="21"/>
              </w:rPr>
              <w:t xml:space="preserve">Pre-migration backup + automatic restore</w:t>
            </w:r>
          </w:p>
        </w:tc>
        <w:tc>
          <w:tcPr>
            <w:tcW w:type="pct" w:w="25%"/>
            <w:tcMar>
              <w:top w:type="dxa" w:w="40"/>
              <w:left w:type="dxa" w:w="80"/>
              <w:bottom w:type="dxa" w:w="40"/>
              <w:right w:type="dxa" w:w="80"/>
            </w:tcMar>
          </w:tcPr>
          <w:p>
            <w:r>
              <w:rPr>
                <w:rFonts w:ascii="Calibri" w:eastAsia="Microsoft YaHei"/>
                <w:color w:val="182030"/>
                <w:sz w:val="21"/>
                <w:szCs w:val="21"/>
              </w:rPr>
              <w:t xml:space="preserve">Phase 3.2-3.4</w:t>
            </w:r>
          </w:p>
        </w:tc>
      </w:tr>
      <w:tr>
        <w:trPr>
          <w:cantSplit/>
          <w:tblHeader w:val="false"/>
        </w:trPr>
        <w:tc>
          <w:tcPr>
            <w:tcW w:type="pct" w:w="25%"/>
            <w:tcMar>
              <w:top w:type="dxa" w:w="40"/>
              <w:left w:type="dxa" w:w="80"/>
              <w:bottom w:type="dxa" w:w="40"/>
              <w:right w:type="dxa" w:w="80"/>
            </w:tcMar>
          </w:tcPr>
          <w:p>
            <w:r>
              <w:rPr>
                <w:rFonts w:ascii="Calibri" w:eastAsia="Microsoft YaHei"/>
                <w:color w:val="182030"/>
                <w:sz w:val="21"/>
                <w:szCs w:val="21"/>
              </w:rPr>
              <w:t xml:space="preserve">Schema drift (dev SQLite vs prod PG)</w:t>
            </w:r>
          </w:p>
        </w:tc>
        <w:tc>
          <w:tcPr>
            <w:tcW w:type="pct" w:w="15%"/>
            <w:tcMar>
              <w:top w:type="dxa" w:w="40"/>
              <w:left w:type="dxa" w:w="80"/>
              <w:bottom w:type="dxa" w:w="40"/>
              <w:right w:type="dxa" w:w="80"/>
            </w:tcMar>
          </w:tcPr>
          <w:p>
            <w:r>
              <w:rPr>
                <w:rFonts w:ascii="Calibri" w:eastAsia="Microsoft YaHei"/>
                <w:color w:val="182030"/>
                <w:sz w:val="21"/>
                <w:szCs w:val="21"/>
              </w:rPr>
              <w:t xml:space="preserve">Medium</w:t>
            </w:r>
          </w:p>
        </w:tc>
        <w:tc>
          <w:tcPr>
            <w:tcW w:type="pct" w:w="35%"/>
            <w:tcMar>
              <w:top w:type="dxa" w:w="40"/>
              <w:left w:type="dxa" w:w="80"/>
              <w:bottom w:type="dxa" w:w="40"/>
              <w:right w:type="dxa" w:w="80"/>
            </w:tcMar>
          </w:tcPr>
          <w:p>
            <w:r>
              <w:rPr>
                <w:rFonts w:ascii="Calibri" w:eastAsia="Microsoft YaHei"/>
                <w:color w:val="182030"/>
                <w:sz w:val="21"/>
                <w:szCs w:val="21"/>
              </w:rPr>
              <w:t xml:space="preserve">Staging uses PostgreSQL matching production</w:t>
            </w:r>
          </w:p>
        </w:tc>
        <w:tc>
          <w:tcPr>
            <w:tcW w:type="pct" w:w="25%"/>
            <w:tcMar>
              <w:top w:type="dxa" w:w="40"/>
              <w:left w:type="dxa" w:w="80"/>
              <w:bottom w:type="dxa" w:w="40"/>
              <w:right w:type="dxa" w:w="80"/>
            </w:tcMar>
          </w:tcPr>
          <w:p>
            <w:r>
              <w:rPr>
                <w:rFonts w:ascii="Calibri" w:eastAsia="Microsoft YaHei"/>
                <w:color w:val="182030"/>
                <w:sz w:val="21"/>
                <w:szCs w:val="21"/>
              </w:rPr>
              <w:t xml:space="preserve">Phase 3.2</w:t>
            </w:r>
          </w:p>
        </w:tc>
      </w:tr>
      <w:tr>
        <w:trPr>
          <w:cantSplit/>
          <w:tblHeader w:val="false"/>
        </w:trPr>
        <w:tc>
          <w:tcPr>
            <w:tcW w:type="pct" w:w="25%"/>
            <w:tcMar>
              <w:top w:type="dxa" w:w="40"/>
              <w:left w:type="dxa" w:w="80"/>
              <w:bottom w:type="dxa" w:w="40"/>
              <w:right w:type="dxa" w:w="80"/>
            </w:tcMar>
          </w:tcPr>
          <w:p>
            <w:r>
              <w:rPr>
                <w:rFonts w:ascii="Calibri" w:eastAsia="Microsoft YaHei"/>
                <w:color w:val="182030"/>
                <w:sz w:val="21"/>
                <w:szCs w:val="21"/>
              </w:rPr>
              <w:t xml:space="preserve">Data loss during migration</w:t>
            </w:r>
          </w:p>
        </w:tc>
        <w:tc>
          <w:tcPr>
            <w:tcW w:type="pct" w:w="15%"/>
            <w:tcMar>
              <w:top w:type="dxa" w:w="40"/>
              <w:left w:type="dxa" w:w="80"/>
              <w:bottom w:type="dxa" w:w="40"/>
              <w:right w:type="dxa" w:w="80"/>
            </w:tcMar>
          </w:tcPr>
          <w:p>
            <w:r>
              <w:rPr>
                <w:rFonts w:ascii="Calibri" w:eastAsia="Microsoft YaHei"/>
                <w:color w:val="182030"/>
                <w:sz w:val="21"/>
                <w:szCs w:val="21"/>
              </w:rPr>
              <w:t xml:space="preserve">High</w:t>
            </w:r>
          </w:p>
        </w:tc>
        <w:tc>
          <w:tcPr>
            <w:tcW w:type="pct" w:w="35%"/>
            <w:tcMar>
              <w:top w:type="dxa" w:w="40"/>
              <w:left w:type="dxa" w:w="80"/>
              <w:bottom w:type="dxa" w:w="40"/>
              <w:right w:type="dxa" w:w="80"/>
            </w:tcMar>
          </w:tcPr>
          <w:p>
            <w:r>
              <w:rPr>
                <w:rFonts w:ascii="Calibri" w:eastAsia="Microsoft YaHei"/>
                <w:color w:val="182030"/>
                <w:sz w:val="21"/>
                <w:szCs w:val="21"/>
              </w:rPr>
              <w:t xml:space="preserve">Backup before + column-level validation</w:t>
            </w:r>
          </w:p>
        </w:tc>
        <w:tc>
          <w:tcPr>
            <w:tcW w:type="pct" w:w="25%"/>
            <w:tcMar>
              <w:top w:type="dxa" w:w="40"/>
              <w:left w:type="dxa" w:w="80"/>
              <w:bottom w:type="dxa" w:w="40"/>
              <w:right w:type="dxa" w:w="80"/>
            </w:tcMar>
          </w:tcPr>
          <w:p>
            <w:r>
              <w:rPr>
                <w:rFonts w:ascii="Calibri" w:eastAsia="Microsoft YaHei"/>
                <w:color w:val="182030"/>
                <w:sz w:val="21"/>
                <w:szCs w:val="21"/>
              </w:rPr>
              <w:t xml:space="preserve">Phase 3.4</w:t>
            </w:r>
          </w:p>
        </w:tc>
      </w:tr>
      <w:tr>
        <w:trPr>
          <w:cantSplit/>
          <w:tblHeader w:val="false"/>
        </w:trPr>
        <w:tc>
          <w:tcPr>
            <w:tcW w:type="pct" w:w="25%"/>
            <w:tcMar>
              <w:top w:type="dxa" w:w="40"/>
              <w:left w:type="dxa" w:w="80"/>
              <w:bottom w:type="dxa" w:w="40"/>
              <w:right w:type="dxa" w:w="80"/>
            </w:tcMar>
          </w:tcPr>
          <w:p>
            <w:r>
              <w:rPr>
                <w:rFonts w:ascii="Calibri" w:eastAsia="Microsoft YaHei"/>
                <w:color w:val="182030"/>
                <w:sz w:val="21"/>
                <w:szCs w:val="21"/>
              </w:rPr>
              <w:t xml:space="preserve">Migration timeout on large tables</w:t>
            </w:r>
          </w:p>
        </w:tc>
        <w:tc>
          <w:tcPr>
            <w:tcW w:type="pct" w:w="15%"/>
            <w:tcMar>
              <w:top w:type="dxa" w:w="40"/>
              <w:left w:type="dxa" w:w="80"/>
              <w:bottom w:type="dxa" w:w="40"/>
              <w:right w:type="dxa" w:w="80"/>
            </w:tcMar>
          </w:tcPr>
          <w:p>
            <w:r>
              <w:rPr>
                <w:rFonts w:ascii="Calibri" w:eastAsia="Microsoft YaHei"/>
                <w:color w:val="182030"/>
                <w:sz w:val="21"/>
                <w:szCs w:val="21"/>
              </w:rPr>
              <w:t xml:space="preserve">Medium</w:t>
            </w:r>
          </w:p>
        </w:tc>
        <w:tc>
          <w:tcPr>
            <w:tcW w:type="pct" w:w="35%"/>
            <w:tcMar>
              <w:top w:type="dxa" w:w="40"/>
              <w:left w:type="dxa" w:w="80"/>
              <w:bottom w:type="dxa" w:w="40"/>
              <w:right w:type="dxa" w:w="80"/>
            </w:tcMar>
          </w:tcPr>
          <w:p>
            <w:r>
              <w:rPr>
                <w:rFonts w:ascii="Calibri" w:eastAsia="Microsoft YaHei"/>
                <w:color w:val="182030"/>
                <w:sz w:val="21"/>
                <w:szCs w:val="21"/>
              </w:rPr>
              <w:t xml:space="preserve">Explicit timeout + lock wait configuration</w:t>
            </w:r>
          </w:p>
        </w:tc>
        <w:tc>
          <w:tcPr>
            <w:tcW w:type="pct" w:w="25%"/>
            <w:tcMar>
              <w:top w:type="dxa" w:w="40"/>
              <w:left w:type="dxa" w:w="80"/>
              <w:bottom w:type="dxa" w:w="40"/>
              <w:right w:type="dxa" w:w="80"/>
            </w:tcMar>
          </w:tcPr>
          <w:p>
            <w:r>
              <w:rPr>
                <w:rFonts w:ascii="Calibri" w:eastAsia="Microsoft YaHei"/>
                <w:color w:val="182030"/>
                <w:sz w:val="21"/>
                <w:szCs w:val="21"/>
              </w:rPr>
              <w:t xml:space="preserve">Phase 3.3-3.4</w:t>
            </w:r>
          </w:p>
        </w:tc>
      </w:tr>
      <w:tr>
        <w:trPr>
          <w:cantSplit/>
          <w:tblHeader w:val="false"/>
        </w:trPr>
        <w:tc>
          <w:tcPr>
            <w:tcW w:type="pct" w:w="25%"/>
            <w:tcMar>
              <w:top w:type="dxa" w:w="40"/>
              <w:left w:type="dxa" w:w="80"/>
              <w:bottom w:type="dxa" w:w="40"/>
              <w:right w:type="dxa" w:w="80"/>
            </w:tcMar>
          </w:tcPr>
          <w:p>
            <w:r>
              <w:rPr>
                <w:rFonts w:ascii="Calibri" w:eastAsia="Microsoft YaHei"/>
                <w:color w:val="182030"/>
                <w:sz w:val="21"/>
                <w:szCs w:val="21"/>
              </w:rPr>
              <w:t xml:space="preserve">Missing migration in pipeline</w:t>
            </w:r>
          </w:p>
        </w:tc>
        <w:tc>
          <w:tcPr>
            <w:tcW w:type="pct" w:w="15%"/>
            <w:tcMar>
              <w:top w:type="dxa" w:w="40"/>
              <w:left w:type="dxa" w:w="80"/>
              <w:bottom w:type="dxa" w:w="40"/>
              <w:right w:type="dxa" w:w="80"/>
            </w:tcMar>
          </w:tcPr>
          <w:p>
            <w:r>
              <w:rPr>
                <w:rFonts w:ascii="Calibri" w:eastAsia="Microsoft YaHei"/>
                <w:color w:val="182030"/>
                <w:sz w:val="21"/>
                <w:szCs w:val="21"/>
              </w:rPr>
              <w:t xml:space="preserve">High</w:t>
            </w:r>
          </w:p>
        </w:tc>
        <w:tc>
          <w:tcPr>
            <w:tcW w:type="pct" w:w="35%"/>
            <w:tcMar>
              <w:top w:type="dxa" w:w="40"/>
              <w:left w:type="dxa" w:w="80"/>
              <w:bottom w:type="dxa" w:w="40"/>
              <w:right w:type="dxa" w:w="80"/>
            </w:tcMar>
          </w:tcPr>
          <w:p>
            <w:r>
              <w:rPr>
                <w:rFonts w:ascii="Calibri" w:eastAsia="Microsoft YaHei"/>
                <w:color w:val="182030"/>
                <w:sz w:val="21"/>
                <w:szCs w:val="21"/>
              </w:rPr>
              <w:t xml:space="preserve">Pipeline validates pending migration count</w:t>
            </w:r>
          </w:p>
        </w:tc>
        <w:tc>
          <w:tcPr>
            <w:tcW w:type="pct" w:w="25%"/>
            <w:tcMar>
              <w:top w:type="dxa" w:w="40"/>
              <w:left w:type="dxa" w:w="80"/>
              <w:bottom w:type="dxa" w:w="40"/>
              <w:right w:type="dxa" w:w="80"/>
            </w:tcMar>
          </w:tcPr>
          <w:p>
            <w:r>
              <w:rPr>
                <w:rFonts w:ascii="Calibri" w:eastAsia="Microsoft YaHei"/>
                <w:color w:val="182030"/>
                <w:sz w:val="21"/>
                <w:szCs w:val="21"/>
              </w:rPr>
              <w:t xml:space="preserve">Phase 3.2-3.4</w:t>
            </w:r>
          </w:p>
        </w:tc>
      </w:tr>
    </w:tbl>
    <w:p>
      <w:pPr>
        <w:pStyle w:val="Heading1"/>
        <w:spacing w:after="160" w:before="360" w:line="312"/>
      </w:pPr>
      <w:bookmarkStart w:id="100018" w:name="_Toc100018"/>
      <w:r>
        <w:rPr>
          <w:rFonts w:ascii="Calibri" w:eastAsia="SimHei"/>
          <w:b/>
          <w:bCs/>
          <w:color w:val="101820"/>
          <w:sz w:val="32"/>
          <w:szCs w:val="32"/>
        </w:rPr>
        <w:t xml:space="preserve">5. Proposed Deployment Architecture</w:t>
      </w:r>
      <w:bookmarkEnd w:id="100018"/>
    </w:p>
    <w:p>
      <w:pPr>
        <w:pStyle w:val="Heading2"/>
        <w:spacing w:after="120" w:before="280" w:line="312"/>
      </w:pPr>
      <w:bookmarkStart w:id="100019" w:name="_Toc100019"/>
      <w:r>
        <w:rPr>
          <w:rFonts w:ascii="Calibri" w:eastAsia="SimHei"/>
          <w:b/>
          <w:bCs/>
          <w:color w:val="101820"/>
          <w:sz w:val="28"/>
          <w:szCs w:val="28"/>
        </w:rPr>
        <w:t xml:space="preserve">5.1 Pipeline Overview</w:t>
      </w:r>
      <w:bookmarkEnd w:id="100019"/>
    </w:p>
    <w:p>
      <w:pPr>
        <w:spacing w:after="80" w:line="312"/>
        <w:ind w:firstLine="480"/>
        <w:jc w:val="both"/>
      </w:pPr>
      <w:r>
        <w:rPr>
          <w:rFonts w:ascii="Calibri" w:eastAsia="Microsoft YaHei"/>
          <w:color w:val="182030"/>
          <w:sz w:val="24"/>
          <w:szCs w:val="24"/>
        </w:rPr>
        <w:t xml:space="preserve">The proposed deployment pipeline implements a structured promotion model with automated validation at each stage and explicit approval gates between environments. The pipeline is designed to integrate with the existing CI infrastructure, extending the ten-job blocking CI validation with deployment-specific stages including staging deployment, smoke testing, approval, and production deployment with health validation.</w:t>
      </w:r>
    </w:p>
    <w:p>
      <w:pPr>
        <w:keepNext/>
        <w:spacing w:after="80" w:before="200" w:line="312"/>
      </w:pPr>
      <w:r>
        <w:rPr>
          <w:rFonts w:ascii="Calibri" w:eastAsia="SimHei"/>
          <w:b/>
          <w:bCs/>
          <w:color w:val="506070"/>
          <w:sz w:val="21"/>
          <w:szCs w:val="21"/>
        </w:rPr>
        <w:t xml:space="preserve">Table 4: Deployment Pipeline Flow</w:t>
      </w:r>
    </w:p>
    <w:tbl>
      <w:tblPr>
        <w:tblW w:type="pct" w:w="100%"/>
        <w:tblBorders>
          <w:top w:val="single" w:color="D0D8E0" w:sz="1"/>
          <w:left w:val="none"/>
          <w:bottom w:val="single" w:color="D0D8E0" w:sz="1"/>
          <w:right w:val="none"/>
          <w:insideH w:val="single" w:color="D0D8E0" w:sz="1"/>
          <w:insideV w:val="none"/>
        </w:tblBorders>
      </w:tblPr>
      <w:tblGrid>
        <w:gridCol w:w="100"/>
        <w:gridCol w:w="100"/>
        <w:gridCol w:w="100"/>
        <w:gridCol w:w="100"/>
        <w:gridCol w:w="100"/>
      </w:tblGrid>
      <w:tr>
        <w:trPr>
          <w:cantSplit/>
          <w:tblHeader/>
        </w:trPr>
        <w:tc>
          <w:tcPr>
            <w:tcW w:type="pct" w:w="5%"/>
            <w:shd w:fill="1A2332" w:val="clear"/>
            <w:tcMar>
              <w:top w:type="dxa" w:w="40"/>
              <w:left w:type="dxa" w:w="80"/>
              <w:bottom w:type="dxa" w:w="40"/>
              <w:right w:type="dxa" w:w="80"/>
            </w:tcMar>
          </w:tcPr>
          <w:p>
            <w:pPr>
              <w:jc w:val="center"/>
            </w:pPr>
            <w:r>
              <w:rPr>
                <w:rFonts w:ascii="Calibri"/>
                <w:b/>
                <w:bCs/>
                <w:color w:val="FFFFFF"/>
                <w:sz w:val="21"/>
                <w:szCs w:val="21"/>
              </w:rPr>
              <w:t xml:space="preserve">Stage</w:t>
            </w:r>
          </w:p>
        </w:tc>
        <w:tc>
          <w:tcPr>
            <w:tcW w:type="pct" w:w="20%"/>
            <w:shd w:fill="1A2332" w:val="clear"/>
            <w:tcMar>
              <w:top w:type="dxa" w:w="40"/>
              <w:left w:type="dxa" w:w="80"/>
              <w:bottom w:type="dxa" w:w="40"/>
              <w:right w:type="dxa" w:w="80"/>
            </w:tcMar>
          </w:tcPr>
          <w:p>
            <w:pPr>
              <w:jc w:val="center"/>
            </w:pPr>
            <w:r>
              <w:rPr>
                <w:rFonts w:ascii="Calibri"/>
                <w:b/>
                <w:bCs/>
                <w:color w:val="FFFFFF"/>
                <w:sz w:val="21"/>
                <w:szCs w:val="21"/>
              </w:rPr>
              <w:t xml:space="preserve">Trigger</w:t>
            </w:r>
          </w:p>
        </w:tc>
        <w:tc>
          <w:tcPr>
            <w:tcW w:type="pct" w:w="25%"/>
            <w:shd w:fill="1A2332" w:val="clear"/>
            <w:tcMar>
              <w:top w:type="dxa" w:w="40"/>
              <w:left w:type="dxa" w:w="80"/>
              <w:bottom w:type="dxa" w:w="40"/>
              <w:right w:type="dxa" w:w="80"/>
            </w:tcMar>
          </w:tcPr>
          <w:p>
            <w:pPr>
              <w:jc w:val="center"/>
            </w:pPr>
            <w:r>
              <w:rPr>
                <w:rFonts w:ascii="Calibri"/>
                <w:b/>
                <w:bCs/>
                <w:color w:val="FFFFFF"/>
                <w:sz w:val="21"/>
                <w:szCs w:val="21"/>
              </w:rPr>
              <w:t xml:space="preserve">Action</w:t>
            </w:r>
          </w:p>
        </w:tc>
        <w:tc>
          <w:tcPr>
            <w:tcW w:type="pct" w:w="25%"/>
            <w:shd w:fill="1A2332" w:val="clear"/>
            <w:tcMar>
              <w:top w:type="dxa" w:w="40"/>
              <w:left w:type="dxa" w:w="80"/>
              <w:bottom w:type="dxa" w:w="40"/>
              <w:right w:type="dxa" w:w="80"/>
            </w:tcMar>
          </w:tcPr>
          <w:p>
            <w:pPr>
              <w:jc w:val="center"/>
            </w:pPr>
            <w:r>
              <w:rPr>
                <w:rFonts w:ascii="Calibri"/>
                <w:b/>
                <w:bCs/>
                <w:color w:val="FFFFFF"/>
                <w:sz w:val="21"/>
                <w:szCs w:val="21"/>
              </w:rPr>
              <w:t xml:space="preserve">Validation</w:t>
            </w:r>
          </w:p>
        </w:tc>
        <w:tc>
          <w:tcPr>
            <w:tcW w:type="pct" w:w="25%"/>
            <w:shd w:fill="1A2332" w:val="clear"/>
            <w:tcMar>
              <w:top w:type="dxa" w:w="40"/>
              <w:left w:type="dxa" w:w="80"/>
              <w:bottom w:type="dxa" w:w="40"/>
              <w:right w:type="dxa" w:w="80"/>
            </w:tcMar>
          </w:tcPr>
          <w:p>
            <w:pPr>
              <w:jc w:val="center"/>
            </w:pPr>
            <w:r>
              <w:rPr>
                <w:rFonts w:ascii="Calibri"/>
                <w:b/>
                <w:bCs/>
                <w:color w:val="FFFFFF"/>
                <w:sz w:val="21"/>
                <w:szCs w:val="21"/>
              </w:rPr>
              <w:t xml:space="preserve">Gate</w:t>
            </w:r>
          </w:p>
        </w:tc>
      </w:tr>
      <w:tr>
        <w:trPr>
          <w:cantSplit/>
          <w:tblHeader w:val="false"/>
        </w:trPr>
        <w:tc>
          <w:tcPr>
            <w:tcW w:type="pct" w:w="5%"/>
            <w:tcMar>
              <w:top w:type="dxa" w:w="40"/>
              <w:left w:type="dxa" w:w="80"/>
              <w:bottom w:type="dxa" w:w="40"/>
              <w:right w:type="dxa" w:w="80"/>
            </w:tcMar>
          </w:tcPr>
          <w:p>
            <w:r>
              <w:rPr>
                <w:rFonts w:ascii="Calibri" w:eastAsia="Microsoft YaHei"/>
                <w:color w:val="182030"/>
                <w:sz w:val="21"/>
                <w:szCs w:val="21"/>
              </w:rPr>
              <w:t xml:space="preserve">1</w:t>
            </w:r>
          </w:p>
        </w:tc>
        <w:tc>
          <w:tcPr>
            <w:tcW w:type="pct" w:w="20%"/>
            <w:tcMar>
              <w:top w:type="dxa" w:w="40"/>
              <w:left w:type="dxa" w:w="80"/>
              <w:bottom w:type="dxa" w:w="40"/>
              <w:right w:type="dxa" w:w="80"/>
            </w:tcMar>
          </w:tcPr>
          <w:p>
            <w:r>
              <w:rPr>
                <w:rFonts w:ascii="Calibri" w:eastAsia="Microsoft YaHei"/>
                <w:color w:val="182030"/>
                <w:sz w:val="21"/>
                <w:szCs w:val="21"/>
              </w:rPr>
              <w:t xml:space="preserve">Push to feature branch</w:t>
            </w:r>
          </w:p>
        </w:tc>
        <w:tc>
          <w:tcPr>
            <w:tcW w:type="pct" w:w="25%"/>
            <w:tcMar>
              <w:top w:type="dxa" w:w="40"/>
              <w:left w:type="dxa" w:w="80"/>
              <w:bottom w:type="dxa" w:w="40"/>
              <w:right w:type="dxa" w:w="80"/>
            </w:tcMar>
          </w:tcPr>
          <w:p>
            <w:r>
              <w:rPr>
                <w:rFonts w:ascii="Calibri" w:eastAsia="Microsoft YaHei"/>
                <w:color w:val="182030"/>
                <w:sz w:val="21"/>
                <w:szCs w:val="21"/>
              </w:rPr>
              <w:t xml:space="preserve">CI validation (10 blocking jobs)</w:t>
            </w:r>
          </w:p>
        </w:tc>
        <w:tc>
          <w:tcPr>
            <w:tcW w:type="pct" w:w="25%"/>
            <w:tcMar>
              <w:top w:type="dxa" w:w="40"/>
              <w:left w:type="dxa" w:w="80"/>
              <w:bottom w:type="dxa" w:w="40"/>
              <w:right w:type="dxa" w:w="80"/>
            </w:tcMar>
          </w:tcPr>
          <w:p>
            <w:r>
              <w:rPr>
                <w:rFonts w:ascii="Calibri" w:eastAsia="Microsoft YaHei"/>
                <w:color w:val="182030"/>
                <w:sz w:val="21"/>
                <w:szCs w:val="21"/>
              </w:rPr>
              <w:t xml:space="preserve">All jobs pass</w:t>
            </w:r>
          </w:p>
        </w:tc>
        <w:tc>
          <w:tcPr>
            <w:tcW w:type="pct" w:w="25%"/>
            <w:tcMar>
              <w:top w:type="dxa" w:w="40"/>
              <w:left w:type="dxa" w:w="80"/>
              <w:bottom w:type="dxa" w:w="40"/>
              <w:right w:type="dxa" w:w="80"/>
            </w:tcMar>
          </w:tcPr>
          <w:p>
            <w:r>
              <w:rPr>
                <w:rFonts w:ascii="Calibri" w:eastAsia="Microsoft YaHei"/>
                <w:color w:val="182030"/>
                <w:sz w:val="21"/>
                <w:szCs w:val="21"/>
              </w:rPr>
              <w:t xml:space="preserve">Automatic</w:t>
            </w:r>
          </w:p>
        </w:tc>
      </w:tr>
      <w:tr>
        <w:trPr>
          <w:cantSplit/>
          <w:tblHeader w:val="false"/>
        </w:trPr>
        <w:tc>
          <w:tcPr>
            <w:tcW w:type="pct" w:w="5%"/>
            <w:tcMar>
              <w:top w:type="dxa" w:w="40"/>
              <w:left w:type="dxa" w:w="80"/>
              <w:bottom w:type="dxa" w:w="40"/>
              <w:right w:type="dxa" w:w="80"/>
            </w:tcMar>
          </w:tcPr>
          <w:p>
            <w:r>
              <w:rPr>
                <w:rFonts w:ascii="Calibri" w:eastAsia="Microsoft YaHei"/>
                <w:color w:val="182030"/>
                <w:sz w:val="21"/>
                <w:szCs w:val="21"/>
              </w:rPr>
              <w:t xml:space="preserve">2</w:t>
            </w:r>
          </w:p>
        </w:tc>
        <w:tc>
          <w:tcPr>
            <w:tcW w:type="pct" w:w="20%"/>
            <w:tcMar>
              <w:top w:type="dxa" w:w="40"/>
              <w:left w:type="dxa" w:w="80"/>
              <w:bottom w:type="dxa" w:w="40"/>
              <w:right w:type="dxa" w:w="80"/>
            </w:tcMar>
          </w:tcPr>
          <w:p>
            <w:r>
              <w:rPr>
                <w:rFonts w:ascii="Calibri" w:eastAsia="Microsoft YaHei"/>
                <w:color w:val="182030"/>
                <w:sz w:val="21"/>
                <w:szCs w:val="21"/>
              </w:rPr>
              <w:t xml:space="preserve">PR created to develop</w:t>
            </w:r>
          </w:p>
        </w:tc>
        <w:tc>
          <w:tcPr>
            <w:tcW w:type="pct" w:w="25%"/>
            <w:tcMar>
              <w:top w:type="dxa" w:w="40"/>
              <w:left w:type="dxa" w:w="80"/>
              <w:bottom w:type="dxa" w:w="40"/>
              <w:right w:type="dxa" w:w="80"/>
            </w:tcMar>
          </w:tcPr>
          <w:p>
            <w:r>
              <w:rPr>
                <w:rFonts w:ascii="Calibri" w:eastAsia="Microsoft YaHei"/>
                <w:color w:val="182030"/>
                <w:sz w:val="21"/>
                <w:szCs w:val="21"/>
              </w:rPr>
              <w:t xml:space="preserve">CI validation + code review</w:t>
            </w:r>
          </w:p>
        </w:tc>
        <w:tc>
          <w:tcPr>
            <w:tcW w:type="pct" w:w="25%"/>
            <w:tcMar>
              <w:top w:type="dxa" w:w="40"/>
              <w:left w:type="dxa" w:w="80"/>
              <w:bottom w:type="dxa" w:w="40"/>
              <w:right w:type="dxa" w:w="80"/>
            </w:tcMar>
          </w:tcPr>
          <w:p>
            <w:r>
              <w:rPr>
                <w:rFonts w:ascii="Calibri" w:eastAsia="Microsoft YaHei"/>
                <w:color w:val="182030"/>
                <w:sz w:val="21"/>
                <w:szCs w:val="21"/>
              </w:rPr>
              <w:t xml:space="preserve">All jobs pass + 1 approval</w:t>
            </w:r>
          </w:p>
        </w:tc>
        <w:tc>
          <w:tcPr>
            <w:tcW w:type="pct" w:w="25%"/>
            <w:tcMar>
              <w:top w:type="dxa" w:w="40"/>
              <w:left w:type="dxa" w:w="80"/>
              <w:bottom w:type="dxa" w:w="40"/>
              <w:right w:type="dxa" w:w="80"/>
            </w:tcMar>
          </w:tcPr>
          <w:p>
            <w:r>
              <w:rPr>
                <w:rFonts w:ascii="Calibri" w:eastAsia="Microsoft YaHei"/>
                <w:color w:val="182030"/>
                <w:sz w:val="21"/>
                <w:szCs w:val="21"/>
              </w:rPr>
              <w:t xml:space="preserve">Manual approval</w:t>
            </w:r>
          </w:p>
        </w:tc>
      </w:tr>
      <w:tr>
        <w:trPr>
          <w:cantSplit/>
          <w:tblHeader w:val="false"/>
        </w:trPr>
        <w:tc>
          <w:tcPr>
            <w:tcW w:type="pct" w:w="5%"/>
            <w:tcMar>
              <w:top w:type="dxa" w:w="40"/>
              <w:left w:type="dxa" w:w="80"/>
              <w:bottom w:type="dxa" w:w="40"/>
              <w:right w:type="dxa" w:w="80"/>
            </w:tcMar>
          </w:tcPr>
          <w:p>
            <w:r>
              <w:rPr>
                <w:rFonts w:ascii="Calibri" w:eastAsia="Microsoft YaHei"/>
                <w:color w:val="182030"/>
                <w:sz w:val="21"/>
                <w:szCs w:val="21"/>
              </w:rPr>
              <w:t xml:space="preserve">3</w:t>
            </w:r>
          </w:p>
        </w:tc>
        <w:tc>
          <w:tcPr>
            <w:tcW w:type="pct" w:w="20%"/>
            <w:tcMar>
              <w:top w:type="dxa" w:w="40"/>
              <w:left w:type="dxa" w:w="80"/>
              <w:bottom w:type="dxa" w:w="40"/>
              <w:right w:type="dxa" w:w="80"/>
            </w:tcMar>
          </w:tcPr>
          <w:p>
            <w:r>
              <w:rPr>
                <w:rFonts w:ascii="Calibri" w:eastAsia="Microsoft YaHei"/>
                <w:color w:val="182030"/>
                <w:sz w:val="21"/>
                <w:szCs w:val="21"/>
              </w:rPr>
              <w:t xml:space="preserve">Merge to develop</w:t>
            </w:r>
          </w:p>
        </w:tc>
        <w:tc>
          <w:tcPr>
            <w:tcW w:type="pct" w:w="25%"/>
            <w:tcMar>
              <w:top w:type="dxa" w:w="40"/>
              <w:left w:type="dxa" w:w="80"/>
              <w:bottom w:type="dxa" w:w="40"/>
              <w:right w:type="dxa" w:w="80"/>
            </w:tcMar>
          </w:tcPr>
          <w:p>
            <w:r>
              <w:rPr>
                <w:rFonts w:ascii="Calibri" w:eastAsia="Microsoft YaHei"/>
                <w:color w:val="182030"/>
                <w:sz w:val="21"/>
                <w:szCs w:val="21"/>
              </w:rPr>
              <w:t xml:space="preserve">Staging deployment to Vercel staging</w:t>
            </w:r>
          </w:p>
        </w:tc>
        <w:tc>
          <w:tcPr>
            <w:tcW w:type="pct" w:w="25%"/>
            <w:tcMar>
              <w:top w:type="dxa" w:w="40"/>
              <w:left w:type="dxa" w:w="80"/>
              <w:bottom w:type="dxa" w:w="40"/>
              <w:right w:type="dxa" w:w="80"/>
            </w:tcMar>
          </w:tcPr>
          <w:p>
            <w:r>
              <w:rPr>
                <w:rFonts w:ascii="Calibri" w:eastAsia="Microsoft YaHei"/>
                <w:color w:val="182030"/>
                <w:sz w:val="21"/>
                <w:szCs w:val="21"/>
              </w:rPr>
              <w:t xml:space="preserve">Deploy succeeds</w:t>
            </w:r>
          </w:p>
        </w:tc>
        <w:tc>
          <w:tcPr>
            <w:tcW w:type="pct" w:w="25%"/>
            <w:tcMar>
              <w:top w:type="dxa" w:w="40"/>
              <w:left w:type="dxa" w:w="80"/>
              <w:bottom w:type="dxa" w:w="40"/>
              <w:right w:type="dxa" w:w="80"/>
            </w:tcMar>
          </w:tcPr>
          <w:p>
            <w:r>
              <w:rPr>
                <w:rFonts w:ascii="Calibri" w:eastAsia="Microsoft YaHei"/>
                <w:color w:val="182030"/>
                <w:sz w:val="21"/>
                <w:szCs w:val="21"/>
              </w:rPr>
              <w:t xml:space="preserve">Automatic</w:t>
            </w:r>
          </w:p>
        </w:tc>
      </w:tr>
      <w:tr>
        <w:trPr>
          <w:cantSplit/>
          <w:tblHeader w:val="false"/>
        </w:trPr>
        <w:tc>
          <w:tcPr>
            <w:tcW w:type="pct" w:w="5%"/>
            <w:tcMar>
              <w:top w:type="dxa" w:w="40"/>
              <w:left w:type="dxa" w:w="80"/>
              <w:bottom w:type="dxa" w:w="40"/>
              <w:right w:type="dxa" w:w="80"/>
            </w:tcMar>
          </w:tcPr>
          <w:p>
            <w:r>
              <w:rPr>
                <w:rFonts w:ascii="Calibri" w:eastAsia="Microsoft YaHei"/>
                <w:color w:val="182030"/>
                <w:sz w:val="21"/>
                <w:szCs w:val="21"/>
              </w:rPr>
              <w:t xml:space="preserve">4</w:t>
            </w:r>
          </w:p>
        </w:tc>
        <w:tc>
          <w:tcPr>
            <w:tcW w:type="pct" w:w="20%"/>
            <w:tcMar>
              <w:top w:type="dxa" w:w="40"/>
              <w:left w:type="dxa" w:w="80"/>
              <w:bottom w:type="dxa" w:w="40"/>
              <w:right w:type="dxa" w:w="80"/>
            </w:tcMar>
          </w:tcPr>
          <w:p>
            <w:r>
              <w:rPr>
                <w:rFonts w:ascii="Calibri" w:eastAsia="Microsoft YaHei"/>
                <w:color w:val="182030"/>
                <w:sz w:val="21"/>
                <w:szCs w:val="21"/>
              </w:rPr>
              <w:t xml:space="preserve">Post staging deploy</w:t>
            </w:r>
          </w:p>
        </w:tc>
        <w:tc>
          <w:tcPr>
            <w:tcW w:type="pct" w:w="25%"/>
            <w:tcMar>
              <w:top w:type="dxa" w:w="40"/>
              <w:left w:type="dxa" w:w="80"/>
              <w:bottom w:type="dxa" w:w="40"/>
              <w:right w:type="dxa" w:w="80"/>
            </w:tcMar>
          </w:tcPr>
          <w:p>
            <w:r>
              <w:rPr>
                <w:rFonts w:ascii="Calibri" w:eastAsia="Microsoft YaHei"/>
                <w:color w:val="182030"/>
                <w:sz w:val="21"/>
                <w:szCs w:val="21"/>
              </w:rPr>
              <w:t xml:space="preserve">Smoke test suite execution</w:t>
            </w:r>
          </w:p>
        </w:tc>
        <w:tc>
          <w:tcPr>
            <w:tcW w:type="pct" w:w="25%"/>
            <w:tcMar>
              <w:top w:type="dxa" w:w="40"/>
              <w:left w:type="dxa" w:w="80"/>
              <w:bottom w:type="dxa" w:w="40"/>
              <w:right w:type="dxa" w:w="80"/>
            </w:tcMar>
          </w:tcPr>
          <w:p>
            <w:r>
              <w:rPr>
                <w:rFonts w:ascii="Calibri" w:eastAsia="Microsoft YaHei"/>
                <w:color w:val="182030"/>
                <w:sz w:val="21"/>
                <w:szCs w:val="21"/>
              </w:rPr>
              <w:t xml:space="preserve">All smoke tests pass</w:t>
            </w:r>
          </w:p>
        </w:tc>
        <w:tc>
          <w:tcPr>
            <w:tcW w:type="pct" w:w="25%"/>
            <w:tcMar>
              <w:top w:type="dxa" w:w="40"/>
              <w:left w:type="dxa" w:w="80"/>
              <w:bottom w:type="dxa" w:w="40"/>
              <w:right w:type="dxa" w:w="80"/>
            </w:tcMar>
          </w:tcPr>
          <w:p>
            <w:r>
              <w:rPr>
                <w:rFonts w:ascii="Calibri" w:eastAsia="Microsoft YaHei"/>
                <w:color w:val="182030"/>
                <w:sz w:val="21"/>
                <w:szCs w:val="21"/>
              </w:rPr>
              <w:t xml:space="preserve">Automatic</w:t>
            </w:r>
          </w:p>
        </w:tc>
      </w:tr>
      <w:tr>
        <w:trPr>
          <w:cantSplit/>
          <w:tblHeader w:val="false"/>
        </w:trPr>
        <w:tc>
          <w:tcPr>
            <w:tcW w:type="pct" w:w="5%"/>
            <w:tcMar>
              <w:top w:type="dxa" w:w="40"/>
              <w:left w:type="dxa" w:w="80"/>
              <w:bottom w:type="dxa" w:w="40"/>
              <w:right w:type="dxa" w:w="80"/>
            </w:tcMar>
          </w:tcPr>
          <w:p>
            <w:r>
              <w:rPr>
                <w:rFonts w:ascii="Calibri" w:eastAsia="Microsoft YaHei"/>
                <w:color w:val="182030"/>
                <w:sz w:val="21"/>
                <w:szCs w:val="21"/>
              </w:rPr>
              <w:t xml:space="preserve">5</w:t>
            </w:r>
          </w:p>
        </w:tc>
        <w:tc>
          <w:tcPr>
            <w:tcW w:type="pct" w:w="20%"/>
            <w:tcMar>
              <w:top w:type="dxa" w:w="40"/>
              <w:left w:type="dxa" w:w="80"/>
              <w:bottom w:type="dxa" w:w="40"/>
              <w:right w:type="dxa" w:w="80"/>
            </w:tcMar>
          </w:tcPr>
          <w:p>
            <w:r>
              <w:rPr>
                <w:rFonts w:ascii="Calibri" w:eastAsia="Microsoft YaHei"/>
                <w:color w:val="182030"/>
                <w:sz w:val="21"/>
                <w:szCs w:val="21"/>
              </w:rPr>
              <w:t xml:space="preserve">Smoke tests pass</w:t>
            </w:r>
          </w:p>
        </w:tc>
        <w:tc>
          <w:tcPr>
            <w:tcW w:type="pct" w:w="25%"/>
            <w:tcMar>
              <w:top w:type="dxa" w:w="40"/>
              <w:left w:type="dxa" w:w="80"/>
              <w:bottom w:type="dxa" w:w="40"/>
              <w:right w:type="dxa" w:w="80"/>
            </w:tcMar>
          </w:tcPr>
          <w:p>
            <w:r>
              <w:rPr>
                <w:rFonts w:ascii="Calibri" w:eastAsia="Microsoft YaHei"/>
                <w:color w:val="182030"/>
                <w:sz w:val="21"/>
                <w:szCs w:val="21"/>
              </w:rPr>
              <w:t xml:space="preserve">Notification to deployment channel</w:t>
            </w:r>
          </w:p>
        </w:tc>
        <w:tc>
          <w:tcPr>
            <w:tcW w:type="pct" w:w="25%"/>
            <w:tcMar>
              <w:top w:type="dxa" w:w="40"/>
              <w:left w:type="dxa" w:w="80"/>
              <w:bottom w:type="dxa" w:w="40"/>
              <w:right w:type="dxa" w:w="80"/>
            </w:tcMar>
          </w:tcPr>
          <w:p>
            <w:r>
              <w:rPr>
                <w:rFonts w:ascii="Calibri" w:eastAsia="Microsoft YaHei"/>
                <w:color w:val="182030"/>
                <w:sz w:val="21"/>
                <w:szCs w:val="21"/>
              </w:rPr>
              <w:t xml:space="preserve">Ready for production</w:t>
            </w:r>
          </w:p>
        </w:tc>
        <w:tc>
          <w:tcPr>
            <w:tcW w:type="pct" w:w="25%"/>
            <w:tcMar>
              <w:top w:type="dxa" w:w="40"/>
              <w:left w:type="dxa" w:w="80"/>
              <w:bottom w:type="dxa" w:w="40"/>
              <w:right w:type="dxa" w:w="80"/>
            </w:tcMar>
          </w:tcPr>
          <w:p>
            <w:r>
              <w:rPr>
                <w:rFonts w:ascii="Calibri" w:eastAsia="Microsoft YaHei"/>
                <w:color w:val="182030"/>
                <w:sz w:val="21"/>
                <w:szCs w:val="21"/>
              </w:rPr>
              <w:t xml:space="preserve">Manual approval</w:t>
            </w:r>
          </w:p>
        </w:tc>
      </w:tr>
      <w:tr>
        <w:trPr>
          <w:cantSplit/>
          <w:tblHeader w:val="false"/>
        </w:trPr>
        <w:tc>
          <w:tcPr>
            <w:tcW w:type="pct" w:w="5%"/>
            <w:tcMar>
              <w:top w:type="dxa" w:w="40"/>
              <w:left w:type="dxa" w:w="80"/>
              <w:bottom w:type="dxa" w:w="40"/>
              <w:right w:type="dxa" w:w="80"/>
            </w:tcMar>
          </w:tcPr>
          <w:p>
            <w:r>
              <w:rPr>
                <w:rFonts w:ascii="Calibri" w:eastAsia="Microsoft YaHei"/>
                <w:color w:val="182030"/>
                <w:sz w:val="21"/>
                <w:szCs w:val="21"/>
              </w:rPr>
              <w:t xml:space="preserve">6</w:t>
            </w:r>
          </w:p>
        </w:tc>
        <w:tc>
          <w:tcPr>
            <w:tcW w:type="pct" w:w="20%"/>
            <w:tcMar>
              <w:top w:type="dxa" w:w="40"/>
              <w:left w:type="dxa" w:w="80"/>
              <w:bottom w:type="dxa" w:w="40"/>
              <w:right w:type="dxa" w:w="80"/>
            </w:tcMar>
          </w:tcPr>
          <w:p>
            <w:r>
              <w:rPr>
                <w:rFonts w:ascii="Calibri" w:eastAsia="Microsoft YaHei"/>
                <w:color w:val="182030"/>
                <w:sz w:val="21"/>
                <w:szCs w:val="21"/>
              </w:rPr>
              <w:t xml:space="preserve">Merge to main</w:t>
            </w:r>
          </w:p>
        </w:tc>
        <w:tc>
          <w:tcPr>
            <w:tcW w:type="pct" w:w="25%"/>
            <w:tcMar>
              <w:top w:type="dxa" w:w="40"/>
              <w:left w:type="dxa" w:w="80"/>
              <w:bottom w:type="dxa" w:w="40"/>
              <w:right w:type="dxa" w:w="80"/>
            </w:tcMar>
          </w:tcPr>
          <w:p>
            <w:r>
              <w:rPr>
                <w:rFonts w:ascii="Calibri" w:eastAsia="Microsoft YaHei"/>
                <w:color w:val="182030"/>
                <w:sz w:val="21"/>
                <w:szCs w:val="21"/>
              </w:rPr>
              <w:t xml:space="preserve">Production deployment to Vercel</w:t>
            </w:r>
          </w:p>
        </w:tc>
        <w:tc>
          <w:tcPr>
            <w:tcW w:type="pct" w:w="25%"/>
            <w:tcMar>
              <w:top w:type="dxa" w:w="40"/>
              <w:left w:type="dxa" w:w="80"/>
              <w:bottom w:type="dxa" w:w="40"/>
              <w:right w:type="dxa" w:w="80"/>
            </w:tcMar>
          </w:tcPr>
          <w:p>
            <w:r>
              <w:rPr>
                <w:rFonts w:ascii="Calibri" w:eastAsia="Microsoft YaHei"/>
                <w:color w:val="182030"/>
                <w:sz w:val="21"/>
                <w:szCs w:val="21"/>
              </w:rPr>
              <w:t xml:space="preserve">Deploy succeeds</w:t>
            </w:r>
          </w:p>
        </w:tc>
        <w:tc>
          <w:tcPr>
            <w:tcW w:type="pct" w:w="25%"/>
            <w:tcMar>
              <w:top w:type="dxa" w:w="40"/>
              <w:left w:type="dxa" w:w="80"/>
              <w:bottom w:type="dxa" w:w="40"/>
              <w:right w:type="dxa" w:w="80"/>
            </w:tcMar>
          </w:tcPr>
          <w:p>
            <w:r>
              <w:rPr>
                <w:rFonts w:ascii="Calibri" w:eastAsia="Microsoft YaHei"/>
                <w:color w:val="182030"/>
                <w:sz w:val="21"/>
                <w:szCs w:val="21"/>
              </w:rPr>
              <w:t xml:space="preserve">Automatic</w:t>
            </w:r>
          </w:p>
        </w:tc>
      </w:tr>
      <w:tr>
        <w:trPr>
          <w:cantSplit/>
          <w:tblHeader w:val="false"/>
        </w:trPr>
        <w:tc>
          <w:tcPr>
            <w:tcW w:type="pct" w:w="5%"/>
            <w:tcMar>
              <w:top w:type="dxa" w:w="40"/>
              <w:left w:type="dxa" w:w="80"/>
              <w:bottom w:type="dxa" w:w="40"/>
              <w:right w:type="dxa" w:w="80"/>
            </w:tcMar>
          </w:tcPr>
          <w:p>
            <w:r>
              <w:rPr>
                <w:rFonts w:ascii="Calibri" w:eastAsia="Microsoft YaHei"/>
                <w:color w:val="182030"/>
                <w:sz w:val="21"/>
                <w:szCs w:val="21"/>
              </w:rPr>
              <w:t xml:space="preserve">7</w:t>
            </w:r>
          </w:p>
        </w:tc>
        <w:tc>
          <w:tcPr>
            <w:tcW w:type="pct" w:w="20%"/>
            <w:tcMar>
              <w:top w:type="dxa" w:w="40"/>
              <w:left w:type="dxa" w:w="80"/>
              <w:bottom w:type="dxa" w:w="40"/>
              <w:right w:type="dxa" w:w="80"/>
            </w:tcMar>
          </w:tcPr>
          <w:p>
            <w:r>
              <w:rPr>
                <w:rFonts w:ascii="Calibri" w:eastAsia="Microsoft YaHei"/>
                <w:color w:val="182030"/>
                <w:sz w:val="21"/>
                <w:szCs w:val="21"/>
              </w:rPr>
              <w:t xml:space="preserve">Post production deploy</w:t>
            </w:r>
          </w:p>
        </w:tc>
        <w:tc>
          <w:tcPr>
            <w:tcW w:type="pct" w:w="25%"/>
            <w:tcMar>
              <w:top w:type="dxa" w:w="40"/>
              <w:left w:type="dxa" w:w="80"/>
              <w:bottom w:type="dxa" w:w="40"/>
              <w:right w:type="dxa" w:w="80"/>
            </w:tcMar>
          </w:tcPr>
          <w:p>
            <w:r>
              <w:rPr>
                <w:rFonts w:ascii="Calibri" w:eastAsia="Microsoft YaHei"/>
                <w:color w:val="182030"/>
                <w:sz w:val="21"/>
                <w:szCs w:val="21"/>
              </w:rPr>
              <w:t xml:space="preserve">Health endpoint validation</w:t>
            </w:r>
          </w:p>
        </w:tc>
        <w:tc>
          <w:tcPr>
            <w:tcW w:type="pct" w:w="25%"/>
            <w:tcMar>
              <w:top w:type="dxa" w:w="40"/>
              <w:left w:type="dxa" w:w="80"/>
              <w:bottom w:type="dxa" w:w="40"/>
              <w:right w:type="dxa" w:w="80"/>
            </w:tcMar>
          </w:tcPr>
          <w:p>
            <w:r>
              <w:rPr>
                <w:rFonts w:ascii="Calibri" w:eastAsia="Microsoft YaHei"/>
                <w:color w:val="182030"/>
                <w:sz w:val="21"/>
                <w:szCs w:val="21"/>
              </w:rPr>
              <w:t xml:space="preserve">/api/health returns 200</w:t>
            </w:r>
          </w:p>
        </w:tc>
        <w:tc>
          <w:tcPr>
            <w:tcW w:type="pct" w:w="25%"/>
            <w:tcMar>
              <w:top w:type="dxa" w:w="40"/>
              <w:left w:type="dxa" w:w="80"/>
              <w:bottom w:type="dxa" w:w="40"/>
              <w:right w:type="dxa" w:w="80"/>
            </w:tcMar>
          </w:tcPr>
          <w:p>
            <w:r>
              <w:rPr>
                <w:rFonts w:ascii="Calibri" w:eastAsia="Microsoft YaHei"/>
                <w:color w:val="182030"/>
                <w:sz w:val="21"/>
                <w:szCs w:val="21"/>
              </w:rPr>
              <w:t xml:space="preserve">Automatic</w:t>
            </w:r>
          </w:p>
        </w:tc>
      </w:tr>
      <w:tr>
        <w:trPr>
          <w:cantSplit/>
          <w:tblHeader w:val="false"/>
        </w:trPr>
        <w:tc>
          <w:tcPr>
            <w:tcW w:type="pct" w:w="5%"/>
            <w:tcMar>
              <w:top w:type="dxa" w:w="40"/>
              <w:left w:type="dxa" w:w="80"/>
              <w:bottom w:type="dxa" w:w="40"/>
              <w:right w:type="dxa" w:w="80"/>
            </w:tcMar>
          </w:tcPr>
          <w:p>
            <w:r>
              <w:rPr>
                <w:rFonts w:ascii="Calibri" w:eastAsia="Microsoft YaHei"/>
                <w:color w:val="182030"/>
                <w:sz w:val="21"/>
                <w:szCs w:val="21"/>
              </w:rPr>
              <w:t xml:space="preserve">8</w:t>
            </w:r>
          </w:p>
        </w:tc>
        <w:tc>
          <w:tcPr>
            <w:tcW w:type="pct" w:w="20%"/>
            <w:tcMar>
              <w:top w:type="dxa" w:w="40"/>
              <w:left w:type="dxa" w:w="80"/>
              <w:bottom w:type="dxa" w:w="40"/>
              <w:right w:type="dxa" w:w="80"/>
            </w:tcMar>
          </w:tcPr>
          <w:p>
            <w:r>
              <w:rPr>
                <w:rFonts w:ascii="Calibri" w:eastAsia="Microsoft YaHei"/>
                <w:color w:val="182030"/>
                <w:sz w:val="21"/>
                <w:szCs w:val="21"/>
              </w:rPr>
              <w:t xml:space="preserve">Health check fails</w:t>
            </w:r>
          </w:p>
        </w:tc>
        <w:tc>
          <w:tcPr>
            <w:tcW w:type="pct" w:w="25%"/>
            <w:tcMar>
              <w:top w:type="dxa" w:w="40"/>
              <w:left w:type="dxa" w:w="80"/>
              <w:bottom w:type="dxa" w:w="40"/>
              <w:right w:type="dxa" w:w="80"/>
            </w:tcMar>
          </w:tcPr>
          <w:p>
            <w:r>
              <w:rPr>
                <w:rFonts w:ascii="Calibri" w:eastAsia="Microsoft YaHei"/>
                <w:color w:val="182030"/>
                <w:sz w:val="21"/>
                <w:szCs w:val="21"/>
              </w:rPr>
              <w:t xml:space="preserve">Automatic rollback to previous deploy</w:t>
            </w:r>
          </w:p>
        </w:tc>
        <w:tc>
          <w:tcPr>
            <w:tcW w:type="pct" w:w="25%"/>
            <w:tcMar>
              <w:top w:type="dxa" w:w="40"/>
              <w:left w:type="dxa" w:w="80"/>
              <w:bottom w:type="dxa" w:w="40"/>
              <w:right w:type="dxa" w:w="80"/>
            </w:tcMar>
          </w:tcPr>
          <w:p>
            <w:r>
              <w:rPr>
                <w:rFonts w:ascii="Calibri" w:eastAsia="Microsoft YaHei"/>
                <w:color w:val="182030"/>
                <w:sz w:val="21"/>
                <w:szCs w:val="21"/>
              </w:rPr>
              <w:t xml:space="preserve">Health restored</w:t>
            </w:r>
          </w:p>
        </w:tc>
        <w:tc>
          <w:tcPr>
            <w:tcW w:type="pct" w:w="25%"/>
            <w:tcMar>
              <w:top w:type="dxa" w:w="40"/>
              <w:left w:type="dxa" w:w="80"/>
              <w:bottom w:type="dxa" w:w="40"/>
              <w:right w:type="dxa" w:w="80"/>
            </w:tcMar>
          </w:tcPr>
          <w:p>
            <w:r>
              <w:rPr>
                <w:rFonts w:ascii="Calibri" w:eastAsia="Microsoft YaHei"/>
                <w:color w:val="182030"/>
                <w:sz w:val="21"/>
                <w:szCs w:val="21"/>
              </w:rPr>
              <w:t xml:space="preserve">Automatic</w:t>
            </w:r>
          </w:p>
        </w:tc>
      </w:tr>
    </w:tbl>
    <w:p>
      <w:pPr>
        <w:spacing w:after="40"/>
      </w:pPr>
    </w:p>
    <w:p>
      <w:pPr>
        <w:pStyle w:val="Heading2"/>
        <w:spacing w:after="120" w:before="280" w:line="312"/>
      </w:pPr>
      <w:bookmarkStart w:id="100020" w:name="_Toc100020"/>
      <w:r>
        <w:rPr>
          <w:rFonts w:ascii="Calibri" w:eastAsia="SimHei"/>
          <w:b/>
          <w:bCs/>
          <w:color w:val="101820"/>
          <w:sz w:val="28"/>
          <w:szCs w:val="28"/>
        </w:rPr>
        <w:t xml:space="preserve">5.2 Branch Strategy Alignment</w:t>
      </w:r>
      <w:bookmarkEnd w:id="100020"/>
    </w:p>
    <w:p>
      <w:pPr>
        <w:spacing w:after="80" w:line="312"/>
        <w:ind w:firstLine="480"/>
        <w:jc w:val="both"/>
      </w:pPr>
      <w:r>
        <w:rPr>
          <w:rFonts w:ascii="Calibri" w:eastAsia="Microsoft YaHei"/>
          <w:color w:val="182030"/>
          <w:sz w:val="24"/>
          <w:szCs w:val="24"/>
        </w:rPr>
        <w:t xml:space="preserve">The pipeline aligns with the existing dual-trunk branch strategy: `main` for production and `develop` for staging. Feature branches merge into `develop` via pull requests with CI validation. The `develop` branch triggers automated staging deployment. After smoke tests pass and approval is granted, `develop` merges into `main`, triggering production deployment. This ensures that every production deployment has been validated in staging first.</w:t>
      </w:r>
    </w:p>
    <w:p>
      <w:pPr>
        <w:spacing w:after="80" w:line="312"/>
        <w:ind w:firstLine="480"/>
        <w:jc w:val="both"/>
      </w:pPr>
      <w:r>
        <w:rPr>
          <w:rFonts w:ascii="Calibri" w:eastAsia="Microsoft YaHei"/>
          <w:color w:val="182030"/>
          <w:sz w:val="24"/>
          <w:szCs w:val="24"/>
        </w:rPr>
        <w:t xml:space="preserve">The merge_group trigger in the existing CI workflow provides additional protection by running CI validation on the merge commit before it is created. This prevents the scenario where fast-forward merges introduce unvalidated code. The deployment pipeline leverages this existing mechanism and adds deployment-specific stages on top of it.</w:t>
      </w:r>
    </w:p>
    <w:p>
      <w:pPr>
        <w:pStyle w:val="Heading2"/>
        <w:spacing w:after="120" w:before="280" w:line="312"/>
      </w:pPr>
      <w:bookmarkStart w:id="100021" w:name="_Toc100021"/>
      <w:r>
        <w:rPr>
          <w:rFonts w:ascii="Calibri" w:eastAsia="SimHei"/>
          <w:b/>
          <w:bCs/>
          <w:color w:val="101820"/>
          <w:sz w:val="28"/>
          <w:szCs w:val="28"/>
        </w:rPr>
        <w:t xml:space="preserve">5.3 Staging Environment Design</w:t>
      </w:r>
      <w:bookmarkEnd w:id="100021"/>
    </w:p>
    <w:p>
      <w:pPr>
        <w:spacing w:after="80" w:line="312"/>
        <w:ind w:firstLine="480"/>
        <w:jc w:val="both"/>
      </w:pPr>
      <w:r>
        <w:rPr>
          <w:rFonts w:ascii="Calibri" w:eastAsia="Microsoft YaHei"/>
          <w:color w:val="182030"/>
          <w:sz w:val="24"/>
          <w:szCs w:val="24"/>
        </w:rPr>
        <w:t xml:space="preserve">The staging environment will be a separate Vercel project configured with its own environment variables, database, and domain. The staging database will use PostgreSQL to match the production environment and eliminate the SQLite schema drift risk identified in the environment audit. The staging deployment will be triggered automatically on every push to the `develop` branch.</w:t>
      </w:r>
    </w:p>
    <w:p>
      <w:pPr>
        <w:spacing w:after="80" w:line="312"/>
        <w:ind w:firstLine="480"/>
        <w:jc w:val="both"/>
      </w:pPr>
      <w:r>
        <w:rPr>
          <w:rFonts w:ascii="Calibri" w:eastAsia="Microsoft YaHei"/>
          <w:color w:val="182030"/>
          <w:sz w:val="24"/>
          <w:szCs w:val="24"/>
        </w:rPr>
        <w:t xml:space="preserve">The staging environment must be a faithful replica of production in terms of schema, configuration, and runtime environment. The only differences should be the data volume and the domain name. AI provider keys in staging should use the same providers as production but with separate API keys or rate limits to avoid consuming production quotas. The cron job should be disabled in staging to prevent background processing from interfering with smoke tests.</w:t>
      </w:r>
    </w:p>
    <w:p>
      <w:pPr>
        <w:pStyle w:val="Heading2"/>
        <w:spacing w:after="120" w:before="280" w:line="312"/>
      </w:pPr>
      <w:bookmarkStart w:id="100022" w:name="_Toc100022"/>
      <w:r>
        <w:rPr>
          <w:rFonts w:ascii="Calibri" w:eastAsia="SimHei"/>
          <w:b/>
          <w:bCs/>
          <w:color w:val="101820"/>
          <w:sz w:val="28"/>
          <w:szCs w:val="28"/>
        </w:rPr>
        <w:t xml:space="preserve">5.4 Production Deployment Design</w:t>
      </w:r>
      <w:bookmarkEnd w:id="100022"/>
    </w:p>
    <w:p>
      <w:pPr>
        <w:spacing w:after="80" w:line="312"/>
        <w:ind w:firstLine="480"/>
        <w:jc w:val="both"/>
      </w:pPr>
      <w:r>
        <w:rPr>
          <w:rFonts w:ascii="Calibri" w:eastAsia="Microsoft YaHei"/>
          <w:color w:val="182030"/>
          <w:sz w:val="24"/>
          <w:szCs w:val="24"/>
        </w:rPr>
        <w:t xml:space="preserve">Production deployment will be triggered by merge to the `main` branch. The deployment workflow will execute the following steps: (1) Verify that the commit has passed through staging (by checking for a successful staging deployment of the same commit), (2) Execute database migration with pre-migration backup, (3) Trigger Vercel production deployment, (4) Wait for deployment to complete, (5) Execute health endpoint validation, (6) If health check fails, automatically rollback to the previous deployment.</w:t>
      </w:r>
    </w:p>
    <w:p>
      <w:pPr>
        <w:spacing w:after="80" w:line="312"/>
        <w:ind w:firstLine="480"/>
        <w:jc w:val="both"/>
      </w:pPr>
      <w:r>
        <w:rPr>
          <w:rFonts w:ascii="Calibri" w:eastAsia="Microsoft YaHei"/>
          <w:color w:val="182030"/>
          <w:sz w:val="24"/>
          <w:szCs w:val="24"/>
        </w:rPr>
        <w:t xml:space="preserve">The production deployment workflow must include explicit timeout protections at each step. The Vercel deployment timeout should be set to 10 minutes, the health check should have a 5-minute timeout with retry logic, and the overall workflow should have a 30-minute maximum execution time. These timeouts prevent resource waste and ensure that deployment failures are detected and reported promptly.</w:t>
      </w:r>
    </w:p>
    <w:p>
      <w:pPr>
        <w:pStyle w:val="Heading2"/>
        <w:spacing w:after="120" w:before="280" w:line="312"/>
      </w:pPr>
      <w:bookmarkStart w:id="100023" w:name="_Toc100023"/>
      <w:r>
        <w:rPr>
          <w:rFonts w:ascii="Calibri" w:eastAsia="SimHei"/>
          <w:b/>
          <w:bCs/>
          <w:color w:val="101820"/>
          <w:sz w:val="28"/>
          <w:szCs w:val="28"/>
        </w:rPr>
        <w:t xml:space="preserve">5.5 Smoke Test Design</w:t>
      </w:r>
      <w:bookmarkEnd w:id="100023"/>
    </w:p>
    <w:p>
      <w:pPr>
        <w:spacing w:after="80" w:line="312"/>
        <w:ind w:firstLine="480"/>
        <w:jc w:val="both"/>
      </w:pPr>
      <w:r>
        <w:rPr>
          <w:rFonts w:ascii="Calibri" w:eastAsia="Microsoft YaHei"/>
          <w:color w:val="182030"/>
          <w:sz w:val="24"/>
          <w:szCs w:val="24"/>
        </w:rPr>
        <w:t xml:space="preserve">The smoke test suite will validate that the deployed application is functional after deployment. Tests will cover: (1) Health endpoint returns 200 with expected schema, (2) Authentication endpoint responds without errors, (3) Database connectivity is established, (4) Key API endpoints (contacts, companies, deals) return valid responses, (5) Static asset serving is functional, (6) CSP headers are present. The suite should execute in under 60 seconds to provide rapid feedback.</w:t>
      </w:r>
    </w:p>
    <w:p>
      <w:pPr>
        <w:spacing w:after="80" w:line="312"/>
        <w:ind w:firstLine="480"/>
        <w:jc w:val="both"/>
      </w:pPr>
      <w:r>
        <w:rPr>
          <w:rFonts w:ascii="Calibri" w:eastAsia="Microsoft YaHei"/>
          <w:color w:val="182030"/>
          <w:sz w:val="24"/>
          <w:szCs w:val="24"/>
        </w:rPr>
        <w:t xml:space="preserve">Smoke tests will be implemented as a dedicated Vitest configuration (`vitest.smoke.config.ts`) that executes against the deployed staging or production URL. The tests will use environment variables to determine the target URL and authentication credentials. The smoke test job will run as part of the deployment workflow, not the CI workflow, to keep CI execution time within acceptable limits.</w:t>
      </w:r>
    </w:p>
    <w:p>
      <w:pPr>
        <w:pStyle w:val="Heading2"/>
        <w:spacing w:after="120" w:before="280" w:line="312"/>
      </w:pPr>
      <w:bookmarkStart w:id="100024" w:name="_Toc100024"/>
      <w:r>
        <w:rPr>
          <w:rFonts w:ascii="Calibri" w:eastAsia="SimHei"/>
          <w:b/>
          <w:bCs/>
          <w:color w:val="101820"/>
          <w:sz w:val="28"/>
          <w:szCs w:val="28"/>
        </w:rPr>
        <w:t xml:space="preserve">5.6 Health Endpoint</w:t>
      </w:r>
      <w:bookmarkEnd w:id="100024"/>
    </w:p>
    <w:p>
      <w:pPr>
        <w:spacing w:after="80" w:line="312"/>
        <w:ind w:firstLine="480"/>
        <w:jc w:val="both"/>
      </w:pPr>
      <w:r>
        <w:rPr>
          <w:rFonts w:ascii="Calibri" w:eastAsia="Microsoft YaHei"/>
          <w:color w:val="182030"/>
          <w:sz w:val="24"/>
          <w:szCs w:val="24"/>
        </w:rPr>
        <w:t xml:space="preserve">The health endpoint (`/api/health`) already exists and is used by the Docker health check. For the deployment pipeline, this endpoint must be enhanced to provide a structured response that includes database connectivity status, authentication system status, and application version. The enhanced health endpoint will return HTTP 200 with a JSON body when all systems are operational and HTTP 503 when any system is degraded.</w:t>
      </w:r>
    </w:p>
    <w:p>
      <w:pPr>
        <w:spacing w:after="80" w:line="312"/>
        <w:ind w:firstLine="480"/>
        <w:jc w:val="both"/>
      </w:pPr>
      <w:r>
        <w:rPr>
          <w:rFonts w:ascii="Calibri" w:eastAsia="Microsoft YaHei"/>
          <w:color w:val="182030"/>
          <w:sz w:val="24"/>
          <w:szCs w:val="24"/>
        </w:rPr>
        <w:t xml:space="preserve">The health endpoint validation in the deployment pipeline will verify three conditions: (1) HTTP response code is 200, (2) Response time is under 5 seconds, (3) Response body contains status "ok" for all subsystems. If any condition fails, the deployment pipeline will trigger an automatic rollback. The health check will retry three times with 30-second intervals before declaring a deployment failure.</w:t>
      </w:r>
    </w:p>
    <w:p>
      <w:pPr>
        <w:pStyle w:val="Heading2"/>
        <w:spacing w:after="120" w:before="280" w:line="312"/>
      </w:pPr>
      <w:bookmarkStart w:id="100025" w:name="_Toc100025"/>
      <w:r>
        <w:rPr>
          <w:rFonts w:ascii="Calibri" w:eastAsia="SimHei"/>
          <w:b/>
          <w:bCs/>
          <w:color w:val="101820"/>
          <w:sz w:val="28"/>
          <w:szCs w:val="28"/>
        </w:rPr>
        <w:t xml:space="preserve">5.7 Rollback Procedure</w:t>
      </w:r>
      <w:bookmarkEnd w:id="100025"/>
    </w:p>
    <w:p>
      <w:pPr>
        <w:spacing w:after="80" w:line="312"/>
        <w:ind w:firstLine="480"/>
        <w:jc w:val="both"/>
      </w:pPr>
      <w:r>
        <w:rPr>
          <w:rFonts w:ascii="Calibri" w:eastAsia="Microsoft YaHei"/>
          <w:color w:val="182030"/>
          <w:sz w:val="24"/>
          <w:szCs w:val="24"/>
        </w:rPr>
        <w:t xml:space="preserve">The rollback procedure will operate at two levels: automatic and manual. Automatic rollback is triggered by health check failure after production deployment. The workflow will use the Vercel API to promote the previous successful deployment, effectively reverting the application to its pre-deployment state. This operation typically completes in under 60 seconds.</w:t>
      </w:r>
    </w:p>
    <w:p>
      <w:pPr>
        <w:spacing w:after="80" w:line="312"/>
        <w:ind w:firstLine="480"/>
        <w:jc w:val="both"/>
      </w:pPr>
      <w:r>
        <w:rPr>
          <w:rFonts w:ascii="Calibri" w:eastAsia="Microsoft YaHei"/>
          <w:color w:val="182030"/>
          <w:sz w:val="24"/>
          <w:szCs w:val="24"/>
        </w:rPr>
        <w:t xml:space="preserve">Manual rollback is available through the Vercel dashboard or the Vercel CLI. The deployment pipeline will output the previous deployment ID and rollback command in the workflow summary, enabling operators to execute a manual rollback if the automatic rollback fails or if issues are detected after the health check window. The rollback procedure will be documented with step-by-step instructions in the deployment guide.</w:t>
      </w:r>
    </w:p>
    <w:p>
      <w:pPr>
        <w:pStyle w:val="Heading1"/>
        <w:spacing w:after="160" w:before="360" w:line="312"/>
      </w:pPr>
      <w:bookmarkStart w:id="100026" w:name="_Toc100026"/>
      <w:r>
        <w:rPr>
          <w:rFonts w:ascii="Calibri" w:eastAsia="SimHei"/>
          <w:b/>
          <w:bCs/>
          <w:color w:val="101820"/>
          <w:sz w:val="32"/>
          <w:szCs w:val="32"/>
        </w:rPr>
        <w:t xml:space="preserve">6. Implementation Plan</w:t>
      </w:r>
      <w:bookmarkEnd w:id="100026"/>
    </w:p>
    <w:p>
      <w:pPr>
        <w:spacing w:after="80" w:line="312"/>
        <w:ind w:firstLine="480"/>
        <w:jc w:val="both"/>
      </w:pPr>
      <w:r>
        <w:rPr>
          <w:rFonts w:ascii="Calibri" w:eastAsia="Microsoft YaHei"/>
          <w:color w:val="182030"/>
          <w:sz w:val="24"/>
          <w:szCs w:val="24"/>
        </w:rPr>
        <w:t xml:space="preserve">The implementation follows a phased approach, with each phase building on the previous one. The phases are ordered to deliver incremental value: documentation first, then environment setup, then automation. Each phase has clear deliverables and completion criteria.</w:t>
      </w:r>
    </w:p>
    <w:p>
      <w:pPr>
        <w:keepNext/>
        <w:spacing w:after="80" w:before="200" w:line="312"/>
      </w:pPr>
      <w:r>
        <w:rPr>
          <w:rFonts w:ascii="Calibri" w:eastAsia="SimHei"/>
          <w:b/>
          <w:bCs/>
          <w:color w:val="506070"/>
          <w:sz w:val="21"/>
          <w:szCs w:val="21"/>
        </w:rPr>
        <w:t xml:space="preserve">Table 5: Implementation Phases</w:t>
      </w:r>
    </w:p>
    <w:tbl>
      <w:tblPr>
        <w:tblW w:type="pct" w:w="100%"/>
        <w:tblBorders>
          <w:top w:val="single" w:color="D0D8E0" w:sz="1"/>
          <w:left w:val="none"/>
          <w:bottom w:val="single" w:color="D0D8E0" w:sz="1"/>
          <w:right w:val="none"/>
          <w:insideH w:val="single" w:color="D0D8E0" w:sz="1"/>
          <w:insideV w:val="none"/>
        </w:tblBorders>
      </w:tblPr>
      <w:tblGrid>
        <w:gridCol w:w="100"/>
        <w:gridCol w:w="100"/>
        <w:gridCol w:w="100"/>
        <w:gridCol w:w="100"/>
      </w:tblGrid>
      <w:tr>
        <w:trPr>
          <w:cantSplit/>
          <w:tblHeader/>
        </w:trPr>
        <w:tc>
          <w:tcPr>
            <w:tcW w:type="pct" w:w="15%"/>
            <w:shd w:fill="1A2332" w:val="clear"/>
            <w:tcMar>
              <w:top w:type="dxa" w:w="40"/>
              <w:left w:type="dxa" w:w="80"/>
              <w:bottom w:type="dxa" w:w="40"/>
              <w:right w:type="dxa" w:w="80"/>
            </w:tcMar>
          </w:tcPr>
          <w:p>
            <w:pPr>
              <w:jc w:val="center"/>
            </w:pPr>
            <w:r>
              <w:rPr>
                <w:rFonts w:ascii="Calibri"/>
                <w:b/>
                <w:bCs/>
                <w:color w:val="FFFFFF"/>
                <w:sz w:val="21"/>
                <w:szCs w:val="21"/>
              </w:rPr>
              <w:t xml:space="preserve">Phase</w:t>
            </w:r>
          </w:p>
        </w:tc>
        <w:tc>
          <w:tcPr>
            <w:tcW w:type="pct" w:w="25%"/>
            <w:shd w:fill="1A2332" w:val="clear"/>
            <w:tcMar>
              <w:top w:type="dxa" w:w="40"/>
              <w:left w:type="dxa" w:w="80"/>
              <w:bottom w:type="dxa" w:w="40"/>
              <w:right w:type="dxa" w:w="80"/>
            </w:tcMar>
          </w:tcPr>
          <w:p>
            <w:pPr>
              <w:jc w:val="center"/>
            </w:pPr>
            <w:r>
              <w:rPr>
                <w:rFonts w:ascii="Calibri"/>
                <w:b/>
                <w:bCs/>
                <w:color w:val="FFFFFF"/>
                <w:sz w:val="21"/>
                <w:szCs w:val="21"/>
              </w:rPr>
              <w:t xml:space="preserve">Deliverable</w:t>
            </w:r>
          </w:p>
        </w:tc>
        <w:tc>
          <w:tcPr>
            <w:tcW w:type="pct" w:w="35%"/>
            <w:shd w:fill="1A2332" w:val="clear"/>
            <w:tcMar>
              <w:top w:type="dxa" w:w="40"/>
              <w:left w:type="dxa" w:w="80"/>
              <w:bottom w:type="dxa" w:w="40"/>
              <w:right w:type="dxa" w:w="80"/>
            </w:tcMar>
          </w:tcPr>
          <w:p>
            <w:pPr>
              <w:jc w:val="center"/>
            </w:pPr>
            <w:r>
              <w:rPr>
                <w:rFonts w:ascii="Calibri"/>
                <w:b/>
                <w:bCs/>
                <w:color w:val="FFFFFF"/>
                <w:sz w:val="21"/>
                <w:szCs w:val="21"/>
              </w:rPr>
              <w:t xml:space="preserve">Key Tasks</w:t>
            </w:r>
          </w:p>
        </w:tc>
        <w:tc>
          <w:tcPr>
            <w:tcW w:type="pct" w:w="25%"/>
            <w:shd w:fill="1A2332" w:val="clear"/>
            <w:tcMar>
              <w:top w:type="dxa" w:w="40"/>
              <w:left w:type="dxa" w:w="80"/>
              <w:bottom w:type="dxa" w:w="40"/>
              <w:right w:type="dxa" w:w="80"/>
            </w:tcMar>
          </w:tcPr>
          <w:p>
            <w:pPr>
              <w:jc w:val="center"/>
            </w:pPr>
            <w:r>
              <w:rPr>
                <w:rFonts w:ascii="Calibri"/>
                <w:b/>
                <w:bCs/>
                <w:color w:val="FFFFFF"/>
                <w:sz w:val="21"/>
                <w:szCs w:val="21"/>
              </w:rPr>
              <w:t xml:space="preserve">Completion Criteria</w:t>
            </w:r>
          </w:p>
        </w:tc>
      </w:tr>
      <w:tr>
        <w:trPr>
          <w:cantSplit/>
          <w:tblHeader w:val="false"/>
        </w:trPr>
        <w:tc>
          <w:tcPr>
            <w:tcW w:type="pct" w:w="15%"/>
            <w:tcMar>
              <w:top w:type="dxa" w:w="40"/>
              <w:left w:type="dxa" w:w="80"/>
              <w:bottom w:type="dxa" w:w="40"/>
              <w:right w:type="dxa" w:w="80"/>
            </w:tcMar>
          </w:tcPr>
          <w:p>
            <w:r>
              <w:rPr>
                <w:rFonts w:ascii="Calibri" w:eastAsia="Microsoft YaHei"/>
                <w:color w:val="182030"/>
                <w:sz w:val="21"/>
                <w:szCs w:val="21"/>
              </w:rPr>
              <w:t xml:space="preserve">3.1</w:t>
            </w:r>
          </w:p>
        </w:tc>
        <w:tc>
          <w:tcPr>
            <w:tcW w:type="pct" w:w="25%"/>
            <w:tcMar>
              <w:top w:type="dxa" w:w="40"/>
              <w:left w:type="dxa" w:w="80"/>
              <w:bottom w:type="dxa" w:w="40"/>
              <w:right w:type="dxa" w:w="80"/>
            </w:tcMar>
          </w:tcPr>
          <w:p>
            <w:r>
              <w:rPr>
                <w:rFonts w:ascii="Calibri" w:eastAsia="Microsoft YaHei"/>
                <w:color w:val="182030"/>
                <w:sz w:val="21"/>
                <w:szCs w:val="21"/>
              </w:rPr>
              <w:t xml:space="preserve">Deployment Documentation</w:t>
            </w:r>
          </w:p>
        </w:tc>
        <w:tc>
          <w:tcPr>
            <w:tcW w:type="pct" w:w="35%"/>
            <w:tcMar>
              <w:top w:type="dxa" w:w="40"/>
              <w:left w:type="dxa" w:w="80"/>
              <w:bottom w:type="dxa" w:w="40"/>
              <w:right w:type="dxa" w:w="80"/>
            </w:tcMar>
          </w:tcPr>
          <w:p>
            <w:r>
              <w:rPr>
                <w:rFonts w:ascii="Calibri" w:eastAsia="Microsoft YaHei"/>
                <w:color w:val="182030"/>
                <w:sz w:val="21"/>
                <w:szCs w:val="21"/>
              </w:rPr>
              <w:t xml:space="preserve">Update DEPLOYMENT_GUIDE.md with pipeline architecture, rollback procedures, environment configuration</w:t>
            </w:r>
          </w:p>
        </w:tc>
        <w:tc>
          <w:tcPr>
            <w:tcW w:type="pct" w:w="25%"/>
            <w:tcMar>
              <w:top w:type="dxa" w:w="40"/>
              <w:left w:type="dxa" w:w="80"/>
              <w:bottom w:type="dxa" w:w="40"/>
              <w:right w:type="dxa" w:w="80"/>
            </w:tcMar>
          </w:tcPr>
          <w:p>
            <w:r>
              <w:rPr>
                <w:rFonts w:ascii="Calibri" w:eastAsia="Microsoft YaHei"/>
                <w:color w:val="182030"/>
                <w:sz w:val="21"/>
                <w:szCs w:val="21"/>
              </w:rPr>
              <w:t xml:space="preserve">Document reviewed and committed</w:t>
            </w:r>
          </w:p>
        </w:tc>
      </w:tr>
      <w:tr>
        <w:trPr>
          <w:cantSplit/>
          <w:tblHeader w:val="false"/>
        </w:trPr>
        <w:tc>
          <w:tcPr>
            <w:tcW w:type="pct" w:w="15%"/>
            <w:tcMar>
              <w:top w:type="dxa" w:w="40"/>
              <w:left w:type="dxa" w:w="80"/>
              <w:bottom w:type="dxa" w:w="40"/>
              <w:right w:type="dxa" w:w="80"/>
            </w:tcMar>
          </w:tcPr>
          <w:p>
            <w:r>
              <w:rPr>
                <w:rFonts w:ascii="Calibri" w:eastAsia="Microsoft YaHei"/>
                <w:color w:val="182030"/>
                <w:sz w:val="21"/>
                <w:szCs w:val="21"/>
              </w:rPr>
              <w:t xml:space="preserve">3.2</w:t>
            </w:r>
          </w:p>
        </w:tc>
        <w:tc>
          <w:tcPr>
            <w:tcW w:type="pct" w:w="25%"/>
            <w:tcMar>
              <w:top w:type="dxa" w:w="40"/>
              <w:left w:type="dxa" w:w="80"/>
              <w:bottom w:type="dxa" w:w="40"/>
              <w:right w:type="dxa" w:w="80"/>
            </w:tcMar>
          </w:tcPr>
          <w:p>
            <w:r>
              <w:rPr>
                <w:rFonts w:ascii="Calibri" w:eastAsia="Microsoft YaHei"/>
                <w:color w:val="182030"/>
                <w:sz w:val="21"/>
                <w:szCs w:val="21"/>
              </w:rPr>
              <w:t xml:space="preserve">Environment Separation</w:t>
            </w:r>
          </w:p>
        </w:tc>
        <w:tc>
          <w:tcPr>
            <w:tcW w:type="pct" w:w="35%"/>
            <w:tcMar>
              <w:top w:type="dxa" w:w="40"/>
              <w:left w:type="dxa" w:w="80"/>
              <w:bottom w:type="dxa" w:w="40"/>
              <w:right w:type="dxa" w:w="80"/>
            </w:tcMar>
          </w:tcPr>
          <w:p>
            <w:r>
              <w:rPr>
                <w:rFonts w:ascii="Calibri" w:eastAsia="Microsoft YaHei"/>
                <w:color w:val="182030"/>
                <w:sz w:val="21"/>
                <w:szCs w:val="21"/>
              </w:rPr>
              <w:t xml:space="preserve">Create staging Vercel project, configure staging environment variables, provision staging PostgreSQL database</w:t>
            </w:r>
          </w:p>
        </w:tc>
        <w:tc>
          <w:tcPr>
            <w:tcW w:type="pct" w:w="25%"/>
            <w:tcMar>
              <w:top w:type="dxa" w:w="40"/>
              <w:left w:type="dxa" w:w="80"/>
              <w:bottom w:type="dxa" w:w="40"/>
              <w:right w:type="dxa" w:w="80"/>
            </w:tcMar>
          </w:tcPr>
          <w:p>
            <w:r>
              <w:rPr>
                <w:rFonts w:ascii="Calibri" w:eastAsia="Microsoft YaHei"/>
                <w:color w:val="182030"/>
                <w:sz w:val="21"/>
                <w:szCs w:val="21"/>
              </w:rPr>
              <w:t xml:space="preserve">Staging deploys from develop branch</w:t>
            </w:r>
          </w:p>
        </w:tc>
      </w:tr>
      <w:tr>
        <w:trPr>
          <w:cantSplit/>
          <w:tblHeader w:val="false"/>
        </w:trPr>
        <w:tc>
          <w:tcPr>
            <w:tcW w:type="pct" w:w="15%"/>
            <w:tcMar>
              <w:top w:type="dxa" w:w="40"/>
              <w:left w:type="dxa" w:w="80"/>
              <w:bottom w:type="dxa" w:w="40"/>
              <w:right w:type="dxa" w:w="80"/>
            </w:tcMar>
          </w:tcPr>
          <w:p>
            <w:r>
              <w:rPr>
                <w:rFonts w:ascii="Calibri" w:eastAsia="Microsoft YaHei"/>
                <w:color w:val="182030"/>
                <w:sz w:val="21"/>
                <w:szCs w:val="21"/>
              </w:rPr>
              <w:t xml:space="preserve">3.3</w:t>
            </w:r>
          </w:p>
        </w:tc>
        <w:tc>
          <w:tcPr>
            <w:tcW w:type="pct" w:w="25%"/>
            <w:tcMar>
              <w:top w:type="dxa" w:w="40"/>
              <w:left w:type="dxa" w:w="80"/>
              <w:bottom w:type="dxa" w:w="40"/>
              <w:right w:type="dxa" w:w="80"/>
            </w:tcMar>
          </w:tcPr>
          <w:p>
            <w:r>
              <w:rPr>
                <w:rFonts w:ascii="Calibri" w:eastAsia="Microsoft YaHei"/>
                <w:color w:val="182030"/>
                <w:sz w:val="21"/>
                <w:szCs w:val="21"/>
              </w:rPr>
              <w:t xml:space="preserve">Staging Pipeline</w:t>
            </w:r>
          </w:p>
        </w:tc>
        <w:tc>
          <w:tcPr>
            <w:tcW w:type="pct" w:w="35%"/>
            <w:tcMar>
              <w:top w:type="dxa" w:w="40"/>
              <w:left w:type="dxa" w:w="80"/>
              <w:bottom w:type="dxa" w:w="40"/>
              <w:right w:type="dxa" w:w="80"/>
            </w:tcMar>
          </w:tcPr>
          <w:p>
            <w:r>
              <w:rPr>
                <w:rFonts w:ascii="Calibri" w:eastAsia="Microsoft YaHei"/>
                <w:color w:val="182030"/>
                <w:sz w:val="21"/>
                <w:szCs w:val="21"/>
              </w:rPr>
              <w:t xml:space="preserve">Create deploy-staging.yml workflow, integrate staging deployment on develop push</w:t>
            </w:r>
          </w:p>
        </w:tc>
        <w:tc>
          <w:tcPr>
            <w:tcW w:type="pct" w:w="25%"/>
            <w:tcMar>
              <w:top w:type="dxa" w:w="40"/>
              <w:left w:type="dxa" w:w="80"/>
              <w:bottom w:type="dxa" w:w="40"/>
              <w:right w:type="dxa" w:w="80"/>
            </w:tcMar>
          </w:tcPr>
          <w:p>
            <w:r>
              <w:rPr>
                <w:rFonts w:ascii="Calibri" w:eastAsia="Microsoft YaHei"/>
                <w:color w:val="182030"/>
                <w:sz w:val="21"/>
                <w:szCs w:val="21"/>
              </w:rPr>
              <w:t xml:space="preserve">Push to develop auto-deploys to staging</w:t>
            </w:r>
          </w:p>
        </w:tc>
      </w:tr>
      <w:tr>
        <w:trPr>
          <w:cantSplit/>
          <w:tblHeader w:val="false"/>
        </w:trPr>
        <w:tc>
          <w:tcPr>
            <w:tcW w:type="pct" w:w="15%"/>
            <w:tcMar>
              <w:top w:type="dxa" w:w="40"/>
              <w:left w:type="dxa" w:w="80"/>
              <w:bottom w:type="dxa" w:w="40"/>
              <w:right w:type="dxa" w:w="80"/>
            </w:tcMar>
          </w:tcPr>
          <w:p>
            <w:r>
              <w:rPr>
                <w:rFonts w:ascii="Calibri" w:eastAsia="Microsoft YaHei"/>
                <w:color w:val="182030"/>
                <w:sz w:val="21"/>
                <w:szCs w:val="21"/>
              </w:rPr>
              <w:t xml:space="preserve">3.4</w:t>
            </w:r>
          </w:p>
        </w:tc>
        <w:tc>
          <w:tcPr>
            <w:tcW w:type="pct" w:w="25%"/>
            <w:tcMar>
              <w:top w:type="dxa" w:w="40"/>
              <w:left w:type="dxa" w:w="80"/>
              <w:bottom w:type="dxa" w:w="40"/>
              <w:right w:type="dxa" w:w="80"/>
            </w:tcMar>
          </w:tcPr>
          <w:p>
            <w:r>
              <w:rPr>
                <w:rFonts w:ascii="Calibri" w:eastAsia="Microsoft YaHei"/>
                <w:color w:val="182030"/>
                <w:sz w:val="21"/>
                <w:szCs w:val="21"/>
              </w:rPr>
              <w:t xml:space="preserve">Production Pipeline</w:t>
            </w:r>
          </w:p>
        </w:tc>
        <w:tc>
          <w:tcPr>
            <w:tcW w:type="pct" w:w="35%"/>
            <w:tcMar>
              <w:top w:type="dxa" w:w="40"/>
              <w:left w:type="dxa" w:w="80"/>
              <w:bottom w:type="dxa" w:w="40"/>
              <w:right w:type="dxa" w:w="80"/>
            </w:tcMar>
          </w:tcPr>
          <w:p>
            <w:r>
              <w:rPr>
                <w:rFonts w:ascii="Calibri" w:eastAsia="Microsoft YaHei"/>
                <w:color w:val="182030"/>
                <w:sz w:val="21"/>
                <w:szCs w:val="21"/>
              </w:rPr>
              <w:t xml:space="preserve">Create deploy-production.yml workflow, integrate production deployment on main merge with health check</w:t>
            </w:r>
          </w:p>
        </w:tc>
        <w:tc>
          <w:tcPr>
            <w:tcW w:type="pct" w:w="25%"/>
            <w:tcMar>
              <w:top w:type="dxa" w:w="40"/>
              <w:left w:type="dxa" w:w="80"/>
              <w:bottom w:type="dxa" w:w="40"/>
              <w:right w:type="dxa" w:w="80"/>
            </w:tcMar>
          </w:tcPr>
          <w:p>
            <w:r>
              <w:rPr>
                <w:rFonts w:ascii="Calibri" w:eastAsia="Microsoft YaHei"/>
                <w:color w:val="182030"/>
                <w:sz w:val="21"/>
                <w:szCs w:val="21"/>
              </w:rPr>
              <w:t xml:space="preserve">Merge to main auto-deploys to production</w:t>
            </w:r>
          </w:p>
        </w:tc>
      </w:tr>
      <w:tr>
        <w:trPr>
          <w:cantSplit/>
          <w:tblHeader w:val="false"/>
        </w:trPr>
        <w:tc>
          <w:tcPr>
            <w:tcW w:type="pct" w:w="15%"/>
            <w:tcMar>
              <w:top w:type="dxa" w:w="40"/>
              <w:left w:type="dxa" w:w="80"/>
              <w:bottom w:type="dxa" w:w="40"/>
              <w:right w:type="dxa" w:w="80"/>
            </w:tcMar>
          </w:tcPr>
          <w:p>
            <w:r>
              <w:rPr>
                <w:rFonts w:ascii="Calibri" w:eastAsia="Microsoft YaHei"/>
                <w:color w:val="182030"/>
                <w:sz w:val="21"/>
                <w:szCs w:val="21"/>
              </w:rPr>
              <w:t xml:space="preserve">3.5</w:t>
            </w:r>
          </w:p>
        </w:tc>
        <w:tc>
          <w:tcPr>
            <w:tcW w:type="pct" w:w="25%"/>
            <w:tcMar>
              <w:top w:type="dxa" w:w="40"/>
              <w:left w:type="dxa" w:w="80"/>
              <w:bottom w:type="dxa" w:w="40"/>
              <w:right w:type="dxa" w:w="80"/>
            </w:tcMar>
          </w:tcPr>
          <w:p>
            <w:r>
              <w:rPr>
                <w:rFonts w:ascii="Calibri" w:eastAsia="Microsoft YaHei"/>
                <w:color w:val="182030"/>
                <w:sz w:val="21"/>
                <w:szCs w:val="21"/>
              </w:rPr>
              <w:t xml:space="preserve">Smoke Testing</w:t>
            </w:r>
          </w:p>
        </w:tc>
        <w:tc>
          <w:tcPr>
            <w:tcW w:type="pct" w:w="35%"/>
            <w:tcMar>
              <w:top w:type="dxa" w:w="40"/>
              <w:left w:type="dxa" w:w="80"/>
              <w:bottom w:type="dxa" w:w="40"/>
              <w:right w:type="dxa" w:w="80"/>
            </w:tcMar>
          </w:tcPr>
          <w:p>
            <w:r>
              <w:rPr>
                <w:rFonts w:ascii="Calibri" w:eastAsia="Microsoft YaHei"/>
                <w:color w:val="182030"/>
                <w:sz w:val="21"/>
                <w:szCs w:val="21"/>
              </w:rPr>
              <w:t xml:space="preserve">Create vitest.smoke.config.ts, implement health/auth/db/connectivity/static tests</w:t>
            </w:r>
          </w:p>
        </w:tc>
        <w:tc>
          <w:tcPr>
            <w:tcW w:type="pct" w:w="25%"/>
            <w:tcMar>
              <w:top w:type="dxa" w:w="40"/>
              <w:left w:type="dxa" w:w="80"/>
              <w:bottom w:type="dxa" w:w="40"/>
              <w:right w:type="dxa" w:w="80"/>
            </w:tcMar>
          </w:tcPr>
          <w:p>
            <w:r>
              <w:rPr>
                <w:rFonts w:ascii="Calibri" w:eastAsia="Microsoft YaHei"/>
                <w:color w:val="182030"/>
                <w:sz w:val="21"/>
                <w:szCs w:val="21"/>
              </w:rPr>
              <w:t xml:space="preserve">Smoke suite passes on staging and production</w:t>
            </w:r>
          </w:p>
        </w:tc>
      </w:tr>
      <w:tr>
        <w:trPr>
          <w:cantSplit/>
          <w:tblHeader w:val="false"/>
        </w:trPr>
        <w:tc>
          <w:tcPr>
            <w:tcW w:type="pct" w:w="15%"/>
            <w:tcMar>
              <w:top w:type="dxa" w:w="40"/>
              <w:left w:type="dxa" w:w="80"/>
              <w:bottom w:type="dxa" w:w="40"/>
              <w:right w:type="dxa" w:w="80"/>
            </w:tcMar>
          </w:tcPr>
          <w:p>
            <w:r>
              <w:rPr>
                <w:rFonts w:ascii="Calibri" w:eastAsia="Microsoft YaHei"/>
                <w:color w:val="182030"/>
                <w:sz w:val="21"/>
                <w:szCs w:val="21"/>
              </w:rPr>
              <w:t xml:space="preserve">3.6</w:t>
            </w:r>
          </w:p>
        </w:tc>
        <w:tc>
          <w:tcPr>
            <w:tcW w:type="pct" w:w="25%"/>
            <w:tcMar>
              <w:top w:type="dxa" w:w="40"/>
              <w:left w:type="dxa" w:w="80"/>
              <w:bottom w:type="dxa" w:w="40"/>
              <w:right w:type="dxa" w:w="80"/>
            </w:tcMar>
          </w:tcPr>
          <w:p>
            <w:r>
              <w:rPr>
                <w:rFonts w:ascii="Calibri" w:eastAsia="Microsoft YaHei"/>
                <w:color w:val="182030"/>
                <w:sz w:val="21"/>
                <w:szCs w:val="21"/>
              </w:rPr>
              <w:t xml:space="preserve">Health Endpoint</w:t>
            </w:r>
          </w:p>
        </w:tc>
        <w:tc>
          <w:tcPr>
            <w:tcW w:type="pct" w:w="35%"/>
            <w:tcMar>
              <w:top w:type="dxa" w:w="40"/>
              <w:left w:type="dxa" w:w="80"/>
              <w:bottom w:type="dxa" w:w="40"/>
              <w:right w:type="dxa" w:w="80"/>
            </w:tcMar>
          </w:tcPr>
          <w:p>
            <w:r>
              <w:rPr>
                <w:rFonts w:ascii="Calibri" w:eastAsia="Microsoft YaHei"/>
                <w:color w:val="182030"/>
                <w:sz w:val="21"/>
                <w:szCs w:val="21"/>
              </w:rPr>
              <w:t xml:space="preserve">Enhance /api/health with database and auth status, structured JSON response</w:t>
            </w:r>
          </w:p>
        </w:tc>
        <w:tc>
          <w:tcPr>
            <w:tcW w:type="pct" w:w="25%"/>
            <w:tcMar>
              <w:top w:type="dxa" w:w="40"/>
              <w:left w:type="dxa" w:w="80"/>
              <w:bottom w:type="dxa" w:w="40"/>
              <w:right w:type="dxa" w:w="80"/>
            </w:tcMar>
          </w:tcPr>
          <w:p>
            <w:r>
              <w:rPr>
                <w:rFonts w:ascii="Calibri" w:eastAsia="Microsoft YaHei"/>
                <w:color w:val="182030"/>
                <w:sz w:val="21"/>
                <w:szCs w:val="21"/>
              </w:rPr>
              <w:t xml:space="preserve">Health endpoint returns subsystem status</w:t>
            </w:r>
          </w:p>
        </w:tc>
      </w:tr>
      <w:tr>
        <w:trPr>
          <w:cantSplit/>
          <w:tblHeader w:val="false"/>
        </w:trPr>
        <w:tc>
          <w:tcPr>
            <w:tcW w:type="pct" w:w="15%"/>
            <w:tcMar>
              <w:top w:type="dxa" w:w="40"/>
              <w:left w:type="dxa" w:w="80"/>
              <w:bottom w:type="dxa" w:w="40"/>
              <w:right w:type="dxa" w:w="80"/>
            </w:tcMar>
          </w:tcPr>
          <w:p>
            <w:r>
              <w:rPr>
                <w:rFonts w:ascii="Calibri" w:eastAsia="Microsoft YaHei"/>
                <w:color w:val="182030"/>
                <w:sz w:val="21"/>
                <w:szCs w:val="21"/>
              </w:rPr>
              <w:t xml:space="preserve">3.7</w:t>
            </w:r>
          </w:p>
        </w:tc>
        <w:tc>
          <w:tcPr>
            <w:tcW w:type="pct" w:w="25%"/>
            <w:tcMar>
              <w:top w:type="dxa" w:w="40"/>
              <w:left w:type="dxa" w:w="80"/>
              <w:bottom w:type="dxa" w:w="40"/>
              <w:right w:type="dxa" w:w="80"/>
            </w:tcMar>
          </w:tcPr>
          <w:p>
            <w:r>
              <w:rPr>
                <w:rFonts w:ascii="Calibri" w:eastAsia="Microsoft YaHei"/>
                <w:color w:val="182030"/>
                <w:sz w:val="21"/>
                <w:szCs w:val="21"/>
              </w:rPr>
              <w:t xml:space="preserve">Rollback Procedure</w:t>
            </w:r>
          </w:p>
        </w:tc>
        <w:tc>
          <w:tcPr>
            <w:tcW w:type="pct" w:w="35%"/>
            <w:tcMar>
              <w:top w:type="dxa" w:w="40"/>
              <w:left w:type="dxa" w:w="80"/>
              <w:bottom w:type="dxa" w:w="40"/>
              <w:right w:type="dxa" w:w="80"/>
            </w:tcMar>
          </w:tcPr>
          <w:p>
            <w:r>
              <w:rPr>
                <w:rFonts w:ascii="Calibri" w:eastAsia="Microsoft YaHei"/>
                <w:color w:val="182030"/>
                <w:sz w:val="21"/>
                <w:szCs w:val="21"/>
              </w:rPr>
              <w:t xml:space="preserve">Implement automatic rollback on health failure, document manual rollback, test rollback flow</w:t>
            </w:r>
          </w:p>
        </w:tc>
        <w:tc>
          <w:tcPr>
            <w:tcW w:type="pct" w:w="25%"/>
            <w:tcMar>
              <w:top w:type="dxa" w:w="40"/>
              <w:left w:type="dxa" w:w="80"/>
              <w:bottom w:type="dxa" w:w="40"/>
              <w:right w:type="dxa" w:w="80"/>
            </w:tcMar>
          </w:tcPr>
          <w:p>
            <w:r>
              <w:rPr>
                <w:rFonts w:ascii="Calibri" w:eastAsia="Microsoft YaHei"/>
                <w:color w:val="182030"/>
                <w:sz w:val="21"/>
                <w:szCs w:val="21"/>
              </w:rPr>
              <w:t xml:space="preserve">Rollback restores previous deployment within 60s</w:t>
            </w:r>
          </w:p>
        </w:tc>
      </w:tr>
    </w:tbl>
    <w:p>
      <w:pPr>
        <w:spacing w:after="40"/>
      </w:pPr>
    </w:p>
    <w:p>
      <w:pPr>
        <w:pStyle w:val="Heading2"/>
        <w:spacing w:after="120" w:before="280" w:line="312"/>
      </w:pPr>
      <w:bookmarkStart w:id="100027" w:name="_Toc100027"/>
      <w:r>
        <w:rPr>
          <w:rFonts w:ascii="Calibri" w:eastAsia="SimHei"/>
          <w:b/>
          <w:bCs/>
          <w:color w:val="101820"/>
          <w:sz w:val="28"/>
          <w:szCs w:val="28"/>
        </w:rPr>
        <w:t xml:space="preserve">6.1 Phase Dependencies</w:t>
      </w:r>
      <w:bookmarkEnd w:id="100027"/>
    </w:p>
    <w:p>
      <w:pPr>
        <w:spacing w:after="80" w:line="312"/>
        <w:ind w:firstLine="480"/>
        <w:jc w:val="both"/>
      </w:pPr>
      <w:r>
        <w:rPr>
          <w:rFonts w:ascii="Calibri" w:eastAsia="Microsoft YaHei"/>
          <w:color w:val="182030"/>
          <w:sz w:val="24"/>
          <w:szCs w:val="24"/>
        </w:rPr>
        <w:t xml:space="preserve">The phases have strict sequential dependencies. Phase 3.1 (Documentation) must be completed first because it defines the architecture and procedures that subsequent phases implement. Phase 3.2 (Environment Separation) must precede Phase 3.3 (Staging Pipeline) because the staging pipeline requires a staging environment to deploy to. Phase 3.4 (Production Pipeline) depends on Phase 3.3 because the production pipeline should mirror the staging pipeline structure. Phase 3.5 (Smoke Testing) and Phase 3.6 (Health Endpoint) can proceed in parallel after Phase 3.3. Phase 3.7 (Rollback) depends on both Phase 3.4 and Phase 3.6.</w:t>
      </w:r>
    </w:p>
    <w:p>
      <w:pPr>
        <w:spacing w:after="80" w:line="312"/>
        <w:ind w:firstLine="480"/>
        <w:jc w:val="both"/>
      </w:pPr>
      <w:r>
        <w:rPr>
          <w:rFonts w:ascii="Calibri" w:eastAsia="Microsoft YaHei"/>
          <w:color w:val="182030"/>
          <w:sz w:val="24"/>
          <w:szCs w:val="24"/>
        </w:rPr>
        <w:t xml:space="preserve">Each phase will be implemented as a separate PR to the `develop` branch, following the existing PR workflow with CI validation and code review. The CI reliability foundation implemented in M4 Phase 2 ensures that each PR is validated locally before push, preventing the CI failures that characterized earlier phases of the project.</w:t>
      </w:r>
    </w:p>
    <w:p>
      <w:pPr>
        <w:pStyle w:val="Heading1"/>
        <w:spacing w:after="160" w:before="360" w:line="312"/>
      </w:pPr>
      <w:bookmarkStart w:id="100028" w:name="_Toc100028"/>
      <w:r>
        <w:rPr>
          <w:rFonts w:ascii="Calibri" w:eastAsia="SimHei"/>
          <w:b/>
          <w:bCs/>
          <w:color w:val="101820"/>
          <w:sz w:val="32"/>
          <w:szCs w:val="32"/>
        </w:rPr>
        <w:t xml:space="preserve">7. Technical Debt and Risk Register</w:t>
      </w:r>
      <w:bookmarkEnd w:id="100028"/>
    </w:p>
    <w:p>
      <w:pPr>
        <w:pStyle w:val="Heading2"/>
        <w:spacing w:after="120" w:before="280" w:line="312"/>
      </w:pPr>
      <w:bookmarkStart w:id="100029" w:name="_Toc100029"/>
      <w:r>
        <w:rPr>
          <w:rFonts w:ascii="Calibri" w:eastAsia="SimHei"/>
          <w:b/>
          <w:bCs/>
          <w:color w:val="101820"/>
          <w:sz w:val="28"/>
          <w:szCs w:val="28"/>
        </w:rPr>
        <w:t xml:space="preserve">7.1 Existing Technical Debt</w:t>
      </w:r>
      <w:bookmarkEnd w:id="100029"/>
    </w:p>
    <w:p>
      <w:pPr>
        <w:spacing w:after="80" w:line="312"/>
        <w:ind w:firstLine="480"/>
        <w:jc w:val="both"/>
      </w:pPr>
      <w:r>
        <w:rPr>
          <w:rFonts w:ascii="Calibri" w:eastAsia="Microsoft YaHei"/>
          <w:color w:val="182030"/>
          <w:sz w:val="24"/>
          <w:szCs w:val="24"/>
        </w:rPr>
        <w:t xml:space="preserve">The architecture audit identified several items of technical debt that are relevant to the deployment pipeline but should not block Phase 3 implementation. These items should be tracked and addressed in subsequent maintenance cycles.</w:t>
      </w:r>
    </w:p>
    <w:p>
      <w:pPr>
        <w:keepNext/>
        <w:spacing w:after="80" w:before="200" w:line="312"/>
      </w:pPr>
      <w:r>
        <w:rPr>
          <w:rFonts w:ascii="Calibri" w:eastAsia="SimHei"/>
          <w:b/>
          <w:bCs/>
          <w:color w:val="506070"/>
          <w:sz w:val="21"/>
          <w:szCs w:val="21"/>
        </w:rPr>
        <w:t xml:space="preserve">Table 6: Technical Debt Register</w:t>
      </w:r>
    </w:p>
    <w:tbl>
      <w:tblPr>
        <w:tblW w:type="pct" w:w="100%"/>
        <w:tblBorders>
          <w:top w:val="single" w:color="D0D8E0" w:sz="1"/>
          <w:left w:val="none"/>
          <w:bottom w:val="single" w:color="D0D8E0" w:sz="1"/>
          <w:right w:val="none"/>
          <w:insideH w:val="single" w:color="D0D8E0" w:sz="1"/>
          <w:insideV w:val="none"/>
        </w:tblBorders>
      </w:tblPr>
      <w:tblGrid>
        <w:gridCol w:w="100"/>
        <w:gridCol w:w="100"/>
        <w:gridCol w:w="100"/>
        <w:gridCol w:w="100"/>
      </w:tblGrid>
      <w:tr>
        <w:trPr>
          <w:cantSplit/>
          <w:tblHeader/>
        </w:trPr>
        <w:tc>
          <w:tcPr>
            <w:tcW w:type="pct" w:w="30%"/>
            <w:shd w:fill="1A2332" w:val="clear"/>
            <w:tcMar>
              <w:top w:type="dxa" w:w="40"/>
              <w:left w:type="dxa" w:w="80"/>
              <w:bottom w:type="dxa" w:w="40"/>
              <w:right w:type="dxa" w:w="80"/>
            </w:tcMar>
          </w:tcPr>
          <w:p>
            <w:pPr>
              <w:jc w:val="center"/>
            </w:pPr>
            <w:r>
              <w:rPr>
                <w:rFonts w:ascii="Calibri"/>
                <w:b/>
                <w:bCs/>
                <w:color w:val="FFFFFF"/>
                <w:sz w:val="21"/>
                <w:szCs w:val="21"/>
              </w:rPr>
              <w:t xml:space="preserve">Item</w:t>
            </w:r>
          </w:p>
        </w:tc>
        <w:tc>
          <w:tcPr>
            <w:tcW w:type="pct" w:w="20%"/>
            <w:shd w:fill="1A2332" w:val="clear"/>
            <w:tcMar>
              <w:top w:type="dxa" w:w="40"/>
              <w:left w:type="dxa" w:w="80"/>
              <w:bottom w:type="dxa" w:w="40"/>
              <w:right w:type="dxa" w:w="80"/>
            </w:tcMar>
          </w:tcPr>
          <w:p>
            <w:pPr>
              <w:jc w:val="center"/>
            </w:pPr>
            <w:r>
              <w:rPr>
                <w:rFonts w:ascii="Calibri"/>
                <w:b/>
                <w:bCs/>
                <w:color w:val="FFFFFF"/>
                <w:sz w:val="21"/>
                <w:szCs w:val="21"/>
              </w:rPr>
              <w:t xml:space="preserve">Impact</w:t>
            </w:r>
          </w:p>
        </w:tc>
        <w:tc>
          <w:tcPr>
            <w:tcW w:type="pct" w:w="15%"/>
            <w:shd w:fill="1A2332" w:val="clear"/>
            <w:tcMar>
              <w:top w:type="dxa" w:w="40"/>
              <w:left w:type="dxa" w:w="80"/>
              <w:bottom w:type="dxa" w:w="40"/>
              <w:right w:type="dxa" w:w="80"/>
            </w:tcMar>
          </w:tcPr>
          <w:p>
            <w:pPr>
              <w:jc w:val="center"/>
            </w:pPr>
            <w:r>
              <w:rPr>
                <w:rFonts w:ascii="Calibri"/>
                <w:b/>
                <w:bCs/>
                <w:color w:val="FFFFFF"/>
                <w:sz w:val="21"/>
                <w:szCs w:val="21"/>
              </w:rPr>
              <w:t xml:space="preserve">Priority</w:t>
            </w:r>
          </w:p>
        </w:tc>
        <w:tc>
          <w:tcPr>
            <w:tcW w:type="pct" w:w="35%"/>
            <w:shd w:fill="1A2332" w:val="clear"/>
            <w:tcMar>
              <w:top w:type="dxa" w:w="40"/>
              <w:left w:type="dxa" w:w="80"/>
              <w:bottom w:type="dxa" w:w="40"/>
              <w:right w:type="dxa" w:w="80"/>
            </w:tcMar>
          </w:tcPr>
          <w:p>
            <w:pPr>
              <w:jc w:val="center"/>
            </w:pPr>
            <w:r>
              <w:rPr>
                <w:rFonts w:ascii="Calibri"/>
                <w:b/>
                <w:bCs/>
                <w:color w:val="FFFFFF"/>
                <w:sz w:val="21"/>
                <w:szCs w:val="21"/>
              </w:rPr>
              <w:t xml:space="preserve">Mitigation</w:t>
            </w:r>
          </w:p>
        </w:tc>
      </w:tr>
      <w:tr>
        <w:trPr>
          <w:cantSplit/>
          <w:tblHeader w:val="false"/>
        </w:trPr>
        <w:tc>
          <w:tcPr>
            <w:tcW w:type="pct" w:w="30%"/>
            <w:tcMar>
              <w:top w:type="dxa" w:w="40"/>
              <w:left w:type="dxa" w:w="80"/>
              <w:bottom w:type="dxa" w:w="40"/>
              <w:right w:type="dxa" w:w="80"/>
            </w:tcMar>
          </w:tcPr>
          <w:p>
            <w:r>
              <w:rPr>
                <w:rFonts w:ascii="Calibri" w:eastAsia="Microsoft YaHei"/>
                <w:color w:val="182030"/>
                <w:sz w:val="21"/>
                <w:szCs w:val="21"/>
              </w:rPr>
              <w:t xml:space="preserve">TypeScript errors bypassed in build (ignoreBuildErrors: true)</w:t>
            </w:r>
          </w:p>
        </w:tc>
        <w:tc>
          <w:tcPr>
            <w:tcW w:type="pct" w:w="20%"/>
            <w:tcMar>
              <w:top w:type="dxa" w:w="40"/>
              <w:left w:type="dxa" w:w="80"/>
              <w:bottom w:type="dxa" w:w="40"/>
              <w:right w:type="dxa" w:w="80"/>
            </w:tcMar>
          </w:tcPr>
          <w:p>
            <w:r>
              <w:rPr>
                <w:rFonts w:ascii="Calibri" w:eastAsia="Microsoft YaHei"/>
                <w:color w:val="182030"/>
                <w:sz w:val="21"/>
                <w:szCs w:val="21"/>
              </w:rPr>
              <w:t xml:space="preserve">Hidden type bugs may reach production</w:t>
            </w:r>
          </w:p>
        </w:tc>
        <w:tc>
          <w:tcPr>
            <w:tcW w:type="pct" w:w="15%"/>
            <w:tcMar>
              <w:top w:type="dxa" w:w="40"/>
              <w:left w:type="dxa" w:w="80"/>
              <w:bottom w:type="dxa" w:w="40"/>
              <w:right w:type="dxa" w:w="80"/>
            </w:tcMar>
          </w:tcPr>
          <w:p>
            <w:r>
              <w:rPr>
                <w:rFonts w:ascii="Calibri" w:eastAsia="Microsoft YaHei"/>
                <w:color w:val="182030"/>
                <w:sz w:val="21"/>
                <w:szCs w:val="21"/>
              </w:rPr>
              <w:t xml:space="preserve">Medium</w:t>
            </w:r>
          </w:p>
        </w:tc>
        <w:tc>
          <w:tcPr>
            <w:tcW w:type="pct" w:w="35%"/>
            <w:tcMar>
              <w:top w:type="dxa" w:w="40"/>
              <w:left w:type="dxa" w:w="80"/>
              <w:bottom w:type="dxa" w:w="40"/>
              <w:right w:type="dxa" w:w="80"/>
            </w:tcMar>
          </w:tcPr>
          <w:p>
            <w:r>
              <w:rPr>
                <w:rFonts w:ascii="Calibri" w:eastAsia="Microsoft YaHei"/>
                <w:color w:val="182030"/>
                <w:sz w:val="21"/>
                <w:szCs w:val="21"/>
              </w:rPr>
              <w:t xml:space="preserve">Fix Prisma JsonValue types incrementally</w:t>
            </w:r>
          </w:p>
        </w:tc>
      </w:tr>
      <w:tr>
        <w:trPr>
          <w:cantSplit/>
          <w:tblHeader w:val="false"/>
        </w:trPr>
        <w:tc>
          <w:tcPr>
            <w:tcW w:type="pct" w:w="30%"/>
            <w:tcMar>
              <w:top w:type="dxa" w:w="40"/>
              <w:left w:type="dxa" w:w="80"/>
              <w:bottom w:type="dxa" w:w="40"/>
              <w:right w:type="dxa" w:w="80"/>
            </w:tcMar>
          </w:tcPr>
          <w:p>
            <w:r>
              <w:rPr>
                <w:rFonts w:ascii="Calibri" w:eastAsia="Microsoft YaHei"/>
                <w:color w:val="182030"/>
                <w:sz w:val="21"/>
                <w:szCs w:val="21"/>
              </w:rPr>
              <w:t xml:space="preserve">Local dev uses SQLite, production uses PostgreSQL</w:t>
            </w:r>
          </w:p>
        </w:tc>
        <w:tc>
          <w:tcPr>
            <w:tcW w:type="pct" w:w="20%"/>
            <w:tcMar>
              <w:top w:type="dxa" w:w="40"/>
              <w:left w:type="dxa" w:w="80"/>
              <w:bottom w:type="dxa" w:w="40"/>
              <w:right w:type="dxa" w:w="80"/>
            </w:tcMar>
          </w:tcPr>
          <w:p>
            <w:r>
              <w:rPr>
                <w:rFonts w:ascii="Calibri" w:eastAsia="Microsoft YaHei"/>
                <w:color w:val="182030"/>
                <w:sz w:val="21"/>
                <w:szCs w:val="21"/>
              </w:rPr>
              <w:t xml:space="preserve">Schema drift risk</w:t>
            </w:r>
          </w:p>
        </w:tc>
        <w:tc>
          <w:tcPr>
            <w:tcW w:type="pct" w:w="15%"/>
            <w:tcMar>
              <w:top w:type="dxa" w:w="40"/>
              <w:left w:type="dxa" w:w="80"/>
              <w:bottom w:type="dxa" w:w="40"/>
              <w:right w:type="dxa" w:w="80"/>
            </w:tcMar>
          </w:tcPr>
          <w:p>
            <w:r>
              <w:rPr>
                <w:rFonts w:ascii="Calibri" w:eastAsia="Microsoft YaHei"/>
                <w:color w:val="182030"/>
                <w:sz w:val="21"/>
                <w:szCs w:val="21"/>
              </w:rPr>
              <w:t xml:space="preserve">High</w:t>
            </w:r>
          </w:p>
        </w:tc>
        <w:tc>
          <w:tcPr>
            <w:tcW w:type="pct" w:w="35%"/>
            <w:tcMar>
              <w:top w:type="dxa" w:w="40"/>
              <w:left w:type="dxa" w:w="80"/>
              <w:bottom w:type="dxa" w:w="40"/>
              <w:right w:type="dxa" w:w="80"/>
            </w:tcMar>
          </w:tcPr>
          <w:p>
            <w:r>
              <w:rPr>
                <w:rFonts w:ascii="Calibri" w:eastAsia="Microsoft YaHei"/>
                <w:color w:val="182030"/>
                <w:sz w:val="21"/>
                <w:szCs w:val="21"/>
              </w:rPr>
              <w:t xml:space="preserve">Migrate dev to PostgreSQL (Phase 3.2)</w:t>
            </w:r>
          </w:p>
        </w:tc>
      </w:tr>
      <w:tr>
        <w:trPr>
          <w:cantSplit/>
          <w:tblHeader w:val="false"/>
        </w:trPr>
        <w:tc>
          <w:tcPr>
            <w:tcW w:type="pct" w:w="30%"/>
            <w:tcMar>
              <w:top w:type="dxa" w:w="40"/>
              <w:left w:type="dxa" w:w="80"/>
              <w:bottom w:type="dxa" w:w="40"/>
              <w:right w:type="dxa" w:w="80"/>
            </w:tcMar>
          </w:tcPr>
          <w:p>
            <w:r>
              <w:rPr>
                <w:rFonts w:ascii="Calibri" w:eastAsia="Microsoft YaHei"/>
                <w:color w:val="182030"/>
                <w:sz w:val="21"/>
                <w:szCs w:val="21"/>
              </w:rPr>
              <w:t xml:space="preserve">ESLint rules mostly disabled (25+ off)</w:t>
            </w:r>
          </w:p>
        </w:tc>
        <w:tc>
          <w:tcPr>
            <w:tcW w:type="pct" w:w="20%"/>
            <w:tcMar>
              <w:top w:type="dxa" w:w="40"/>
              <w:left w:type="dxa" w:w="80"/>
              <w:bottom w:type="dxa" w:w="40"/>
              <w:right w:type="dxa" w:w="80"/>
            </w:tcMar>
          </w:tcPr>
          <w:p>
            <w:r>
              <w:rPr>
                <w:rFonts w:ascii="Calibri" w:eastAsia="Microsoft YaHei"/>
                <w:color w:val="182030"/>
                <w:sz w:val="21"/>
                <w:szCs w:val="21"/>
              </w:rPr>
              <w:t xml:space="preserve">Code quality issues accumulate</w:t>
            </w:r>
          </w:p>
        </w:tc>
        <w:tc>
          <w:tcPr>
            <w:tcW w:type="pct" w:w="15%"/>
            <w:tcMar>
              <w:top w:type="dxa" w:w="40"/>
              <w:left w:type="dxa" w:w="80"/>
              <w:bottom w:type="dxa" w:w="40"/>
              <w:right w:type="dxa" w:w="80"/>
            </w:tcMar>
          </w:tcPr>
          <w:p>
            <w:r>
              <w:rPr>
                <w:rFonts w:ascii="Calibri" w:eastAsia="Microsoft YaHei"/>
                <w:color w:val="182030"/>
                <w:sz w:val="21"/>
                <w:szCs w:val="21"/>
              </w:rPr>
              <w:t xml:space="preserve">Low</w:t>
            </w:r>
          </w:p>
        </w:tc>
        <w:tc>
          <w:tcPr>
            <w:tcW w:type="pct" w:w="35%"/>
            <w:tcMar>
              <w:top w:type="dxa" w:w="40"/>
              <w:left w:type="dxa" w:w="80"/>
              <w:bottom w:type="dxa" w:w="40"/>
              <w:right w:type="dxa" w:w="80"/>
            </w:tcMar>
          </w:tcPr>
          <w:p>
            <w:r>
              <w:rPr>
                <w:rFonts w:ascii="Calibri" w:eastAsia="Microsoft YaHei"/>
                <w:color w:val="182030"/>
                <w:sz w:val="21"/>
                <w:szCs w:val="21"/>
              </w:rPr>
              <w:t xml:space="preserve">Re-enable rules incrementally post-M4</w:t>
            </w:r>
          </w:p>
        </w:tc>
      </w:tr>
      <w:tr>
        <w:trPr>
          <w:cantSplit/>
          <w:tblHeader w:val="false"/>
        </w:trPr>
        <w:tc>
          <w:tcPr>
            <w:tcW w:type="pct" w:w="30%"/>
            <w:tcMar>
              <w:top w:type="dxa" w:w="40"/>
              <w:left w:type="dxa" w:w="80"/>
              <w:bottom w:type="dxa" w:w="40"/>
              <w:right w:type="dxa" w:w="80"/>
            </w:tcMar>
          </w:tcPr>
          <w:p>
            <w:r>
              <w:rPr>
                <w:rFonts w:ascii="Calibri" w:eastAsia="Microsoft YaHei"/>
                <w:color w:val="182030"/>
                <w:sz w:val="21"/>
                <w:szCs w:val="21"/>
              </w:rPr>
              <w:t xml:space="preserve">Hardcoded paths in .zscripts/ and some scripts/</w:t>
            </w:r>
          </w:p>
        </w:tc>
        <w:tc>
          <w:tcPr>
            <w:tcW w:type="pct" w:w="20%"/>
            <w:tcMar>
              <w:top w:type="dxa" w:w="40"/>
              <w:left w:type="dxa" w:w="80"/>
              <w:bottom w:type="dxa" w:w="40"/>
              <w:right w:type="dxa" w:w="80"/>
            </w:tcMar>
          </w:tcPr>
          <w:p>
            <w:r>
              <w:rPr>
                <w:rFonts w:ascii="Calibri" w:eastAsia="Microsoft YaHei"/>
                <w:color w:val="182030"/>
                <w:sz w:val="21"/>
                <w:szCs w:val="21"/>
              </w:rPr>
              <w:t xml:space="preserve">Path protection gaps</w:t>
            </w:r>
          </w:p>
        </w:tc>
        <w:tc>
          <w:tcPr>
            <w:tcW w:type="pct" w:w="15%"/>
            <w:tcMar>
              <w:top w:type="dxa" w:w="40"/>
              <w:left w:type="dxa" w:w="80"/>
              <w:bottom w:type="dxa" w:w="40"/>
              <w:right w:type="dxa" w:w="80"/>
            </w:tcMar>
          </w:tcPr>
          <w:p>
            <w:r>
              <w:rPr>
                <w:rFonts w:ascii="Calibri" w:eastAsia="Microsoft YaHei"/>
                <w:color w:val="182030"/>
                <w:sz w:val="21"/>
                <w:szCs w:val="21"/>
              </w:rPr>
              <w:t xml:space="preserve">Medium</w:t>
            </w:r>
          </w:p>
        </w:tc>
        <w:tc>
          <w:tcPr>
            <w:tcW w:type="pct" w:w="35%"/>
            <w:tcMar>
              <w:top w:type="dxa" w:w="40"/>
              <w:left w:type="dxa" w:w="80"/>
              <w:bottom w:type="dxa" w:w="40"/>
              <w:right w:type="dxa" w:w="80"/>
            </w:tcMar>
          </w:tcPr>
          <w:p>
            <w:r>
              <w:rPr>
                <w:rFonts w:ascii="Calibri" w:eastAsia="Microsoft YaHei"/>
                <w:color w:val="182030"/>
                <w:sz w:val="21"/>
                <w:szCs w:val="21"/>
              </w:rPr>
              <w:t xml:space="preserve">Scope expansion of path protection layer</w:t>
            </w:r>
          </w:p>
        </w:tc>
      </w:tr>
      <w:tr>
        <w:trPr>
          <w:cantSplit/>
          <w:tblHeader w:val="false"/>
        </w:trPr>
        <w:tc>
          <w:tcPr>
            <w:tcW w:type="pct" w:w="30%"/>
            <w:tcMar>
              <w:top w:type="dxa" w:w="40"/>
              <w:left w:type="dxa" w:w="80"/>
              <w:bottom w:type="dxa" w:w="40"/>
              <w:right w:type="dxa" w:w="80"/>
            </w:tcMar>
          </w:tcPr>
          <w:p>
            <w:r>
              <w:rPr>
                <w:rFonts w:ascii="Calibri" w:eastAsia="Microsoft YaHei"/>
                <w:color w:val="182030"/>
                <w:sz w:val="21"/>
                <w:szCs w:val="21"/>
              </w:rPr>
              <w:t xml:space="preserve">Single Vercel region (bom1)</w:t>
            </w:r>
          </w:p>
        </w:tc>
        <w:tc>
          <w:tcPr>
            <w:tcW w:type="pct" w:w="20%"/>
            <w:tcMar>
              <w:top w:type="dxa" w:w="40"/>
              <w:left w:type="dxa" w:w="80"/>
              <w:bottom w:type="dxa" w:w="40"/>
              <w:right w:type="dxa" w:w="80"/>
            </w:tcMar>
          </w:tcPr>
          <w:p>
            <w:r>
              <w:rPr>
                <w:rFonts w:ascii="Calibri" w:eastAsia="Microsoft YaHei"/>
                <w:color w:val="182030"/>
                <w:sz w:val="21"/>
                <w:szCs w:val="21"/>
              </w:rPr>
              <w:t xml:space="preserve">No geographic failover</w:t>
            </w:r>
          </w:p>
        </w:tc>
        <w:tc>
          <w:tcPr>
            <w:tcW w:type="pct" w:w="15%"/>
            <w:tcMar>
              <w:top w:type="dxa" w:w="40"/>
              <w:left w:type="dxa" w:w="80"/>
              <w:bottom w:type="dxa" w:w="40"/>
              <w:right w:type="dxa" w:w="80"/>
            </w:tcMar>
          </w:tcPr>
          <w:p>
            <w:r>
              <w:rPr>
                <w:rFonts w:ascii="Calibri" w:eastAsia="Microsoft YaHei"/>
                <w:color w:val="182030"/>
                <w:sz w:val="21"/>
                <w:szCs w:val="21"/>
              </w:rPr>
              <w:t xml:space="preserve">Low</w:t>
            </w:r>
          </w:p>
        </w:tc>
        <w:tc>
          <w:tcPr>
            <w:tcW w:type="pct" w:w="35%"/>
            <w:tcMar>
              <w:top w:type="dxa" w:w="40"/>
              <w:left w:type="dxa" w:w="80"/>
              <w:bottom w:type="dxa" w:w="40"/>
              <w:right w:type="dxa" w:w="80"/>
            </w:tcMar>
          </w:tcPr>
          <w:p>
            <w:r>
              <w:rPr>
                <w:rFonts w:ascii="Calibri" w:eastAsia="Microsoft YaHei"/>
                <w:color w:val="182030"/>
                <w:sz w:val="21"/>
                <w:szCs w:val="21"/>
              </w:rPr>
              <w:t xml:space="preserve">Multi-region configuration post-M4</w:t>
            </w:r>
          </w:p>
        </w:tc>
      </w:tr>
      <w:tr>
        <w:trPr>
          <w:cantSplit/>
          <w:tblHeader w:val="false"/>
        </w:trPr>
        <w:tc>
          <w:tcPr>
            <w:tcW w:type="pct" w:w="30%"/>
            <w:tcMar>
              <w:top w:type="dxa" w:w="40"/>
              <w:left w:type="dxa" w:w="80"/>
              <w:bottom w:type="dxa" w:w="40"/>
              <w:right w:type="dxa" w:w="80"/>
            </w:tcMar>
          </w:tcPr>
          <w:p>
            <w:r>
              <w:rPr>
                <w:rFonts w:ascii="Calibri" w:eastAsia="Microsoft YaHei"/>
                <w:color w:val="182030"/>
                <w:sz w:val="21"/>
                <w:szCs w:val="21"/>
              </w:rPr>
              <w:t xml:space="preserve">No vercel.project.json</w:t>
            </w:r>
          </w:p>
        </w:tc>
        <w:tc>
          <w:tcPr>
            <w:tcW w:type="pct" w:w="20%"/>
            <w:tcMar>
              <w:top w:type="dxa" w:w="40"/>
              <w:left w:type="dxa" w:w="80"/>
              <w:bottom w:type="dxa" w:w="40"/>
              <w:right w:type="dxa" w:w="80"/>
            </w:tcMar>
          </w:tcPr>
          <w:p>
            <w:r>
              <w:rPr>
                <w:rFonts w:ascii="Calibri" w:eastAsia="Microsoft YaHei"/>
                <w:color w:val="182030"/>
                <w:sz w:val="21"/>
                <w:szCs w:val="21"/>
              </w:rPr>
              <w:t xml:space="preserve">Project config only via dashboard</w:t>
            </w:r>
          </w:p>
        </w:tc>
        <w:tc>
          <w:tcPr>
            <w:tcW w:type="pct" w:w="15%"/>
            <w:tcMar>
              <w:top w:type="dxa" w:w="40"/>
              <w:left w:type="dxa" w:w="80"/>
              <w:bottom w:type="dxa" w:w="40"/>
              <w:right w:type="dxa" w:w="80"/>
            </w:tcMar>
          </w:tcPr>
          <w:p>
            <w:r>
              <w:rPr>
                <w:rFonts w:ascii="Calibri" w:eastAsia="Microsoft YaHei"/>
                <w:color w:val="182030"/>
                <w:sz w:val="21"/>
                <w:szCs w:val="21"/>
              </w:rPr>
              <w:t xml:space="preserve">Low</w:t>
            </w:r>
          </w:p>
        </w:tc>
        <w:tc>
          <w:tcPr>
            <w:tcW w:type="pct" w:w="35%"/>
            <w:tcMar>
              <w:top w:type="dxa" w:w="40"/>
              <w:left w:type="dxa" w:w="80"/>
              <w:bottom w:type="dxa" w:w="40"/>
              <w:right w:type="dxa" w:w="80"/>
            </w:tcMar>
          </w:tcPr>
          <w:p>
            <w:r>
              <w:rPr>
                <w:rFonts w:ascii="Calibri" w:eastAsia="Microsoft YaHei"/>
                <w:color w:val="182030"/>
                <w:sz w:val="21"/>
                <w:szCs w:val="21"/>
              </w:rPr>
              <w:t xml:space="preserve">Create vercel.project.json for IaC</w:t>
            </w:r>
          </w:p>
        </w:tc>
      </w:tr>
    </w:tbl>
    <w:p>
      <w:pPr>
        <w:spacing w:after="40"/>
      </w:pPr>
    </w:p>
    <w:p>
      <w:pPr>
        <w:pStyle w:val="Heading2"/>
        <w:spacing w:after="120" w:before="280" w:line="312"/>
      </w:pPr>
      <w:bookmarkStart w:id="100030" w:name="_Toc100030"/>
      <w:r>
        <w:rPr>
          <w:rFonts w:ascii="Calibri" w:eastAsia="SimHei"/>
          <w:b/>
          <w:bCs/>
          <w:color w:val="101820"/>
          <w:sz w:val="28"/>
          <w:szCs w:val="28"/>
        </w:rPr>
        <w:t xml:space="preserve">7.2 Deployment Pipeline Risks</w:t>
      </w:r>
      <w:bookmarkEnd w:id="100030"/>
    </w:p>
    <w:p>
      <w:pPr>
        <w:keepNext/>
        <w:spacing w:after="80" w:before="200" w:line="312"/>
      </w:pPr>
      <w:r>
        <w:rPr>
          <w:rFonts w:ascii="Calibri" w:eastAsia="SimHei"/>
          <w:b/>
          <w:bCs/>
          <w:color w:val="506070"/>
          <w:sz w:val="21"/>
          <w:szCs w:val="21"/>
        </w:rPr>
        <w:t xml:space="preserve">Table 7: Risk Register</w:t>
      </w:r>
    </w:p>
    <w:tbl>
      <w:tblPr>
        <w:tblW w:type="pct" w:w="100%"/>
        <w:tblBorders>
          <w:top w:val="single" w:color="D0D8E0" w:sz="1"/>
          <w:left w:val="none"/>
          <w:bottom w:val="single" w:color="D0D8E0" w:sz="1"/>
          <w:right w:val="none"/>
          <w:insideH w:val="single" w:color="D0D8E0" w:sz="1"/>
          <w:insideV w:val="none"/>
        </w:tblBorders>
      </w:tblPr>
      <w:tblGrid>
        <w:gridCol w:w="100"/>
        <w:gridCol w:w="100"/>
        <w:gridCol w:w="100"/>
        <w:gridCol w:w="100"/>
      </w:tblGrid>
      <w:tr>
        <w:trPr>
          <w:cantSplit/>
          <w:tblHeader/>
        </w:trPr>
        <w:tc>
          <w:tcPr>
            <w:tcW w:type="pct" w:w="25%"/>
            <w:shd w:fill="1A2332" w:val="clear"/>
            <w:tcMar>
              <w:top w:type="dxa" w:w="40"/>
              <w:left w:type="dxa" w:w="80"/>
              <w:bottom w:type="dxa" w:w="40"/>
              <w:right w:type="dxa" w:w="80"/>
            </w:tcMar>
          </w:tcPr>
          <w:p>
            <w:pPr>
              <w:jc w:val="center"/>
            </w:pPr>
            <w:r>
              <w:rPr>
                <w:rFonts w:ascii="Calibri"/>
                <w:b/>
                <w:bCs/>
                <w:color w:val="FFFFFF"/>
                <w:sz w:val="21"/>
                <w:szCs w:val="21"/>
              </w:rPr>
              <w:t xml:space="preserve">Risk</w:t>
            </w:r>
          </w:p>
        </w:tc>
        <w:tc>
          <w:tcPr>
            <w:tcW w:type="pct" w:w="15%"/>
            <w:shd w:fill="1A2332" w:val="clear"/>
            <w:tcMar>
              <w:top w:type="dxa" w:w="40"/>
              <w:left w:type="dxa" w:w="80"/>
              <w:bottom w:type="dxa" w:w="40"/>
              <w:right w:type="dxa" w:w="80"/>
            </w:tcMar>
          </w:tcPr>
          <w:p>
            <w:pPr>
              <w:jc w:val="center"/>
            </w:pPr>
            <w:r>
              <w:rPr>
                <w:rFonts w:ascii="Calibri"/>
                <w:b/>
                <w:bCs/>
                <w:color w:val="FFFFFF"/>
                <w:sz w:val="21"/>
                <w:szCs w:val="21"/>
              </w:rPr>
              <w:t xml:space="preserve">Likelihood</w:t>
            </w:r>
          </w:p>
        </w:tc>
        <w:tc>
          <w:tcPr>
            <w:tcW w:type="pct" w:w="15%"/>
            <w:shd w:fill="1A2332" w:val="clear"/>
            <w:tcMar>
              <w:top w:type="dxa" w:w="40"/>
              <w:left w:type="dxa" w:w="80"/>
              <w:bottom w:type="dxa" w:w="40"/>
              <w:right w:type="dxa" w:w="80"/>
            </w:tcMar>
          </w:tcPr>
          <w:p>
            <w:pPr>
              <w:jc w:val="center"/>
            </w:pPr>
            <w:r>
              <w:rPr>
                <w:rFonts w:ascii="Calibri"/>
                <w:b/>
                <w:bCs/>
                <w:color w:val="FFFFFF"/>
                <w:sz w:val="21"/>
                <w:szCs w:val="21"/>
              </w:rPr>
              <w:t xml:space="preserve">Impact</w:t>
            </w:r>
          </w:p>
        </w:tc>
        <w:tc>
          <w:tcPr>
            <w:tcW w:type="pct" w:w="45%"/>
            <w:shd w:fill="1A2332" w:val="clear"/>
            <w:tcMar>
              <w:top w:type="dxa" w:w="40"/>
              <w:left w:type="dxa" w:w="80"/>
              <w:bottom w:type="dxa" w:w="40"/>
              <w:right w:type="dxa" w:w="80"/>
            </w:tcMar>
          </w:tcPr>
          <w:p>
            <w:pPr>
              <w:jc w:val="center"/>
            </w:pPr>
            <w:r>
              <w:rPr>
                <w:rFonts w:ascii="Calibri"/>
                <w:b/>
                <w:bCs/>
                <w:color w:val="FFFFFF"/>
                <w:sz w:val="21"/>
                <w:szCs w:val="21"/>
              </w:rPr>
              <w:t xml:space="preserve">Mitigation Strategy</w:t>
            </w:r>
          </w:p>
        </w:tc>
      </w:tr>
      <w:tr>
        <w:trPr>
          <w:cantSplit/>
          <w:tblHeader w:val="false"/>
        </w:trPr>
        <w:tc>
          <w:tcPr>
            <w:tcW w:type="pct" w:w="25%"/>
            <w:tcMar>
              <w:top w:type="dxa" w:w="40"/>
              <w:left w:type="dxa" w:w="80"/>
              <w:bottom w:type="dxa" w:w="40"/>
              <w:right w:type="dxa" w:w="80"/>
            </w:tcMar>
          </w:tcPr>
          <w:p>
            <w:r>
              <w:rPr>
                <w:rFonts w:ascii="Calibri" w:eastAsia="Microsoft YaHei"/>
                <w:color w:val="182030"/>
                <w:sz w:val="21"/>
                <w:szCs w:val="21"/>
              </w:rPr>
              <w:t xml:space="preserve">Staging deployment fails silently</w:t>
            </w:r>
          </w:p>
        </w:tc>
        <w:tc>
          <w:tcPr>
            <w:tcW w:type="pct" w:w="15%"/>
            <w:tcMar>
              <w:top w:type="dxa" w:w="40"/>
              <w:left w:type="dxa" w:w="80"/>
              <w:bottom w:type="dxa" w:w="40"/>
              <w:right w:type="dxa" w:w="80"/>
            </w:tcMar>
          </w:tcPr>
          <w:p>
            <w:r>
              <w:rPr>
                <w:rFonts w:ascii="Calibri" w:eastAsia="Microsoft YaHei"/>
                <w:color w:val="182030"/>
                <w:sz w:val="21"/>
                <w:szCs w:val="21"/>
              </w:rPr>
              <w:t xml:space="preserve">Low</w:t>
            </w:r>
          </w:p>
        </w:tc>
        <w:tc>
          <w:tcPr>
            <w:tcW w:type="pct" w:w="15%"/>
            <w:tcMar>
              <w:top w:type="dxa" w:w="40"/>
              <w:left w:type="dxa" w:w="80"/>
              <w:bottom w:type="dxa" w:w="40"/>
              <w:right w:type="dxa" w:w="80"/>
            </w:tcMar>
          </w:tcPr>
          <w:p>
            <w:r>
              <w:rPr>
                <w:rFonts w:ascii="Calibri" w:eastAsia="Microsoft YaHei"/>
                <w:color w:val="182030"/>
                <w:sz w:val="21"/>
                <w:szCs w:val="21"/>
              </w:rPr>
              <w:t xml:space="preserve">High</w:t>
            </w:r>
          </w:p>
        </w:tc>
        <w:tc>
          <w:tcPr>
            <w:tcW w:type="pct" w:w="45%"/>
            <w:tcMar>
              <w:top w:type="dxa" w:w="40"/>
              <w:left w:type="dxa" w:w="80"/>
              <w:bottom w:type="dxa" w:w="40"/>
              <w:right w:type="dxa" w:w="80"/>
            </w:tcMar>
          </w:tcPr>
          <w:p>
            <w:r>
              <w:rPr>
                <w:rFonts w:ascii="Calibri" w:eastAsia="Microsoft YaHei"/>
                <w:color w:val="182030"/>
                <w:sz w:val="21"/>
                <w:szCs w:val="21"/>
              </w:rPr>
              <w:t xml:space="preserve">Deploy job must verify deployment URL returns 200</w:t>
            </w:r>
          </w:p>
        </w:tc>
      </w:tr>
      <w:tr>
        <w:trPr>
          <w:cantSplit/>
          <w:tblHeader w:val="false"/>
        </w:trPr>
        <w:tc>
          <w:tcPr>
            <w:tcW w:type="pct" w:w="25%"/>
            <w:tcMar>
              <w:top w:type="dxa" w:w="40"/>
              <w:left w:type="dxa" w:w="80"/>
              <w:bottom w:type="dxa" w:w="40"/>
              <w:right w:type="dxa" w:w="80"/>
            </w:tcMar>
          </w:tcPr>
          <w:p>
            <w:r>
              <w:rPr>
                <w:rFonts w:ascii="Calibri" w:eastAsia="Microsoft YaHei"/>
                <w:color w:val="182030"/>
                <w:sz w:val="21"/>
                <w:szCs w:val="21"/>
              </w:rPr>
              <w:t xml:space="preserve">Health check gives false positive</w:t>
            </w:r>
          </w:p>
        </w:tc>
        <w:tc>
          <w:tcPr>
            <w:tcW w:type="pct" w:w="15%"/>
            <w:tcMar>
              <w:top w:type="dxa" w:w="40"/>
              <w:left w:type="dxa" w:w="80"/>
              <w:bottom w:type="dxa" w:w="40"/>
              <w:right w:type="dxa" w:w="80"/>
            </w:tcMar>
          </w:tcPr>
          <w:p>
            <w:r>
              <w:rPr>
                <w:rFonts w:ascii="Calibri" w:eastAsia="Microsoft YaHei"/>
                <w:color w:val="182030"/>
                <w:sz w:val="21"/>
                <w:szCs w:val="21"/>
              </w:rPr>
              <w:t xml:space="preserve">Medium</w:t>
            </w:r>
          </w:p>
        </w:tc>
        <w:tc>
          <w:tcPr>
            <w:tcW w:type="pct" w:w="15%"/>
            <w:tcMar>
              <w:top w:type="dxa" w:w="40"/>
              <w:left w:type="dxa" w:w="80"/>
              <w:bottom w:type="dxa" w:w="40"/>
              <w:right w:type="dxa" w:w="80"/>
            </w:tcMar>
          </w:tcPr>
          <w:p>
            <w:r>
              <w:rPr>
                <w:rFonts w:ascii="Calibri" w:eastAsia="Microsoft YaHei"/>
                <w:color w:val="182030"/>
                <w:sz w:val="21"/>
                <w:szCs w:val="21"/>
              </w:rPr>
              <w:t xml:space="preserve">Medium</w:t>
            </w:r>
          </w:p>
        </w:tc>
        <w:tc>
          <w:tcPr>
            <w:tcW w:type="pct" w:w="45%"/>
            <w:tcMar>
              <w:top w:type="dxa" w:w="40"/>
              <w:left w:type="dxa" w:w="80"/>
              <w:bottom w:type="dxa" w:w="40"/>
              <w:right w:type="dxa" w:w="80"/>
            </w:tcMar>
          </w:tcPr>
          <w:p>
            <w:r>
              <w:rPr>
                <w:rFonts w:ascii="Calibri" w:eastAsia="Microsoft YaHei"/>
                <w:color w:val="182030"/>
                <w:sz w:val="21"/>
                <w:szCs w:val="21"/>
              </w:rPr>
              <w:t xml:space="preserve">Health check validates all subsystems, not just HTTP 200</w:t>
            </w:r>
          </w:p>
        </w:tc>
      </w:tr>
      <w:tr>
        <w:trPr>
          <w:cantSplit/>
          <w:tblHeader w:val="false"/>
        </w:trPr>
        <w:tc>
          <w:tcPr>
            <w:tcW w:type="pct" w:w="25%"/>
            <w:tcMar>
              <w:top w:type="dxa" w:w="40"/>
              <w:left w:type="dxa" w:w="80"/>
              <w:bottom w:type="dxa" w:w="40"/>
              <w:right w:type="dxa" w:w="80"/>
            </w:tcMar>
          </w:tcPr>
          <w:p>
            <w:r>
              <w:rPr>
                <w:rFonts w:ascii="Calibri" w:eastAsia="Microsoft YaHei"/>
                <w:color w:val="182030"/>
                <w:sz w:val="21"/>
                <w:szCs w:val="21"/>
              </w:rPr>
              <w:t xml:space="preserve">Automatic rollback fails</w:t>
            </w:r>
          </w:p>
        </w:tc>
        <w:tc>
          <w:tcPr>
            <w:tcW w:type="pct" w:w="15%"/>
            <w:tcMar>
              <w:top w:type="dxa" w:w="40"/>
              <w:left w:type="dxa" w:w="80"/>
              <w:bottom w:type="dxa" w:w="40"/>
              <w:right w:type="dxa" w:w="80"/>
            </w:tcMar>
          </w:tcPr>
          <w:p>
            <w:r>
              <w:rPr>
                <w:rFonts w:ascii="Calibri" w:eastAsia="Microsoft YaHei"/>
                <w:color w:val="182030"/>
                <w:sz w:val="21"/>
                <w:szCs w:val="21"/>
              </w:rPr>
              <w:t xml:space="preserve">Low</w:t>
            </w:r>
          </w:p>
        </w:tc>
        <w:tc>
          <w:tcPr>
            <w:tcW w:type="pct" w:w="15%"/>
            <w:tcMar>
              <w:top w:type="dxa" w:w="40"/>
              <w:left w:type="dxa" w:w="80"/>
              <w:bottom w:type="dxa" w:w="40"/>
              <w:right w:type="dxa" w:w="80"/>
            </w:tcMar>
          </w:tcPr>
          <w:p>
            <w:r>
              <w:rPr>
                <w:rFonts w:ascii="Calibri" w:eastAsia="Microsoft YaHei"/>
                <w:color w:val="182030"/>
                <w:sz w:val="21"/>
                <w:szCs w:val="21"/>
              </w:rPr>
              <w:t xml:space="preserve">Critical</w:t>
            </w:r>
          </w:p>
        </w:tc>
        <w:tc>
          <w:tcPr>
            <w:tcW w:type="pct" w:w="45%"/>
            <w:tcMar>
              <w:top w:type="dxa" w:w="40"/>
              <w:left w:type="dxa" w:w="80"/>
              <w:bottom w:type="dxa" w:w="40"/>
              <w:right w:type="dxa" w:w="80"/>
            </w:tcMar>
          </w:tcPr>
          <w:p>
            <w:r>
              <w:rPr>
                <w:rFonts w:ascii="Calibri" w:eastAsia="Microsoft YaHei"/>
                <w:color w:val="182030"/>
                <w:sz w:val="21"/>
                <w:szCs w:val="21"/>
              </w:rPr>
              <w:t xml:space="preserve">Manual rollback documented as fallback; Vercel API verified</w:t>
            </w:r>
          </w:p>
        </w:tc>
      </w:tr>
      <w:tr>
        <w:trPr>
          <w:cantSplit/>
          <w:tblHeader w:val="false"/>
        </w:trPr>
        <w:tc>
          <w:tcPr>
            <w:tcW w:type="pct" w:w="25%"/>
            <w:tcMar>
              <w:top w:type="dxa" w:w="40"/>
              <w:left w:type="dxa" w:w="80"/>
              <w:bottom w:type="dxa" w:w="40"/>
              <w:right w:type="dxa" w:w="80"/>
            </w:tcMar>
          </w:tcPr>
          <w:p>
            <w:r>
              <w:rPr>
                <w:rFonts w:ascii="Calibri" w:eastAsia="Microsoft YaHei"/>
                <w:color w:val="182030"/>
                <w:sz w:val="21"/>
                <w:szCs w:val="21"/>
              </w:rPr>
              <w:t xml:space="preserve">Migration locks production database</w:t>
            </w:r>
          </w:p>
        </w:tc>
        <w:tc>
          <w:tcPr>
            <w:tcW w:type="pct" w:w="15%"/>
            <w:tcMar>
              <w:top w:type="dxa" w:w="40"/>
              <w:left w:type="dxa" w:w="80"/>
              <w:bottom w:type="dxa" w:w="40"/>
              <w:right w:type="dxa" w:w="80"/>
            </w:tcMar>
          </w:tcPr>
          <w:p>
            <w:r>
              <w:rPr>
                <w:rFonts w:ascii="Calibri" w:eastAsia="Microsoft YaHei"/>
                <w:color w:val="182030"/>
                <w:sz w:val="21"/>
                <w:szCs w:val="21"/>
              </w:rPr>
              <w:t xml:space="preserve">Low</w:t>
            </w:r>
          </w:p>
        </w:tc>
        <w:tc>
          <w:tcPr>
            <w:tcW w:type="pct" w:w="15%"/>
            <w:tcMar>
              <w:top w:type="dxa" w:w="40"/>
              <w:left w:type="dxa" w:w="80"/>
              <w:bottom w:type="dxa" w:w="40"/>
              <w:right w:type="dxa" w:w="80"/>
            </w:tcMar>
          </w:tcPr>
          <w:p>
            <w:r>
              <w:rPr>
                <w:rFonts w:ascii="Calibri" w:eastAsia="Microsoft YaHei"/>
                <w:color w:val="182030"/>
                <w:sz w:val="21"/>
                <w:szCs w:val="21"/>
              </w:rPr>
              <w:t xml:space="preserve">High</w:t>
            </w:r>
          </w:p>
        </w:tc>
        <w:tc>
          <w:tcPr>
            <w:tcW w:type="pct" w:w="45%"/>
            <w:tcMar>
              <w:top w:type="dxa" w:w="40"/>
              <w:left w:type="dxa" w:w="80"/>
              <w:bottom w:type="dxa" w:w="40"/>
              <w:right w:type="dxa" w:w="80"/>
            </w:tcMar>
          </w:tcPr>
          <w:p>
            <w:r>
              <w:rPr>
                <w:rFonts w:ascii="Calibri" w:eastAsia="Microsoft YaHei"/>
                <w:color w:val="182030"/>
                <w:sz w:val="21"/>
                <w:szCs w:val="21"/>
              </w:rPr>
              <w:t xml:space="preserve">Pre-migration backup + timeout + lock wait config</w:t>
            </w:r>
          </w:p>
        </w:tc>
      </w:tr>
      <w:tr>
        <w:trPr>
          <w:cantSplit/>
          <w:tblHeader w:val="false"/>
        </w:trPr>
        <w:tc>
          <w:tcPr>
            <w:tcW w:type="pct" w:w="25%"/>
            <w:tcMar>
              <w:top w:type="dxa" w:w="40"/>
              <w:left w:type="dxa" w:w="80"/>
              <w:bottom w:type="dxa" w:w="40"/>
              <w:right w:type="dxa" w:w="80"/>
            </w:tcMar>
          </w:tcPr>
          <w:p>
            <w:r>
              <w:rPr>
                <w:rFonts w:ascii="Calibri" w:eastAsia="Microsoft YaHei"/>
                <w:color w:val="182030"/>
                <w:sz w:val="21"/>
                <w:szCs w:val="21"/>
              </w:rPr>
              <w:t xml:space="preserve">Smoke tests flake on staging</w:t>
            </w:r>
          </w:p>
        </w:tc>
        <w:tc>
          <w:tcPr>
            <w:tcW w:type="pct" w:w="15%"/>
            <w:tcMar>
              <w:top w:type="dxa" w:w="40"/>
              <w:left w:type="dxa" w:w="80"/>
              <w:bottom w:type="dxa" w:w="40"/>
              <w:right w:type="dxa" w:w="80"/>
            </w:tcMar>
          </w:tcPr>
          <w:p>
            <w:r>
              <w:rPr>
                <w:rFonts w:ascii="Calibri" w:eastAsia="Microsoft YaHei"/>
                <w:color w:val="182030"/>
                <w:sz w:val="21"/>
                <w:szCs w:val="21"/>
              </w:rPr>
              <w:t xml:space="preserve">Medium</w:t>
            </w:r>
          </w:p>
        </w:tc>
        <w:tc>
          <w:tcPr>
            <w:tcW w:type="pct" w:w="15%"/>
            <w:tcMar>
              <w:top w:type="dxa" w:w="40"/>
              <w:left w:type="dxa" w:w="80"/>
              <w:bottom w:type="dxa" w:w="40"/>
              <w:right w:type="dxa" w:w="80"/>
            </w:tcMar>
          </w:tcPr>
          <w:p>
            <w:r>
              <w:rPr>
                <w:rFonts w:ascii="Calibri" w:eastAsia="Microsoft YaHei"/>
                <w:color w:val="182030"/>
                <w:sz w:val="21"/>
                <w:szCs w:val="21"/>
              </w:rPr>
              <w:t xml:space="preserve">Medium</w:t>
            </w:r>
          </w:p>
        </w:tc>
        <w:tc>
          <w:tcPr>
            <w:tcW w:type="pct" w:w="45%"/>
            <w:tcMar>
              <w:top w:type="dxa" w:w="40"/>
              <w:left w:type="dxa" w:w="80"/>
              <w:bottom w:type="dxa" w:w="40"/>
              <w:right w:type="dxa" w:w="80"/>
            </w:tcMar>
          </w:tcPr>
          <w:p>
            <w:r>
              <w:rPr>
                <w:rFonts w:ascii="Calibri" w:eastAsia="Microsoft YaHei"/>
                <w:color w:val="182030"/>
                <w:sz w:val="21"/>
                <w:szCs w:val="21"/>
              </w:rPr>
              <w:t xml:space="preserve">Retry logic + clear pass/fail criteria + dedicated config</w:t>
            </w:r>
          </w:p>
        </w:tc>
      </w:tr>
      <w:tr>
        <w:trPr>
          <w:cantSplit/>
          <w:tblHeader w:val="false"/>
        </w:trPr>
        <w:tc>
          <w:tcPr>
            <w:tcW w:type="pct" w:w="25%"/>
            <w:tcMar>
              <w:top w:type="dxa" w:w="40"/>
              <w:left w:type="dxa" w:w="80"/>
              <w:bottom w:type="dxa" w:w="40"/>
              <w:right w:type="dxa" w:w="80"/>
            </w:tcMar>
          </w:tcPr>
          <w:p>
            <w:r>
              <w:rPr>
                <w:rFonts w:ascii="Calibri" w:eastAsia="Microsoft YaHei"/>
                <w:color w:val="182030"/>
                <w:sz w:val="21"/>
                <w:szCs w:val="21"/>
              </w:rPr>
              <w:t xml:space="preserve">Environment secrets leak in logs</w:t>
            </w:r>
          </w:p>
        </w:tc>
        <w:tc>
          <w:tcPr>
            <w:tcW w:type="pct" w:w="15%"/>
            <w:tcMar>
              <w:top w:type="dxa" w:w="40"/>
              <w:left w:type="dxa" w:w="80"/>
              <w:bottom w:type="dxa" w:w="40"/>
              <w:right w:type="dxa" w:w="80"/>
            </w:tcMar>
          </w:tcPr>
          <w:p>
            <w:r>
              <w:rPr>
                <w:rFonts w:ascii="Calibri" w:eastAsia="Microsoft YaHei"/>
                <w:color w:val="182030"/>
                <w:sz w:val="21"/>
                <w:szCs w:val="21"/>
              </w:rPr>
              <w:t xml:space="preserve">Low</w:t>
            </w:r>
          </w:p>
        </w:tc>
        <w:tc>
          <w:tcPr>
            <w:tcW w:type="pct" w:w="15%"/>
            <w:tcMar>
              <w:top w:type="dxa" w:w="40"/>
              <w:left w:type="dxa" w:w="80"/>
              <w:bottom w:type="dxa" w:w="40"/>
              <w:right w:type="dxa" w:w="80"/>
            </w:tcMar>
          </w:tcPr>
          <w:p>
            <w:r>
              <w:rPr>
                <w:rFonts w:ascii="Calibri" w:eastAsia="Microsoft YaHei"/>
                <w:color w:val="182030"/>
                <w:sz w:val="21"/>
                <w:szCs w:val="21"/>
              </w:rPr>
              <w:t xml:space="preserve">Critical</w:t>
            </w:r>
          </w:p>
        </w:tc>
        <w:tc>
          <w:tcPr>
            <w:tcW w:type="pct" w:w="45%"/>
            <w:tcMar>
              <w:top w:type="dxa" w:w="40"/>
              <w:left w:type="dxa" w:w="80"/>
              <w:bottom w:type="dxa" w:w="40"/>
              <w:right w:type="dxa" w:w="80"/>
            </w:tcMar>
          </w:tcPr>
          <w:p>
            <w:r>
              <w:rPr>
                <w:rFonts w:ascii="Calibri" w:eastAsia="Microsoft YaHei"/>
                <w:color w:val="182030"/>
                <w:sz w:val="21"/>
                <w:szCs w:val="21"/>
              </w:rPr>
              <w:t xml:space="preserve">GitHub Actions secrets are masked; no echo of secrets</w:t>
            </w:r>
          </w:p>
        </w:tc>
      </w:tr>
    </w:tbl>
    <w:p>
      <w:pPr>
        <w:pStyle w:val="Heading1"/>
        <w:spacing w:after="160" w:before="360" w:line="312"/>
      </w:pPr>
      <w:bookmarkStart w:id="100031" w:name="_Toc100031"/>
      <w:r>
        <w:rPr>
          <w:rFonts w:ascii="Calibri" w:eastAsia="SimHei"/>
          <w:b/>
          <w:bCs/>
          <w:color w:val="101820"/>
          <w:sz w:val="32"/>
          <w:szCs w:val="32"/>
        </w:rPr>
        <w:t xml:space="preserve">8. M4 Phase 3 Completion Criteria</w:t>
      </w:r>
      <w:bookmarkEnd w:id="100031"/>
    </w:p>
    <w:p>
      <w:pPr>
        <w:spacing w:after="80" w:line="312"/>
        <w:ind w:firstLine="480"/>
        <w:jc w:val="both"/>
      </w:pPr>
      <w:r>
        <w:rPr>
          <w:rFonts w:ascii="Calibri" w:eastAsia="Microsoft YaHei"/>
          <w:color w:val="182030"/>
          <w:sz w:val="24"/>
          <w:szCs w:val="24"/>
        </w:rPr>
        <w:t xml:space="preserve">Phase 3 will be considered complete when all of the following criteria are met. Each criterion has a concrete, verifiable deliverable that can be confirmed through automated validation or manual review.</w:t>
      </w:r>
    </w:p>
    <w:p>
      <w:pPr>
        <w:keepNext/>
        <w:spacing w:after="80" w:before="200" w:line="312"/>
      </w:pPr>
      <w:r>
        <w:rPr>
          <w:rFonts w:ascii="Calibri" w:eastAsia="SimHei"/>
          <w:b/>
          <w:bCs/>
          <w:color w:val="506070"/>
          <w:sz w:val="21"/>
          <w:szCs w:val="21"/>
        </w:rPr>
        <w:t xml:space="preserve">Table 8: Phase 3 Completion Checklist</w:t>
      </w:r>
    </w:p>
    <w:tbl>
      <w:tblPr>
        <w:tblW w:type="pct" w:w="100%"/>
        <w:tblBorders>
          <w:top w:val="single" w:color="D0D8E0" w:sz="1"/>
          <w:left w:val="none"/>
          <w:bottom w:val="single" w:color="D0D8E0" w:sz="1"/>
          <w:right w:val="none"/>
          <w:insideH w:val="single" w:color="D0D8E0" w:sz="1"/>
          <w:insideV w:val="none"/>
        </w:tblBorders>
      </w:tblPr>
      <w:tblGrid>
        <w:gridCol w:w="100"/>
        <w:gridCol w:w="100"/>
        <w:gridCol w:w="100"/>
        <w:gridCol w:w="100"/>
      </w:tblGrid>
      <w:tr>
        <w:trPr>
          <w:cantSplit/>
          <w:tblHeader/>
        </w:trPr>
        <w:tc>
          <w:tcPr>
            <w:tcW w:type="pct" w:w="5%"/>
            <w:shd w:fill="1A2332" w:val="clear"/>
            <w:tcMar>
              <w:top w:type="dxa" w:w="40"/>
              <w:left w:type="dxa" w:w="80"/>
              <w:bottom w:type="dxa" w:w="40"/>
              <w:right w:type="dxa" w:w="80"/>
            </w:tcMar>
          </w:tcPr>
          <w:p>
            <w:pPr>
              <w:jc w:val="center"/>
            </w:pPr>
            <w:r>
              <w:rPr>
                <w:rFonts w:ascii="Calibri"/>
                <w:b/>
                <w:bCs/>
                <w:color w:val="FFFFFF"/>
                <w:sz w:val="21"/>
                <w:szCs w:val="21"/>
              </w:rPr>
              <w:t xml:space="preserve">#</w:t>
            </w:r>
          </w:p>
        </w:tc>
        <w:tc>
          <w:tcPr>
            <w:tcW w:type="pct" w:w="45%"/>
            <w:shd w:fill="1A2332" w:val="clear"/>
            <w:tcMar>
              <w:top w:type="dxa" w:w="40"/>
              <w:left w:type="dxa" w:w="80"/>
              <w:bottom w:type="dxa" w:w="40"/>
              <w:right w:type="dxa" w:w="80"/>
            </w:tcMar>
          </w:tcPr>
          <w:p>
            <w:pPr>
              <w:jc w:val="center"/>
            </w:pPr>
            <w:r>
              <w:rPr>
                <w:rFonts w:ascii="Calibri"/>
                <w:b/>
                <w:bCs/>
                <w:color w:val="FFFFFF"/>
                <w:sz w:val="21"/>
                <w:szCs w:val="21"/>
              </w:rPr>
              <w:t xml:space="preserve">Criterion</w:t>
            </w:r>
          </w:p>
        </w:tc>
        <w:tc>
          <w:tcPr>
            <w:tcW w:type="pct" w:w="30%"/>
            <w:shd w:fill="1A2332" w:val="clear"/>
            <w:tcMar>
              <w:top w:type="dxa" w:w="40"/>
              <w:left w:type="dxa" w:w="80"/>
              <w:bottom w:type="dxa" w:w="40"/>
              <w:right w:type="dxa" w:w="80"/>
            </w:tcMar>
          </w:tcPr>
          <w:p>
            <w:pPr>
              <w:jc w:val="center"/>
            </w:pPr>
            <w:r>
              <w:rPr>
                <w:rFonts w:ascii="Calibri"/>
                <w:b/>
                <w:bCs/>
                <w:color w:val="FFFFFF"/>
                <w:sz w:val="21"/>
                <w:szCs w:val="21"/>
              </w:rPr>
              <w:t xml:space="preserve">Verification Method</w:t>
            </w:r>
          </w:p>
        </w:tc>
        <w:tc>
          <w:tcPr>
            <w:tcW w:type="pct" w:w="20%"/>
            <w:shd w:fill="1A2332" w:val="clear"/>
            <w:tcMar>
              <w:top w:type="dxa" w:w="40"/>
              <w:left w:type="dxa" w:w="80"/>
              <w:bottom w:type="dxa" w:w="40"/>
              <w:right w:type="dxa" w:w="80"/>
            </w:tcMar>
          </w:tcPr>
          <w:p>
            <w:pPr>
              <w:jc w:val="center"/>
            </w:pPr>
            <w:r>
              <w:rPr>
                <w:rFonts w:ascii="Calibri"/>
                <w:b/>
                <w:bCs/>
                <w:color w:val="FFFFFF"/>
                <w:sz w:val="21"/>
                <w:szCs w:val="21"/>
              </w:rPr>
              <w:t xml:space="preserve">Status</w:t>
            </w:r>
          </w:p>
        </w:tc>
      </w:tr>
      <w:tr>
        <w:trPr>
          <w:cantSplit/>
          <w:tblHeader w:val="false"/>
        </w:trPr>
        <w:tc>
          <w:tcPr>
            <w:tcW w:type="pct" w:w="5%"/>
            <w:tcMar>
              <w:top w:type="dxa" w:w="40"/>
              <w:left w:type="dxa" w:w="80"/>
              <w:bottom w:type="dxa" w:w="40"/>
              <w:right w:type="dxa" w:w="80"/>
            </w:tcMar>
          </w:tcPr>
          <w:p>
            <w:r>
              <w:rPr>
                <w:rFonts w:ascii="Calibri" w:eastAsia="Microsoft YaHei"/>
                <w:color w:val="182030"/>
                <w:sz w:val="21"/>
                <w:szCs w:val="21"/>
              </w:rPr>
              <w:t xml:space="preserve">1</w:t>
            </w:r>
          </w:p>
        </w:tc>
        <w:tc>
          <w:tcPr>
            <w:tcW w:type="pct" w:w="45%"/>
            <w:tcMar>
              <w:top w:type="dxa" w:w="40"/>
              <w:left w:type="dxa" w:w="80"/>
              <w:bottom w:type="dxa" w:w="40"/>
              <w:right w:type="dxa" w:w="80"/>
            </w:tcMar>
          </w:tcPr>
          <w:p>
            <w:r>
              <w:rPr>
                <w:rFonts w:ascii="Calibri" w:eastAsia="Microsoft YaHei"/>
                <w:color w:val="182030"/>
                <w:sz w:val="21"/>
                <w:szCs w:val="21"/>
              </w:rPr>
              <w:t xml:space="preserve">Deployment architecture documented</w:t>
            </w:r>
          </w:p>
        </w:tc>
        <w:tc>
          <w:tcPr>
            <w:tcW w:type="pct" w:w="30%"/>
            <w:tcMar>
              <w:top w:type="dxa" w:w="40"/>
              <w:left w:type="dxa" w:w="80"/>
              <w:bottom w:type="dxa" w:w="40"/>
              <w:right w:type="dxa" w:w="80"/>
            </w:tcMar>
          </w:tcPr>
          <w:p>
            <w:r>
              <w:rPr>
                <w:rFonts w:ascii="Calibri" w:eastAsia="Microsoft YaHei"/>
                <w:color w:val="182030"/>
                <w:sz w:val="21"/>
                <w:szCs w:val="21"/>
              </w:rPr>
              <w:t xml:space="preserve">Audit document reviewed and approved</w:t>
            </w:r>
          </w:p>
        </w:tc>
        <w:tc>
          <w:tcPr>
            <w:tcW w:type="pct" w:w="12%"/>
            <w:tcMar>
              <w:top w:type="dxa" w:w="40"/>
              <w:left w:type="dxa" w:w="80"/>
              <w:bottom w:type="dxa" w:w="40"/>
              <w:right w:type="dxa" w:w="80"/>
            </w:tcMar>
          </w:tcPr>
          <w:p>
            <w:pPr>
              <w:jc w:val="center"/>
            </w:pPr>
            <w:r>
              <w:rPr>
                <w:rFonts w:ascii="Calibri"/>
                <w:b/>
                <w:bCs/>
                <w:color w:val="C0392B"/>
                <w:sz w:val="21"/>
                <w:szCs w:val="21"/>
              </w:rPr>
              <w:t xml:space="preserve">PENDING</w:t>
            </w:r>
          </w:p>
        </w:tc>
      </w:tr>
      <w:tr>
        <w:trPr>
          <w:cantSplit/>
          <w:tblHeader w:val="false"/>
        </w:trPr>
        <w:tc>
          <w:tcPr>
            <w:tcW w:type="pct" w:w="5%"/>
            <w:tcMar>
              <w:top w:type="dxa" w:w="40"/>
              <w:left w:type="dxa" w:w="80"/>
              <w:bottom w:type="dxa" w:w="40"/>
              <w:right w:type="dxa" w:w="80"/>
            </w:tcMar>
          </w:tcPr>
          <w:p>
            <w:r>
              <w:rPr>
                <w:rFonts w:ascii="Calibri" w:eastAsia="Microsoft YaHei"/>
                <w:color w:val="182030"/>
                <w:sz w:val="21"/>
                <w:szCs w:val="21"/>
              </w:rPr>
              <w:t xml:space="preserve">2</w:t>
            </w:r>
          </w:p>
        </w:tc>
        <w:tc>
          <w:tcPr>
            <w:tcW w:type="pct" w:w="45%"/>
            <w:tcMar>
              <w:top w:type="dxa" w:w="40"/>
              <w:left w:type="dxa" w:w="80"/>
              <w:bottom w:type="dxa" w:w="40"/>
              <w:right w:type="dxa" w:w="80"/>
            </w:tcMar>
          </w:tcPr>
          <w:p>
            <w:r>
              <w:rPr>
                <w:rFonts w:ascii="Calibri" w:eastAsia="Microsoft YaHei"/>
                <w:color w:val="182030"/>
                <w:sz w:val="21"/>
                <w:szCs w:val="21"/>
              </w:rPr>
              <w:t xml:space="preserve">Staging deployment automated</w:t>
            </w:r>
          </w:p>
        </w:tc>
        <w:tc>
          <w:tcPr>
            <w:tcW w:type="pct" w:w="30%"/>
            <w:tcMar>
              <w:top w:type="dxa" w:w="40"/>
              <w:left w:type="dxa" w:w="80"/>
              <w:bottom w:type="dxa" w:w="40"/>
              <w:right w:type="dxa" w:w="80"/>
            </w:tcMar>
          </w:tcPr>
          <w:p>
            <w:r>
              <w:rPr>
                <w:rFonts w:ascii="Calibri" w:eastAsia="Microsoft YaHei"/>
                <w:color w:val="182030"/>
                <w:sz w:val="21"/>
                <w:szCs w:val="21"/>
              </w:rPr>
              <w:t xml:space="preserve">Push to develop triggers staging deploy</w:t>
            </w:r>
          </w:p>
        </w:tc>
        <w:tc>
          <w:tcPr>
            <w:tcW w:type="pct" w:w="12%"/>
            <w:tcMar>
              <w:top w:type="dxa" w:w="40"/>
              <w:left w:type="dxa" w:w="80"/>
              <w:bottom w:type="dxa" w:w="40"/>
              <w:right w:type="dxa" w:w="80"/>
            </w:tcMar>
          </w:tcPr>
          <w:p>
            <w:pPr>
              <w:jc w:val="center"/>
            </w:pPr>
            <w:r>
              <w:rPr>
                <w:rFonts w:ascii="Calibri"/>
                <w:b/>
                <w:bCs/>
                <w:color w:val="C0392B"/>
                <w:sz w:val="21"/>
                <w:szCs w:val="21"/>
              </w:rPr>
              <w:t xml:space="preserve">PENDING</w:t>
            </w:r>
          </w:p>
        </w:tc>
      </w:tr>
      <w:tr>
        <w:trPr>
          <w:cantSplit/>
          <w:tblHeader w:val="false"/>
        </w:trPr>
        <w:tc>
          <w:tcPr>
            <w:tcW w:type="pct" w:w="5%"/>
            <w:tcMar>
              <w:top w:type="dxa" w:w="40"/>
              <w:left w:type="dxa" w:w="80"/>
              <w:bottom w:type="dxa" w:w="40"/>
              <w:right w:type="dxa" w:w="80"/>
            </w:tcMar>
          </w:tcPr>
          <w:p>
            <w:r>
              <w:rPr>
                <w:rFonts w:ascii="Calibri" w:eastAsia="Microsoft YaHei"/>
                <w:color w:val="182030"/>
                <w:sz w:val="21"/>
                <w:szCs w:val="21"/>
              </w:rPr>
              <w:t xml:space="preserve">3</w:t>
            </w:r>
          </w:p>
        </w:tc>
        <w:tc>
          <w:tcPr>
            <w:tcW w:type="pct" w:w="45%"/>
            <w:tcMar>
              <w:top w:type="dxa" w:w="40"/>
              <w:left w:type="dxa" w:w="80"/>
              <w:bottom w:type="dxa" w:w="40"/>
              <w:right w:type="dxa" w:w="80"/>
            </w:tcMar>
          </w:tcPr>
          <w:p>
            <w:r>
              <w:rPr>
                <w:rFonts w:ascii="Calibri" w:eastAsia="Microsoft YaHei"/>
                <w:color w:val="182030"/>
                <w:sz w:val="21"/>
                <w:szCs w:val="21"/>
              </w:rPr>
              <w:t xml:space="preserve">Production deployment automated</w:t>
            </w:r>
          </w:p>
        </w:tc>
        <w:tc>
          <w:tcPr>
            <w:tcW w:type="pct" w:w="30%"/>
            <w:tcMar>
              <w:top w:type="dxa" w:w="40"/>
              <w:left w:type="dxa" w:w="80"/>
              <w:bottom w:type="dxa" w:w="40"/>
              <w:right w:type="dxa" w:w="80"/>
            </w:tcMar>
          </w:tcPr>
          <w:p>
            <w:r>
              <w:rPr>
                <w:rFonts w:ascii="Calibri" w:eastAsia="Microsoft YaHei"/>
                <w:color w:val="182030"/>
                <w:sz w:val="21"/>
                <w:szCs w:val="21"/>
              </w:rPr>
              <w:t xml:space="preserve">Merge to main triggers production deploy</w:t>
            </w:r>
          </w:p>
        </w:tc>
        <w:tc>
          <w:tcPr>
            <w:tcW w:type="pct" w:w="12%"/>
            <w:tcMar>
              <w:top w:type="dxa" w:w="40"/>
              <w:left w:type="dxa" w:w="80"/>
              <w:bottom w:type="dxa" w:w="40"/>
              <w:right w:type="dxa" w:w="80"/>
            </w:tcMar>
          </w:tcPr>
          <w:p>
            <w:pPr>
              <w:jc w:val="center"/>
            </w:pPr>
            <w:r>
              <w:rPr>
                <w:rFonts w:ascii="Calibri"/>
                <w:b/>
                <w:bCs/>
                <w:color w:val="C0392B"/>
                <w:sz w:val="21"/>
                <w:szCs w:val="21"/>
              </w:rPr>
              <w:t xml:space="preserve">PENDING</w:t>
            </w:r>
          </w:p>
        </w:tc>
      </w:tr>
      <w:tr>
        <w:trPr>
          <w:cantSplit/>
          <w:tblHeader w:val="false"/>
        </w:trPr>
        <w:tc>
          <w:tcPr>
            <w:tcW w:type="pct" w:w="5%"/>
            <w:tcMar>
              <w:top w:type="dxa" w:w="40"/>
              <w:left w:type="dxa" w:w="80"/>
              <w:bottom w:type="dxa" w:w="40"/>
              <w:right w:type="dxa" w:w="80"/>
            </w:tcMar>
          </w:tcPr>
          <w:p>
            <w:r>
              <w:rPr>
                <w:rFonts w:ascii="Calibri" w:eastAsia="Microsoft YaHei"/>
                <w:color w:val="182030"/>
                <w:sz w:val="21"/>
                <w:szCs w:val="21"/>
              </w:rPr>
              <w:t xml:space="preserve">4</w:t>
            </w:r>
          </w:p>
        </w:tc>
        <w:tc>
          <w:tcPr>
            <w:tcW w:type="pct" w:w="45%"/>
            <w:tcMar>
              <w:top w:type="dxa" w:w="40"/>
              <w:left w:type="dxa" w:w="80"/>
              <w:bottom w:type="dxa" w:w="40"/>
              <w:right w:type="dxa" w:w="80"/>
            </w:tcMar>
          </w:tcPr>
          <w:p>
            <w:r>
              <w:rPr>
                <w:rFonts w:ascii="Calibri" w:eastAsia="Microsoft YaHei"/>
                <w:color w:val="182030"/>
                <w:sz w:val="21"/>
                <w:szCs w:val="21"/>
              </w:rPr>
              <w:t xml:space="preserve">Smoke tests implemented</w:t>
            </w:r>
          </w:p>
        </w:tc>
        <w:tc>
          <w:tcPr>
            <w:tcW w:type="pct" w:w="30%"/>
            <w:tcMar>
              <w:top w:type="dxa" w:w="40"/>
              <w:left w:type="dxa" w:w="80"/>
              <w:bottom w:type="dxa" w:w="40"/>
              <w:right w:type="dxa" w:w="80"/>
            </w:tcMar>
          </w:tcPr>
          <w:p>
            <w:r>
              <w:rPr>
                <w:rFonts w:ascii="Calibri" w:eastAsia="Microsoft YaHei"/>
                <w:color w:val="182030"/>
                <w:sz w:val="21"/>
                <w:szCs w:val="21"/>
              </w:rPr>
              <w:t xml:space="preserve">Smoke suite passes on staging and production</w:t>
            </w:r>
          </w:p>
        </w:tc>
        <w:tc>
          <w:tcPr>
            <w:tcW w:type="pct" w:w="12%"/>
            <w:tcMar>
              <w:top w:type="dxa" w:w="40"/>
              <w:left w:type="dxa" w:w="80"/>
              <w:bottom w:type="dxa" w:w="40"/>
              <w:right w:type="dxa" w:w="80"/>
            </w:tcMar>
          </w:tcPr>
          <w:p>
            <w:pPr>
              <w:jc w:val="center"/>
            </w:pPr>
            <w:r>
              <w:rPr>
                <w:rFonts w:ascii="Calibri"/>
                <w:b/>
                <w:bCs/>
                <w:color w:val="C0392B"/>
                <w:sz w:val="21"/>
                <w:szCs w:val="21"/>
              </w:rPr>
              <w:t xml:space="preserve">PENDING</w:t>
            </w:r>
          </w:p>
        </w:tc>
      </w:tr>
      <w:tr>
        <w:trPr>
          <w:cantSplit/>
          <w:tblHeader w:val="false"/>
        </w:trPr>
        <w:tc>
          <w:tcPr>
            <w:tcW w:type="pct" w:w="5%"/>
            <w:tcMar>
              <w:top w:type="dxa" w:w="40"/>
              <w:left w:type="dxa" w:w="80"/>
              <w:bottom w:type="dxa" w:w="40"/>
              <w:right w:type="dxa" w:w="80"/>
            </w:tcMar>
          </w:tcPr>
          <w:p>
            <w:r>
              <w:rPr>
                <w:rFonts w:ascii="Calibri" w:eastAsia="Microsoft YaHei"/>
                <w:color w:val="182030"/>
                <w:sz w:val="21"/>
                <w:szCs w:val="21"/>
              </w:rPr>
              <w:t xml:space="preserve">5</w:t>
            </w:r>
          </w:p>
        </w:tc>
        <w:tc>
          <w:tcPr>
            <w:tcW w:type="pct" w:w="45%"/>
            <w:tcMar>
              <w:top w:type="dxa" w:w="40"/>
              <w:left w:type="dxa" w:w="80"/>
              <w:bottom w:type="dxa" w:w="40"/>
              <w:right w:type="dxa" w:w="80"/>
            </w:tcMar>
          </w:tcPr>
          <w:p>
            <w:r>
              <w:rPr>
                <w:rFonts w:ascii="Calibri" w:eastAsia="Microsoft YaHei"/>
                <w:color w:val="182030"/>
                <w:sz w:val="21"/>
                <w:szCs w:val="21"/>
              </w:rPr>
              <w:t xml:space="preserve">Health checks implemented</w:t>
            </w:r>
          </w:p>
        </w:tc>
        <w:tc>
          <w:tcPr>
            <w:tcW w:type="pct" w:w="30%"/>
            <w:tcMar>
              <w:top w:type="dxa" w:w="40"/>
              <w:left w:type="dxa" w:w="80"/>
              <w:bottom w:type="dxa" w:w="40"/>
              <w:right w:type="dxa" w:w="80"/>
            </w:tcMar>
          </w:tcPr>
          <w:p>
            <w:r>
              <w:rPr>
                <w:rFonts w:ascii="Calibri" w:eastAsia="Microsoft YaHei"/>
                <w:color w:val="182030"/>
                <w:sz w:val="21"/>
                <w:szCs w:val="21"/>
              </w:rPr>
              <w:t xml:space="preserve">Enhanced /api/health returns subsystem status</w:t>
            </w:r>
          </w:p>
        </w:tc>
        <w:tc>
          <w:tcPr>
            <w:tcW w:type="pct" w:w="12%"/>
            <w:tcMar>
              <w:top w:type="dxa" w:w="40"/>
              <w:left w:type="dxa" w:w="80"/>
              <w:bottom w:type="dxa" w:w="40"/>
              <w:right w:type="dxa" w:w="80"/>
            </w:tcMar>
          </w:tcPr>
          <w:p>
            <w:pPr>
              <w:jc w:val="center"/>
            </w:pPr>
            <w:r>
              <w:rPr>
                <w:rFonts w:ascii="Calibri"/>
                <w:b/>
                <w:bCs/>
                <w:color w:val="C0392B"/>
                <w:sz w:val="21"/>
                <w:szCs w:val="21"/>
              </w:rPr>
              <w:t xml:space="preserve">PENDING</w:t>
            </w:r>
          </w:p>
        </w:tc>
      </w:tr>
      <w:tr>
        <w:trPr>
          <w:cantSplit/>
          <w:tblHeader w:val="false"/>
        </w:trPr>
        <w:tc>
          <w:tcPr>
            <w:tcW w:type="pct" w:w="5%"/>
            <w:tcMar>
              <w:top w:type="dxa" w:w="40"/>
              <w:left w:type="dxa" w:w="80"/>
              <w:bottom w:type="dxa" w:w="40"/>
              <w:right w:type="dxa" w:w="80"/>
            </w:tcMar>
          </w:tcPr>
          <w:p>
            <w:r>
              <w:rPr>
                <w:rFonts w:ascii="Calibri" w:eastAsia="Microsoft YaHei"/>
                <w:color w:val="182030"/>
                <w:sz w:val="21"/>
                <w:szCs w:val="21"/>
              </w:rPr>
              <w:t xml:space="preserve">6</w:t>
            </w:r>
          </w:p>
        </w:tc>
        <w:tc>
          <w:tcPr>
            <w:tcW w:type="pct" w:w="45%"/>
            <w:tcMar>
              <w:top w:type="dxa" w:w="40"/>
              <w:left w:type="dxa" w:w="80"/>
              <w:bottom w:type="dxa" w:w="40"/>
              <w:right w:type="dxa" w:w="80"/>
            </w:tcMar>
          </w:tcPr>
          <w:p>
            <w:r>
              <w:rPr>
                <w:rFonts w:ascii="Calibri" w:eastAsia="Microsoft YaHei"/>
                <w:color w:val="182030"/>
                <w:sz w:val="21"/>
                <w:szCs w:val="21"/>
              </w:rPr>
              <w:t xml:space="preserve">Rollback procedure documented</w:t>
            </w:r>
          </w:p>
        </w:tc>
        <w:tc>
          <w:tcPr>
            <w:tcW w:type="pct" w:w="30%"/>
            <w:tcMar>
              <w:top w:type="dxa" w:w="40"/>
              <w:left w:type="dxa" w:w="80"/>
              <w:bottom w:type="dxa" w:w="40"/>
              <w:right w:type="dxa" w:w="80"/>
            </w:tcMar>
          </w:tcPr>
          <w:p>
            <w:r>
              <w:rPr>
                <w:rFonts w:ascii="Calibri" w:eastAsia="Microsoft YaHei"/>
                <w:color w:val="182030"/>
                <w:sz w:val="21"/>
                <w:szCs w:val="21"/>
              </w:rPr>
              <w:t xml:space="preserve">Automatic and manual rollback tested</w:t>
            </w:r>
          </w:p>
        </w:tc>
        <w:tc>
          <w:tcPr>
            <w:tcW w:type="pct" w:w="12%"/>
            <w:tcMar>
              <w:top w:type="dxa" w:w="40"/>
              <w:left w:type="dxa" w:w="80"/>
              <w:bottom w:type="dxa" w:w="40"/>
              <w:right w:type="dxa" w:w="80"/>
            </w:tcMar>
          </w:tcPr>
          <w:p>
            <w:pPr>
              <w:jc w:val="center"/>
            </w:pPr>
            <w:r>
              <w:rPr>
                <w:rFonts w:ascii="Calibri"/>
                <w:b/>
                <w:bCs/>
                <w:color w:val="C0392B"/>
                <w:sz w:val="21"/>
                <w:szCs w:val="21"/>
              </w:rPr>
              <w:t xml:space="preserve">PENDING</w:t>
            </w:r>
          </w:p>
        </w:tc>
      </w:tr>
      <w:tr>
        <w:trPr>
          <w:cantSplit/>
          <w:tblHeader w:val="false"/>
        </w:trPr>
        <w:tc>
          <w:tcPr>
            <w:tcW w:type="pct" w:w="5%"/>
            <w:tcMar>
              <w:top w:type="dxa" w:w="40"/>
              <w:left w:type="dxa" w:w="80"/>
              <w:bottom w:type="dxa" w:w="40"/>
              <w:right w:type="dxa" w:w="80"/>
            </w:tcMar>
          </w:tcPr>
          <w:p>
            <w:r>
              <w:rPr>
                <w:rFonts w:ascii="Calibri" w:eastAsia="Microsoft YaHei"/>
                <w:color w:val="182030"/>
                <w:sz w:val="21"/>
                <w:szCs w:val="21"/>
              </w:rPr>
              <w:t xml:space="preserve">7</w:t>
            </w:r>
          </w:p>
        </w:tc>
        <w:tc>
          <w:tcPr>
            <w:tcW w:type="pct" w:w="45%"/>
            <w:tcMar>
              <w:top w:type="dxa" w:w="40"/>
              <w:left w:type="dxa" w:w="80"/>
              <w:bottom w:type="dxa" w:w="40"/>
              <w:right w:type="dxa" w:w="80"/>
            </w:tcMar>
          </w:tcPr>
          <w:p>
            <w:r>
              <w:rPr>
                <w:rFonts w:ascii="Calibri" w:eastAsia="Microsoft YaHei"/>
                <w:color w:val="182030"/>
                <w:sz w:val="21"/>
                <w:szCs w:val="21"/>
              </w:rPr>
              <w:t xml:space="preserve">Deployment workflows validated</w:t>
            </w:r>
          </w:p>
        </w:tc>
        <w:tc>
          <w:tcPr>
            <w:tcW w:type="pct" w:w="30%"/>
            <w:tcMar>
              <w:top w:type="dxa" w:w="40"/>
              <w:left w:type="dxa" w:w="80"/>
              <w:bottom w:type="dxa" w:w="40"/>
              <w:right w:type="dxa" w:w="80"/>
            </w:tcMar>
          </w:tcPr>
          <w:p>
            <w:r>
              <w:rPr>
                <w:rFonts w:ascii="Calibri" w:eastAsia="Microsoft YaHei"/>
                <w:color w:val="182030"/>
                <w:sz w:val="21"/>
                <w:szCs w:val="21"/>
              </w:rPr>
              <w:t xml:space="preserve">End-to-end deployment flow verified via GitHub Actions</w:t>
            </w:r>
          </w:p>
        </w:tc>
        <w:tc>
          <w:tcPr>
            <w:tcW w:type="pct" w:w="12%"/>
            <w:tcMar>
              <w:top w:type="dxa" w:w="40"/>
              <w:left w:type="dxa" w:w="80"/>
              <w:bottom w:type="dxa" w:w="40"/>
              <w:right w:type="dxa" w:w="80"/>
            </w:tcMar>
          </w:tcPr>
          <w:p>
            <w:pPr>
              <w:jc w:val="center"/>
            </w:pPr>
            <w:r>
              <w:rPr>
                <w:rFonts w:ascii="Calibri"/>
                <w:b/>
                <w:bCs/>
                <w:color w:val="C0392B"/>
                <w:sz w:val="21"/>
                <w:szCs w:val="21"/>
              </w:rPr>
              <w:t xml:space="preserve">PENDING</w:t>
            </w:r>
          </w:p>
        </w:tc>
      </w:tr>
    </w:tbl>
    <w:p>
      <w:pPr>
        <w:spacing w:after="40"/>
      </w:pPr>
    </w:p>
    <w:p>
      <w:pPr>
        <w:spacing w:after="80" w:line="312"/>
        <w:ind w:firstLine="480"/>
        <w:jc w:val="both"/>
      </w:pPr>
      <w:r>
        <w:rPr>
          <w:rFonts w:ascii="Calibri" w:eastAsia="Microsoft YaHei"/>
          <w:color w:val="182030"/>
          <w:sz w:val="24"/>
          <w:szCs w:val="24"/>
        </w:rPr>
        <w:t xml:space="preserve">The completion criteria will be verified through a structured end-to-end deployment test: create a feature branch, implement a visible change, merge to develop, verify staging deployment, run smoke tests, approve production promotion, merge to main, verify production deployment, validate health endpoint, and test rollback by intentionally introducing a health check failure. This end-to-end test provides concrete evidence that the entire pipeline is functional before declaring Phase 3 complete.</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808080"/>
        <w:sz w:val="18"/>
        <w:szCs w:val="18"/>
      </w:rPr>
      <w:t xml:space="preserve">M4 Phase 3 — Deployment Pipeline Architecture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8203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eastAsia="SimHei"/>
      <w:b/>
      <w:bCs/>
      <w:color w:val="101820"/>
      <w:sz w:val="32"/>
      <w:szCs w:val="32"/>
    </w:rPr>
  </w:style>
  <w:style w:type="paragraph" w:styleId="Heading2">
    <w:name w:val="Heading 2"/>
    <w:basedOn w:val="Normal"/>
    <w:next w:val="Normal"/>
    <w:qFormat/>
    <w:pPr>
      <w:spacing w:after="120" w:before="280" w:line="312"/>
      <w:outlineLvl w:val="1"/>
    </w:pPr>
    <w:rPr>
      <w:rFonts w:ascii="Calibri" w:eastAsia="SimHei"/>
      <w:b/>
      <w:bCs/>
      <w:color w:val="101820"/>
      <w:sz w:val="28"/>
      <w:szCs w:val="28"/>
    </w:rPr>
  </w:style>
  <w:style w:type="paragraph" w:styleId="Heading3">
    <w:name w:val="Heading 3"/>
    <w:basedOn w:val="Normal"/>
    <w:next w:val="Normal"/>
    <w:qFormat/>
    <w:pPr>
      <w:spacing w:after="100" w:before="200" w:line="312"/>
      <w:outlineLvl w:val="2"/>
    </w:pPr>
    <w:rPr>
      <w:rFonts w:ascii="Calibri" w:eastAsia="SimHei"/>
      <w:b/>
      <w:bCs/>
      <w:color w:val="50607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2026-08-05T15:57:13.655Z</dcterms:created>
  <dcterms:modified xsi:type="dcterms:W3CDTF">2026-08-05T15:57:13.655Z</dcterms:modified>
</cp:coreProperties>
</file>

<file path=docProps/custom.xml><?xml version="1.0" encoding="utf-8"?>
<Properties xmlns="http://schemas.openxmlformats.org/officeDocument/2006/custom-properties" xmlns:vt="http://schemas.openxmlformats.org/officeDocument/2006/docPropsVTypes"/>
</file>