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Аналитический обзор Arxiv</w:t>
      </w:r>
    </w:p>
    <w:p>
      <w:r>
        <w:rPr>
          <w:color w:val="64748B"/>
          <w:sz w:val="22"/>
        </w:rPr>
        <w:t>Воспроизводимый офлайн-пакет по снимку Cowork-Bench</w:t>
      </w:r>
    </w:p>
    <w:p>
      <w:pPr>
        <w:pStyle w:val="Heading1"/>
      </w:pPr>
      <w:r>
        <w:t>Краткое резюме</w:t>
      </w:r>
    </w:p>
    <w:p>
      <w:r>
        <w:t>В исходном снимке arxiv_papers.json находятся 5 записей. После фильтра по primary_category остались 4 записи из областей cs.; 1 запись quant-ph исключена как заданный в источнике шум. Прозрачные правила сопоставили 3 из 4 релевантных записей с внешними темами. Средний показатель роста для сопоставленных тем равен 21,67%, покрытие — 75,00%, а наибольшее значение имеет тема LLMs (45%).</w:t>
      </w:r>
    </w:p>
    <w:p>
      <w:pPr>
        <w:pStyle w:val="Heading1"/>
      </w:pPr>
      <w:r>
        <w:t>Источники и метод</w:t>
      </w:r>
    </w:p>
    <w:p>
      <w:r>
        <w:t>Анализ использует только два фактических машиночитаемых источника: arxiv_papers.json (локальный снимок записей) и benchmark_data.json (внешний снимок Academic Trends API). Файлы analysis_guide.md, Analysis_Guidelines.pdf и Report_Template.xlsx использованы как методические и форматные ориентиры.</w:t>
      </w:r>
    </w:p>
    <w:p>
      <w:pPr>
        <w:pStyle w:val="ListBullet"/>
      </w:pPr>
      <w:r>
        <w:t>Шаг 1. Сохранить записи, где primary_category начинается с cs.; остальные зафиксировать как исключенные.</w:t>
      </w:r>
    </w:p>
    <w:p>
      <w:pPr>
        <w:pStyle w:val="ListBullet"/>
      </w:pPr>
      <w:r>
        <w:t>Шаг 2. В объединённом поле title + summary искать language model, vision transformer и reinforcement learning.</w:t>
      </w:r>
    </w:p>
    <w:p>
      <w:pPr>
        <w:pStyle w:val="ListBullet"/>
      </w:pPr>
      <w:r>
        <w:t>Шаг 3. Подставить Growth_Pct только из строки benchmark с точно совпавшим названием темы.</w:t>
      </w:r>
    </w:p>
    <w:p>
      <w:pPr>
        <w:pStyle w:val="ListBullet"/>
      </w:pPr>
      <w:r>
        <w:t>Шаг 4. Отсортировать записи по Paper_ID, рассчитать метрики и сверить их между JSON, Excel, Word и Tracker.</w:t>
      </w:r>
    </w:p>
    <w:p>
      <w:pPr>
        <w:pStyle w:val="Heading1"/>
      </w:pPr>
      <w:r>
        <w:t>Ключевые выводы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361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Paper_ID</w:t>
            </w:r>
          </w:p>
        </w:tc>
        <w:tc>
          <w:tcPr>
            <w:tcW w:type="dxa" w:w="3912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531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1871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Тема benchmark</w:t>
            </w:r>
          </w:p>
        </w:tc>
        <w:tc>
          <w:tcPr>
            <w:tcW w:type="dxa" w:w="85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Рост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2301.01234</w:t>
            </w:r>
          </w:p>
        </w:tc>
        <w:tc>
          <w:tcPr>
            <w:tcW w:type="dxa" w:w="3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Scaling Laws for Large Language Models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cs.CL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LLMs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45%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2302.05678</w:t>
            </w:r>
          </w:p>
        </w:tc>
        <w:tc>
          <w:tcPr>
            <w:tcW w:type="dxa" w:w="3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Advances in Vision Transformers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cs.CV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Computer Vision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12%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2303.09012</w:t>
            </w:r>
          </w:p>
        </w:tc>
        <w:tc>
          <w:tcPr>
            <w:tcW w:type="dxa" w:w="3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Multi-Agent Reinforcement Learning Framework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cs.AI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RL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8%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2304.03456</w:t>
            </w:r>
          </w:p>
        </w:tc>
        <w:tc>
          <w:tcPr>
            <w:tcW w:type="dxa" w:w="3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Federated Learning: A Comprehensive Survey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cs.LG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нет совпадения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—</w:t>
            </w:r>
          </w:p>
        </w:tc>
      </w:tr>
    </w:tbl>
    <w:p>
      <w:r>
        <w:t>Три внешних значения в исходном снимке: LLMs — 45%, Computer Vision — 12%, RL — 8%. Запись о federated learning осталась в релевантной выборке, но не получила Growth_Pct, поскольку в benchmark_data.json нет соответствующей темы. Это не ошибка данных, а явно зафиксированное отсутствие сопоставления.</w:t>
      </w:r>
    </w:p>
    <w:p>
      <w:pPr>
        <w:pStyle w:val="Heading1"/>
      </w:pPr>
      <w:r>
        <w:t>Рекомендации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794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Ранг</w:t>
            </w:r>
          </w:p>
        </w:tc>
        <w:tc>
          <w:tcPr>
            <w:tcW w:type="dxa" w:w="1531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098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5102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Действие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LLMs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Подготовить углублённый синтез по сопоставленной теме; основание — наибольший внешний Growth_Pct 45%.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Medium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Computer Vision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Провести целевой сравнительный обзор; основание — внешний Growth_Pct 12%.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Monitor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RL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17324D"/>
                <w:sz w:val="17"/>
              </w:rPr>
              <w:t>Вести тему в очереди мониторинга; основание — внешний Growth_Pct 8%.</w:t>
            </w:r>
          </w:p>
        </w:tc>
      </w:tr>
    </w:tbl>
    <w:p>
      <w:pPr>
        <w:pStyle w:val="Heading1"/>
      </w:pPr>
      <w:r>
        <w:t>Ограничения</w:t>
      </w:r>
    </w:p>
    <w:p>
      <w:pPr>
        <w:pStyle w:val="ListBullet"/>
      </w:pPr>
      <w:r>
        <w:t>В исходных файлах нет счётчиков цитирования; поэтому отчёт не делает выводов о цитатах.</w:t>
      </w:r>
    </w:p>
    <w:p>
      <w:pPr>
        <w:pStyle w:val="ListBullet"/>
      </w:pPr>
      <w:r>
        <w:t>В исходных файлах нет оценки релевантности на уровне статьи; релевантность определяется только правилом по категории.</w:t>
      </w:r>
    </w:p>
    <w:p>
      <w:pPr>
        <w:pStyle w:val="ListBullet"/>
      </w:pPr>
      <w:r>
        <w:t>Нет внутреннего базового показателя, поэтому gap-анализ из методического PDF нельзя рассчитать без дополнительных данных.</w:t>
      </w:r>
    </w:p>
    <w:p>
      <w:pPr>
        <w:pStyle w:val="ListBullet"/>
      </w:pPr>
      <w:r>
        <w:t>Нет временного ряда и периода наблюдения. Growth_Pct — это дословно перенесённый внешний снимок, а не измерение качества или динамики отдельной статьи.</w:t>
      </w:r>
    </w:p>
    <w:p>
      <w:pPr>
        <w:pStyle w:val="ListBullet"/>
      </w:pPr>
      <w:r>
        <w:t>Записи в arxiv_papers.json взяты из тестового снимка Cowork-Bench; данный отчёт не утверждает, что они дополнительно проверены в публичном Arxiv.</w:t>
      </w:r>
    </w:p>
    <w:p>
      <w:pPr>
        <w:pStyle w:val="Heading1"/>
      </w:pPr>
      <w:r>
        <w:t>Контроль целостности</w:t>
      </w:r>
    </w:p>
    <w:p>
      <w:r>
        <w:t>Цепочка контроля: 5 входных записей -&gt; 4 релевантных -&gt; 3 сопоставленных с benchmark. Те же Paper_ID, Benchmark_Area и Growth_Pct записаны в arxiv_litreview_results.json, Lit_Review_Report.xlsx и Arxiv_Litreview_Tracker.xlsx. Такая схема позволяет повторить расчёт и обнаружить межфайловые расхождения.</w:t>
      </w:r>
    </w:p>
    <w:sectPr w:rsidR="00FC693F" w:rsidRPr="0006063C" w:rsidSect="00034616">
      <w:footerReference w:type="default" r:id="rId9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Cowork-Bench · офлайн-пакет · источники и ограничения зафиксированы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Litreview Analysis</dc:title>
  <dc:subject>Offline reproducible Cowork-Bench literature-review package</dc:subject>
  <dc:creator>Cowork Evolution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