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Retention Intervention Plan</w:t>
      </w:r>
    </w:p>
    <w:p>
      <w:r>
        <w:rPr>
          <w:rFonts w:ascii="Arial" w:hAnsi="Arial"/>
          <w:color w:val="5B6B7F"/>
          <w:sz w:val="22"/>
        </w:rPr>
        <w:t>Foundations of Finance · Fall 2013 / Fall 2014</w:t>
      </w:r>
    </w:p>
    <w:p>
      <w:pPr>
        <w:pStyle w:val="Heading1"/>
      </w:pPr>
      <w:r>
        <w:t>Executive Summary</w:t>
      </w:r>
    </w:p>
    <w:p>
      <w:r>
        <w:t>Анализ охватывает два курса и 3,714 студентов хотя бы с одной оценённой работой. Выявлено 363 High (9.77%), 1,161 Medium (31.26%) и 2,190 Low (58.97%). Приоритет — немедленно запустить индивидуальную работу с High-группой.</w:t>
      </w:r>
    </w:p>
    <w:p>
      <w:pPr>
        <w:pStyle w:val="Heading1"/>
      </w:pPr>
      <w:r>
        <w:t>Course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Курс</w:t>
            </w:r>
          </w:p>
        </w:tc>
        <w:tc>
          <w:tcPr>
            <w:tcW w:type="dxa" w:w="17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Enrollment</w:t>
            </w:r>
          </w:p>
        </w:tc>
        <w:tc>
          <w:tcPr>
            <w:tcW w:type="dxa" w:w="17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Graded</w:t>
            </w:r>
          </w:p>
        </w:tc>
        <w:tc>
          <w:tcPr>
            <w:tcW w:type="dxa" w:w="17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Submissions</w:t>
            </w:r>
          </w:p>
        </w:tc>
        <w:tc>
          <w:tcPr>
            <w:tcW w:type="dxa" w:w="17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Avg</w:t>
            </w:r>
          </w:p>
        </w:tc>
        <w:tc>
          <w:tcPr>
            <w:tcW w:type="dxa" w:w="17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Pass Rate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Основы финансов (Осень 2013)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2,283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1,872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16,228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77.14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88.84%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Основы финансов (Осень 2014)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2,365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1,842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16,175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78.72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91.64%</w:t>
            </w:r>
          </w:p>
        </w:tc>
      </w:tr>
    </w:tbl>
    <w:p>
      <w:r>
        <w:t>Разница между Enrollment и Graded — это студенты без оценённых submission; они не включены в знаменатель риска и pass rate.</w:t>
      </w:r>
    </w:p>
    <w:p>
      <w:pPr>
        <w:pStyle w:val="Heading1"/>
      </w:pPr>
      <w:r>
        <w:t>Risk Distribution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34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Student Count</w:t>
            </w:r>
          </w:p>
        </w:tc>
        <w:tc>
          <w:tcPr>
            <w:tcW w:type="dxa" w:w="340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High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363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9.77%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Medium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1,161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31.26%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Low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2,190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8"/>
              </w:rPr>
              <w:t>58.97%</w:t>
            </w:r>
          </w:p>
        </w:tc>
      </w:tr>
    </w:tbl>
    <w:p>
      <w:r>
        <w:br w:type="page"/>
      </w:r>
    </w:p>
    <w:p>
      <w:pPr>
        <w:pStyle w:val="Heading1"/>
      </w:pPr>
      <w:r>
        <w:t>Recommended Interventions</w:t>
      </w:r>
    </w:p>
    <w:p>
      <w:pPr>
        <w:pStyle w:val="Heading2"/>
      </w:pPr>
      <w:r>
        <w:t>High · 363 студентов</w:t>
      </w:r>
    </w:p>
    <w:p>
      <w:r>
        <w:t>One-on-one academic advising. Срок: Within 1 week. Ответственный: Academic Advisor.</w:t>
      </w:r>
    </w:p>
    <w:p>
      <w:pPr>
        <w:pStyle w:val="Heading2"/>
      </w:pPr>
      <w:r>
        <w:t>Medium · 1,161 студентов</w:t>
      </w:r>
    </w:p>
    <w:p>
      <w:r>
        <w:t>Group tutoring sessions. Срок: Within 2 weeks. Ответственный: Course Tutor.</w:t>
      </w:r>
    </w:p>
    <w:p>
      <w:pPr>
        <w:pStyle w:val="Heading2"/>
      </w:pPr>
      <w:r>
        <w:t>Low · 2,190 студентов</w:t>
      </w:r>
    </w:p>
    <w:p>
      <w:r>
        <w:t>Self-paced study resources email. Срок: Within 1 month. Ответственный: Student Success Office.</w:t>
      </w:r>
    </w:p>
    <w:p>
      <w:pPr>
        <w:pStyle w:val="Heading1"/>
      </w:pPr>
      <w:r>
        <w:t>Method &amp; Scope</w:t>
      </w:r>
    </w:p>
    <w:p>
      <w:r>
        <w:t>Для каждого course_id + user_id взято среднее арифметическое всех непустых score. High &lt;60; Medium 60–74.99; Low ≥75. Course avg — среднее всех оценённых submission курса. Входы не содержат причин низкой успеваемости, результатов вмешательств или временного ряда; такие выводы не делались.</w:t>
      </w:r>
    </w:p>
    <w:p>
      <w:r>
        <w:t>Источники: canvas_courses.csv, canvas_enrollments.csv, canvas_assignments.csv, canvas_submissions.csv, scoring_model.json, Retention_Policy.pdf.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