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60"/>
      </w:pPr>
    </w:p>
    <w:p>
      <w:pPr>
        <w:spacing w:lineRule="auto" w:line="240" w:after="360"/>
        <w:jc w:val="center"/>
      </w:pPr>
      <w:r>
        <w:rPr>
          <w:rFonts w:ascii="Times New Roman" w:hAnsi="Times New Roman" w:eastAsia="黑体"/>
          <w:b/>
          <w:sz w:val="44"/>
        </w:rPr>
        <w:t>专项核查呈报材料</w:t>
      </w:r>
    </w:p>
    <w:p>
      <w:pPr>
        <w:spacing w:lineRule="auto" w:line="240" w:after="240"/>
        <w:ind w:left="2273" w:right="2273"/>
        <w:jc w:val="center"/>
        <w:pBdr>
          <w:bottom w:val="dashed" w:sz="8" w:space="5" w:color="808080"/>
        </w:pBdr>
      </w:pPr>
      <w:r>
        <w:rPr>
          <w:rFonts w:ascii="Times New Roman" w:hAnsi="Times New Roman" w:eastAsia="宋体"/>
          <w:sz w:val="30"/>
        </w:rPr>
        <w:t>（华中区域零售项目经营资金异常及现金流风险事项）</w:t>
      </w:r>
    </w:p>
    <w:p>
      <w:pPr>
        <w:spacing w:after="160"/>
      </w:pPr>
    </w:p>
    <w:p>
      <w:pPr>
        <w:spacing w:lineRule="auto" w:line="240" w:after="60"/>
        <w:jc w:val="center"/>
      </w:pPr>
      <w:r>
        <w:rPr>
          <w:rFonts w:ascii="Times New Roman" w:hAnsi="Times New Roman" w:eastAsia="宋体"/>
          <w:b/>
          <w:sz w:val="30"/>
        </w:rPr>
        <w:t>【核心核查事项】</w:t>
      </w:r>
    </w:p>
    <w:p>
      <w:pPr>
        <w:spacing w:lineRule="auto" w:line="240" w:after="60"/>
        <w:jc w:val="center"/>
      </w:pPr>
      <w:r>
        <w:rPr>
          <w:rFonts w:ascii="Times New Roman" w:hAnsi="Times New Roman" w:eastAsia="宋体"/>
          <w:b w:val="0"/>
          <w:sz w:val="30"/>
        </w:rPr>
        <w:t>1. 320万元供应链预付款提前支付及资金占用（云囍供应链）</w:t>
      </w:r>
    </w:p>
    <w:p>
      <w:pPr>
        <w:spacing w:lineRule="auto" w:line="240" w:after="60"/>
        <w:jc w:val="center"/>
      </w:pPr>
      <w:r>
        <w:rPr>
          <w:rFonts w:ascii="Times New Roman" w:hAnsi="Times New Roman" w:eastAsia="宋体"/>
          <w:b w:val="0"/>
          <w:sz w:val="30"/>
        </w:rPr>
        <w:t>2. 118万元线上平台结算款延迟回流（嘉笔数字商贸）</w:t>
      </w:r>
    </w:p>
    <w:p>
      <w:pPr>
        <w:spacing w:lineRule="auto" w:line="240" w:after="60"/>
        <w:jc w:val="center"/>
      </w:pPr>
      <w:r>
        <w:rPr>
          <w:rFonts w:ascii="Times New Roman" w:hAnsi="Times New Roman" w:eastAsia="宋体"/>
          <w:b w:val="0"/>
          <w:sz w:val="30"/>
        </w:rPr>
        <w:t>3. 76万元运营服务费重复计费（华梅商业运营）</w:t>
      </w:r>
    </w:p>
    <w:p>
      <w:pPr>
        <w:spacing w:lineRule="auto" w:line="240" w:after="60"/>
        <w:jc w:val="center"/>
      </w:pPr>
      <w:r>
        <w:rPr>
          <w:rFonts w:ascii="Times New Roman" w:hAnsi="Times New Roman" w:eastAsia="宋体"/>
          <w:b w:val="0"/>
          <w:sz w:val="30"/>
        </w:rPr>
        <w:t>4. 210万元内部资金调拨用途待核（远艘零售项目部）</w:t>
      </w:r>
    </w:p>
    <w:p>
      <w:pPr>
        <w:spacing w:lineRule="auto" w:line="240" w:after="60"/>
        <w:jc w:val="center"/>
      </w:pPr>
      <w:r>
        <w:rPr>
          <w:rFonts w:ascii="Times New Roman" w:hAnsi="Times New Roman" w:eastAsia="宋体"/>
          <w:b w:val="0"/>
          <w:sz w:val="30"/>
        </w:rPr>
        <w:t>5. 181万元开办筹备、物流代垫及促销费用待补凭证</w:t>
      </w:r>
    </w:p>
    <w:p>
      <w:pPr>
        <w:spacing w:after="160"/>
      </w:pPr>
    </w:p>
    <w:p>
      <w:pPr>
        <w:spacing w:lineRule="auto" w:line="240" w:after="60"/>
        <w:jc w:val="center"/>
      </w:pPr>
      <w:r>
        <w:rPr>
          <w:rFonts w:ascii="Times New Roman" w:hAnsi="Times New Roman" w:eastAsia="宋体"/>
          <w:sz w:val="30"/>
        </w:rPr>
        <w:t>呈报人：林远芝</w:t>
      </w:r>
    </w:p>
    <w:p>
      <w:pPr>
        <w:spacing w:lineRule="auto" w:line="240" w:after="60"/>
        <w:jc w:val="center"/>
      </w:pPr>
      <w:r>
        <w:rPr>
          <w:rFonts w:ascii="Times New Roman" w:hAnsi="Times New Roman" w:eastAsia="宋体"/>
          <w:sz w:val="30"/>
        </w:rPr>
        <w:t>（华中区域商业项目合作方）</w:t>
      </w:r>
    </w:p>
    <w:p>
      <w:pPr>
        <w:spacing w:lineRule="auto" w:line="240" w:after="60"/>
        <w:jc w:val="center"/>
      </w:pPr>
      <w:r>
        <w:rPr>
          <w:rFonts w:ascii="Times New Roman" w:hAnsi="Times New Roman" w:eastAsia="宋体"/>
          <w:sz w:val="30"/>
        </w:rPr>
        <w:t>联系方式：186****2741</w:t>
      </w:r>
    </w:p>
    <w:p>
      <w:pPr>
        <w:spacing w:lineRule="auto" w:line="240" w:after="60"/>
        <w:jc w:val="center"/>
      </w:pPr>
      <w:r>
        <w:rPr>
          <w:rFonts w:ascii="Times New Roman" w:hAnsi="Times New Roman" w:eastAsia="宋体"/>
          <w:sz w:val="30"/>
        </w:rPr>
        <w:t>联系地址：华中地区羽厘商业办公区</w:t>
      </w:r>
    </w:p>
    <w:p>
      <w:pPr>
        <w:spacing w:lineRule="auto" w:line="240" w:after="60"/>
        <w:ind w:left="2273" w:right="2273"/>
        <w:jc w:val="center"/>
        <w:pBdr>
          <w:bottom w:val="dashed" w:sz="8" w:space="5" w:color="808080"/>
        </w:pBdr>
      </w:pPr>
      <w:r>
        <w:rPr>
          <w:rFonts w:ascii="Times New Roman" w:hAnsi="Times New Roman" w:eastAsia="宋体"/>
          <w:sz w:val="30"/>
        </w:rPr>
        <w:t>日期：2026年5月20日</w:t>
      </w:r>
    </w:p>
    <w:p>
      <w:pPr>
        <w:spacing w:lineRule="auto" w:line="240" w:before="200"/>
        <w:ind w:left="2273" w:right="2273"/>
        <w:jc w:val="center"/>
        <w:pBdr>
          <w:bottom w:val="dashed" w:sz="8" w:space="5" w:color="808080"/>
        </w:pBdr>
      </w:pPr>
      <w:r>
        <w:rPr>
          <w:rFonts w:ascii="Times New Roman" w:hAnsi="Times New Roman" w:eastAsia="宋体"/>
          <w:b/>
          <w:sz w:val="30"/>
        </w:rPr>
        <w:t>待核查影响资金总额：905万元</w:t>
      </w:r>
    </w:p>
    <w:p>
      <w:r>
        <w:br w:type="page"/>
      </w:r>
    </w:p>
    <w:p>
      <w:pPr>
        <w:spacing w:after="360" w:lineRule="auto" w:line="240"/>
        <w:jc w:val="center"/>
      </w:pPr>
      <w:r>
        <w:rPr>
          <w:rFonts w:ascii="Times New Roman" w:hAnsi="Times New Roman" w:eastAsia="黑体"/>
          <w:b/>
          <w:sz w:val="30"/>
        </w:rPr>
        <w:t>目 录</w:t>
      </w:r>
    </w:p>
    <w:p>
      <w:pPr>
        <w:tabs>
          <w:tab w:pos="8504" w:val="right" w:leader="dot"/>
        </w:tabs>
        <w:spacing w:after="160" w:lineRule="auto" w:line="300"/>
        <w:ind w:left="170" w:right="170"/>
      </w:pPr>
      <w:r>
        <w:rPr>
          <w:rFonts w:ascii="Times New Roman" w:hAnsi="Times New Roman" w:eastAsia="宋体"/>
          <w:sz w:val="24"/>
        </w:rPr>
        <w:t>第一部分：项目背景</w:t>
      </w:r>
      <w:r>
        <w:rPr>
          <w:rFonts w:ascii="Times New Roman" w:hAnsi="Times New Roman" w:eastAsia="宋体"/>
          <w:sz w:val="24"/>
        </w:rPr>
        <w:tab/>
        <w:t>3</w:t>
      </w:r>
    </w:p>
    <w:p>
      <w:pPr>
        <w:tabs>
          <w:tab w:pos="8504" w:val="right" w:leader="dot"/>
        </w:tabs>
        <w:spacing w:after="160" w:lineRule="auto" w:line="300"/>
        <w:ind w:left="170" w:right="170"/>
      </w:pPr>
      <w:r>
        <w:rPr>
          <w:rFonts w:ascii="Times New Roman" w:hAnsi="Times New Roman" w:eastAsia="宋体"/>
          <w:sz w:val="24"/>
        </w:rPr>
        <w:t>第二部分：主要关联主体情况</w:t>
      </w:r>
      <w:r>
        <w:rPr>
          <w:rFonts w:ascii="Times New Roman" w:hAnsi="Times New Roman" w:eastAsia="宋体"/>
          <w:sz w:val="24"/>
        </w:rPr>
        <w:tab/>
        <w:t>4</w:t>
      </w:r>
    </w:p>
    <w:p>
      <w:pPr>
        <w:tabs>
          <w:tab w:pos="8504" w:val="right" w:leader="dot"/>
        </w:tabs>
        <w:spacing w:after="160" w:lineRule="auto" w:line="300"/>
        <w:ind w:left="170" w:right="170"/>
      </w:pPr>
      <w:r>
        <w:rPr>
          <w:rFonts w:ascii="Times New Roman" w:hAnsi="Times New Roman" w:eastAsia="宋体"/>
          <w:sz w:val="24"/>
        </w:rPr>
        <w:t>第三部分：异常资金往来情况</w:t>
      </w:r>
      <w:r>
        <w:rPr>
          <w:rFonts w:ascii="Times New Roman" w:hAnsi="Times New Roman" w:eastAsia="宋体"/>
          <w:sz w:val="24"/>
        </w:rPr>
        <w:tab/>
        <w:t>4</w:t>
      </w:r>
    </w:p>
    <w:p>
      <w:pPr>
        <w:tabs>
          <w:tab w:pos="8504" w:val="right" w:leader="dot"/>
        </w:tabs>
        <w:spacing w:after="160" w:lineRule="auto" w:line="300"/>
        <w:ind w:left="170" w:right="170"/>
      </w:pPr>
      <w:r>
        <w:rPr>
          <w:rFonts w:ascii="Times New Roman" w:hAnsi="Times New Roman" w:eastAsia="宋体"/>
          <w:sz w:val="24"/>
        </w:rPr>
        <w:t>第四部分：业务流程变化说明</w:t>
      </w:r>
      <w:r>
        <w:rPr>
          <w:rFonts w:ascii="Times New Roman" w:hAnsi="Times New Roman" w:eastAsia="宋体"/>
          <w:sz w:val="24"/>
        </w:rPr>
        <w:tab/>
        <w:t>5</w:t>
      </w:r>
    </w:p>
    <w:p>
      <w:pPr>
        <w:tabs>
          <w:tab w:pos="8504" w:val="right" w:leader="dot"/>
        </w:tabs>
        <w:spacing w:after="160" w:lineRule="auto" w:line="300"/>
        <w:ind w:left="170" w:right="170"/>
      </w:pPr>
      <w:r>
        <w:rPr>
          <w:rFonts w:ascii="Times New Roman" w:hAnsi="Times New Roman" w:eastAsia="宋体"/>
          <w:sz w:val="24"/>
        </w:rPr>
        <w:t>第五部分：库存与资金需求分析</w:t>
      </w:r>
      <w:r>
        <w:rPr>
          <w:rFonts w:ascii="Times New Roman" w:hAnsi="Times New Roman" w:eastAsia="宋体"/>
          <w:sz w:val="24"/>
        </w:rPr>
        <w:tab/>
        <w:t>6</w:t>
      </w:r>
    </w:p>
    <w:p>
      <w:pPr>
        <w:tabs>
          <w:tab w:pos="8504" w:val="right" w:leader="dot"/>
        </w:tabs>
        <w:spacing w:after="160" w:lineRule="auto" w:line="300"/>
        <w:ind w:left="170" w:right="170"/>
      </w:pPr>
      <w:r>
        <w:rPr>
          <w:rFonts w:ascii="Times New Roman" w:hAnsi="Times New Roman" w:eastAsia="宋体"/>
          <w:sz w:val="24"/>
        </w:rPr>
        <w:t>第六部分：综合说明</w:t>
      </w:r>
      <w:r>
        <w:rPr>
          <w:rFonts w:ascii="Times New Roman" w:hAnsi="Times New Roman" w:eastAsia="宋体"/>
          <w:sz w:val="24"/>
        </w:rPr>
        <w:tab/>
        <w:t>7</w:t>
      </w:r>
    </w:p>
    <w:p>
      <w:pPr>
        <w:spacing w:before="0" w:after="0" w:lineRule="auto" w:line="240"/>
        <w:rPr>
          <w:vanish/>
        </w:rPr>
      </w:pPr>
    </w:p>
    <w:p>
      <w:pPr>
        <w:spacing w:before="0" w:after="0" w:lineRule="auto" w:line="240"/>
        <w:rPr>
          <w:vanish/>
        </w:rPr>
      </w:pPr>
    </w:p>
    <w:p>
      <w:pPr>
        <w:spacing w:before="0" w:after="0" w:lineRule="auto" w:line="240"/>
        <w:rPr>
          <w:vanish/>
        </w:rPr>
      </w:pPr>
    </w:p>
    <w:p>
      <w:pPr>
        <w:spacing w:before="0" w:after="0" w:lineRule="auto" w:line="240"/>
        <w:rPr>
          <w:vanish/>
        </w:rPr>
      </w:pPr>
    </w:p>
    <w:p>
      <w:pPr>
        <w:spacing w:before="0" w:after="0" w:lineRule="auto" w:line="240"/>
        <w:rPr>
          <w:vanish/>
        </w:rPr>
      </w:pPr>
    </w:p>
    <w:p>
      <w:pPr>
        <w:spacing w:before="0" w:after="0" w:lineRule="auto" w:line="240"/>
        <w:rPr>
          <w:vanish/>
        </w:rPr>
      </w:pPr>
    </w:p>
    <w:p>
      <w:pPr>
        <w:spacing w:before="0" w:after="0" w:lineRule="auto" w:line="240"/>
        <w:rPr>
          <w:vanish/>
        </w:rPr>
      </w:pPr>
    </w:p>
    <w:p>
      <w:pPr>
        <w:spacing w:before="0" w:after="0" w:lineRule="auto" w:line="240"/>
        <w:rPr>
          <w:vanish/>
        </w:rPr>
      </w:pPr>
    </w:p>
    <w:p>
      <w:r>
        <w:br w:type="page"/>
      </w:r>
    </w:p>
    <w:p w14:paraId="26C532C0">
      <w:pPr>
        <w:pStyle w:val="3"/>
        <w:keepNext/>
        <w:keepLines/>
        <w:spacing w:before="160" w:after="120" w:line="360" w:lineRule="auto"/>
        <w:jc w:val="both"/>
      </w:pPr>
      <w:r>
        <w:rPr>
          <w:rFonts w:ascii="Times New Roman" w:hAnsi="Times New Roman" w:eastAsia="黑体"/>
          <w:b/>
          <w:sz w:val="30"/>
        </w:rPr>
        <w:t>第一部分：项目背景</w:t>
      </w:r>
    </w:p>
    <w:p w14:paraId="15284762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本说明文件基于项目经营管理过程中发现的财务异常情况整理形成，重点围绕项目启动后资金流向、合作主体履约、平台收入结算、库存占用及服务收费等事项进行梳理。相关主体名称、资金数据及业务细节均已进行调整和重构，旨在对经营异常形成较为完整的事实性说明，便于后续内部复核、沟通协商及公开交流使用。</w:t>
      </w:r>
    </w:p>
    <w:p w14:paraId="22150AB1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本文件所述内容主要来源于项目台账、往来对账记录、阶段性运营报表及合作沟通过程中形成的资料。由于部分原始凭证仍需进一步补充核验，本文不对最终责任进行定性判断，仅对已发现的异常线索、业务影响及后续建议作出说明。</w:t>
      </w:r>
    </w:p>
    <w:p w14:paraId="789703E3">
      <w:pPr>
        <w:spacing w:after="80"/>
        <w:jc w:val="center"/>
        <w:rPr>
          <w:rFonts w:hint="eastAsia" w:eastAsia="宋体"/>
          <w:lang w:eastAsia="zh-CN"/>
        </w:rPr>
      </w:pPr>
      <w:bookmarkStart w:id="0" w:name="_GoBack"/>
      <w:r>
        <w:rPr>
          <w:rFonts w:hint="eastAsia" w:eastAsia="宋体"/>
          <w:lang w:eastAsia="zh-CN"/>
        </w:rPr>
        <w:drawing>
          <wp:inline distT="0" distB="0" distL="114300" distR="114300">
            <wp:extent cx="3550920" cy="2663190"/>
            <wp:effectExtent l="0" t="0" r="11430" b="3810"/>
            <wp:docPr id="4" name="图片 4" descr="F76A3BB73B1E489476ACDAAD2909A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76A3BB73B1E489476ACDAAD2909A2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ECC8215">
      <w:pPr>
        <w:spacing w:after="120" w:before="60" w:lineRule="auto" w:line="240"/>
        <w:jc w:val="center"/>
      </w:pPr>
      <w:r>
        <w:rPr>
          <w:rFonts w:ascii="Times New Roman" w:hAnsi="Times New Roman" w:eastAsia="黑体"/>
          <w:sz w:val="21"/>
        </w:rPr>
        <w:t>图1：项目资金流转示意图</w:t>
      </w:r>
    </w:p>
    <w:p w14:paraId="5695DDDB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从资金流转路径看，投资方资金首先进入项目主体账户，再根据采购计划、物流配送、平台服务及日常运营需要向外部或关联主体支付。异常集中出现在付款审批依据不足、结算回款周期拉长以及费用科目边界不清等环节，导致项目账户难以及时反映真实经营成果。</w:t>
      </w:r>
    </w:p>
    <w:p w14:paraId="79BC2AA2">
      <w:pPr>
        <w:spacing w:after="80" w:line="300" w:lineRule="auto" w:before="0"/>
        <w:ind w:firstLine="482"/>
        <w:jc w:val="left"/>
      </w:pPr>
      <w:r>
        <w:rPr>
          <w:rFonts w:hint="eastAsia" w:ascii="Times New Roman" w:hAnsi="Times New Roman" w:eastAsia="宋体"/>
          <w:sz w:val="24"/>
          <w:lang w:eastAsia="zh-CN"/>
        </w:rPr>
        <w:t>华中区域</w:t>
      </w:r>
      <w:r>
        <w:rPr>
          <w:rFonts w:ascii="Times New Roman" w:hAnsi="Times New Roman" w:eastAsia="宋体"/>
          <w:sz w:val="24"/>
        </w:rPr>
        <w:t>零售项目于2025年启动运营，项目定位为覆盖周边社区消费需求的综合零售门店，并同步接入线上销售渠道。合作初期，双方约定由运营方负责商品采购、供应链对接、物流统筹及系统支持，投资方负责项目启动资金投入、本地门店管理和日常经营协调。按照原计划，项目应在完成首轮铺货后逐步形成稳定销售回款，并以月度对账作为后续采购、费用分摊和收益结算的主要依据。</w:t>
      </w:r>
    </w:p>
    <w:p w14:paraId="53EDC8EF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在项目推进过程中，门店开业、备货、促销投放及平台上线等事项集中发生，短期内对现金流提出了较高要求。正常情况下，采购付款应与采购订单、入库验收、销售回款及发票资料相互匹配，确保资金支出与实际经营活动保持一致。但从后续资料看，部分款项在货物交付或服务确认前已提前支付，部分平台订单收入未按约定周期回到项目主体账户，个别服务费用还存在重复计提或计费依据不足的问题。</w:t>
      </w:r>
    </w:p>
    <w:p w14:paraId="640F6951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上述情况并非单一节点问题，而是伴随项目扩张和运营分工变化逐步显现。由于采购、仓储、平台收款和门店管理分别由不同主体参与，信息同步不及时会直接影响资金使用效率；若结算责任、审批边界和资料留存没有同步完善，则容易形成账面挂账、实际资金占用与经营成果不一致的局面。</w:t>
      </w:r>
    </w:p>
    <w:p w14:paraId="41B2BB07">
      <w:pPr>
        <w:pStyle w:val="3"/>
        <w:keepNext/>
        <w:keepLines/>
        <w:spacing w:before="160" w:after="120" w:line="360" w:lineRule="auto"/>
        <w:jc w:val="both"/>
      </w:pPr>
      <w:r>
        <w:rPr>
          <w:rFonts w:ascii="Times New Roman" w:hAnsi="Times New Roman" w:eastAsia="黑体"/>
          <w:b/>
          <w:sz w:val="30"/>
        </w:rPr>
        <w:t>第二部分：主要关联主体情况</w:t>
      </w:r>
    </w:p>
    <w:p w14:paraId="41B34FBB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根据目前掌握的资料，项目涉及的关联主体主要包括运营方、供应链协同方、平台代运营方及项目主体。各主体在业务链条中承担不同职能，但由于采购计划、平台收款与费用结算之间存在交叉，部分交易在执行层面出现了职责边界不清的情况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3"/>
        <w:gridCol w:w="2049"/>
        <w:gridCol w:w="4084"/>
      </w:tblGrid>
      <w:tr w14:paraId="105B6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80" w:type="dxa"/>
            <w:tcBorders>
              <w:top w:val="single" w:color="000000" w:sz="12" w:space="0"/>
              <w:left w:val="nil" w:color="666666" w:sz="0" w:space="0"/>
              <w:bottom w:val="single" w:color="000000" w:sz="4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  <w:shd w:val="clear" w:color="auto" w:fill="D9E2F3"/>
          </w:tcPr>
          <w:p w14:paraId="54DC599C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MS Mincho"/>
                <w:b/>
                <w:sz w:val="24"/>
              </w:rPr>
              <w:t>主体</w:t>
            </w:r>
          </w:p>
        </w:tc>
        <w:tc>
          <w:tcPr>
            <w:tcW w:w="2160" w:type="dxa"/>
            <w:tcBorders>
              <w:top w:val="single" w:color="000000" w:sz="12" w:space="0"/>
              <w:left w:val="nil" w:color="666666" w:sz="0" w:space="0"/>
              <w:bottom w:val="single" w:color="000000" w:sz="4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  <w:shd w:val="clear" w:color="auto" w:fill="D9E2F3"/>
          </w:tcPr>
          <w:p w14:paraId="1721AA47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MS Mincho"/>
                <w:b/>
                <w:sz w:val="24"/>
              </w:rPr>
              <w:t>角色</w:t>
            </w:r>
          </w:p>
        </w:tc>
        <w:tc>
          <w:tcPr>
            <w:tcW w:w="4320" w:type="dxa"/>
            <w:tcBorders>
              <w:top w:val="single" w:color="000000" w:sz="12" w:space="0"/>
              <w:left w:val="nil" w:color="666666" w:sz="0" w:space="0"/>
              <w:bottom w:val="single" w:color="000000" w:sz="4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  <w:shd w:val="clear" w:color="auto" w:fill="D9E2F3"/>
          </w:tcPr>
          <w:p w14:paraId="7AF1FFF4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MS Mincho"/>
                <w:b/>
                <w:sz w:val="24"/>
              </w:rPr>
              <w:t>关联说明</w:t>
            </w:r>
          </w:p>
        </w:tc>
      </w:tr>
      <w:tr w14:paraId="2D82D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1817D08C">
            <w:pPr>
              <w:spacing w:after="0" w:line="240" w:lineRule="auto" w:before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Times New Roman" w:eastAsia="MS Mincho"/>
                <w:b w:val="0"/>
                <w:sz w:val="24"/>
                <w:lang w:eastAsia="zh-CN"/>
              </w:rPr>
              <w:t>华梅商业运营有限公司</w:t>
            </w:r>
          </w:p>
        </w:tc>
        <w:tc>
          <w:tcPr>
            <w:tcW w:w="2160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7C40491A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项目运营方</w:t>
            </w:r>
          </w:p>
        </w:tc>
        <w:tc>
          <w:tcPr>
            <w:tcW w:w="4320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1BEA07EB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负责采购计划、门店运营指导及阶段性费用核算</w:t>
            </w:r>
          </w:p>
        </w:tc>
      </w:tr>
      <w:tr w14:paraId="423BC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776B4675">
            <w:pPr>
              <w:spacing w:after="0" w:line="240" w:lineRule="auto" w:before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Times New Roman" w:eastAsia="MS Mincho"/>
                <w:b w:val="0"/>
                <w:sz w:val="24"/>
                <w:lang w:eastAsia="zh-CN"/>
              </w:rPr>
              <w:t>云囍供应链有限公司</w:t>
            </w:r>
          </w:p>
        </w:tc>
        <w:tc>
          <w:tcPr>
            <w:tcW w:w="2160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6895A37D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物流协同方</w:t>
            </w:r>
          </w:p>
        </w:tc>
        <w:tc>
          <w:tcPr>
            <w:tcW w:w="4320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4F19B063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负责仓储配送、到货协调及部分供应商对接</w:t>
            </w:r>
          </w:p>
        </w:tc>
      </w:tr>
      <w:tr w14:paraId="2D29E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6B6C76FC">
            <w:pPr>
              <w:spacing w:after="0" w:line="240" w:lineRule="auto" w:before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Times New Roman" w:eastAsia="MS Mincho"/>
                <w:b w:val="0"/>
                <w:sz w:val="24"/>
                <w:lang w:eastAsia="zh-CN"/>
              </w:rPr>
              <w:t>嘉笔数字商贸有限公司</w:t>
            </w:r>
          </w:p>
        </w:tc>
        <w:tc>
          <w:tcPr>
            <w:tcW w:w="2160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35852F64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平台代运营方</w:t>
            </w:r>
          </w:p>
        </w:tc>
        <w:tc>
          <w:tcPr>
            <w:tcW w:w="4320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448A6E18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负责线上渠道上架、订单收款及平台结算管理</w:t>
            </w:r>
          </w:p>
        </w:tc>
      </w:tr>
      <w:tr w14:paraId="5CC6E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78420E3C">
            <w:pPr>
              <w:spacing w:after="0" w:line="240" w:lineRule="auto" w:before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Times New Roman" w:eastAsia="MS Mincho"/>
                <w:b w:val="0"/>
                <w:sz w:val="24"/>
                <w:lang w:eastAsia="zh-CN"/>
              </w:rPr>
              <w:t>远艘零售项目部</w:t>
            </w:r>
          </w:p>
        </w:tc>
        <w:tc>
          <w:tcPr>
            <w:tcW w:w="2160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02CB5944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项目主体</w:t>
            </w:r>
          </w:p>
        </w:tc>
        <w:tc>
          <w:tcPr>
            <w:tcW w:w="4320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7A3568E8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负责合作经营门店、本地管理及经营资料归集</w:t>
            </w:r>
          </w:p>
        </w:tc>
      </w:tr>
      <w:tr w14:paraId="0C49D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nil" w:color="666666" w:sz="0" w:space="0"/>
              <w:left w:val="nil" w:color="666666" w:sz="0" w:space="0"/>
              <w:bottom w:val="single" w:color="000000" w:sz="12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31751E0C">
            <w:pPr>
              <w:spacing w:after="0" w:line="240" w:lineRule="auto" w:before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Times New Roman" w:eastAsia="MS Mincho"/>
                <w:b w:val="0"/>
                <w:sz w:val="24"/>
                <w:lang w:eastAsia="zh-CN"/>
              </w:rPr>
              <w:t>安莫管理咨询中心</w:t>
            </w:r>
          </w:p>
        </w:tc>
        <w:tc>
          <w:tcPr>
            <w:tcW w:w="2160" w:type="dxa"/>
            <w:tcBorders>
              <w:top w:val="nil" w:color="666666" w:sz="0" w:space="0"/>
              <w:left w:val="nil" w:color="666666" w:sz="0" w:space="0"/>
              <w:bottom w:val="single" w:color="000000" w:sz="12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1F309968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财务协查方</w:t>
            </w:r>
          </w:p>
        </w:tc>
        <w:tc>
          <w:tcPr>
            <w:tcW w:w="4320" w:type="dxa"/>
            <w:tcBorders>
              <w:top w:val="nil" w:color="666666" w:sz="0" w:space="0"/>
              <w:left w:val="nil" w:color="666666" w:sz="0" w:space="0"/>
              <w:bottom w:val="single" w:color="000000" w:sz="12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3413F86B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协助整理往来台账、对账资料及费用科目说明</w:t>
            </w:r>
          </w:p>
        </w:tc>
      </w:tr>
    </w:tbl>
    <w:p w14:paraId="6A5E7E0D">
      <w:pPr>
        <w:spacing w:after="40"/>
      </w:pPr>
    </w:p>
    <w:p w14:paraId="7D9780C1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从现有记录看，运营方对采购节奏、商品结构和部分费用项目具有较强影响力；供应链协同方掌握仓储与配送环节资料；平台代运营方则掌握线上订单、退货、佣金及结算周期等数据。项目主体虽然承担门店实际经营管理，但在部分关键数据的取得上依赖其他合作主体提供，因此对资金流向和收入回款的实时掌握不足。</w:t>
      </w:r>
    </w:p>
    <w:p w14:paraId="76AF1F73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由于合作关系涉及多方协同，若各主体之间没有建立统一的对账口径，后续核查时容易出现同一笔费用在不同台账中名称不一致、金额口径不一致或确认时间不一致等问题。此类差异会影响项目现金流判断，也会增加后续追溯和责任划分的难度。</w:t>
      </w:r>
    </w:p>
    <w:p w14:paraId="3D3B9233">
      <w:pPr>
        <w:pStyle w:val="3"/>
        <w:keepNext/>
        <w:keepLines/>
        <w:spacing w:before="160" w:after="120" w:line="360" w:lineRule="auto"/>
        <w:jc w:val="both"/>
      </w:pPr>
      <w:r>
        <w:rPr>
          <w:rFonts w:ascii="Times New Roman" w:hAnsi="Times New Roman" w:eastAsia="黑体"/>
          <w:b/>
          <w:sz w:val="30"/>
        </w:rPr>
        <w:t>第三部分：异常资金往来情况</w:t>
      </w:r>
    </w:p>
    <w:p w14:paraId="1B4E2019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经对项目账户、采购台账、平台结算记录及内部往来表进行初步比对，项目在运营初期存在频繁提前付款、长期挂账、平台销售收入未及时回流以及服务费重复计提等问题。相关款项虽然均与项目经营活动存在一定关联，但部分支出缺少完整的审批资料、验收依据或结算说明，导致资金流向与业务实质之间出现偏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9"/>
        <w:gridCol w:w="2003"/>
        <w:gridCol w:w="1553"/>
        <w:gridCol w:w="3851"/>
      </w:tblGrid>
      <w:tr w14:paraId="1C0B2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4" w:type="dxa"/>
            <w:tcBorders>
              <w:top w:val="single" w:color="000000" w:sz="12" w:space="0"/>
              <w:left w:val="nil" w:color="666666" w:sz="0" w:space="0"/>
              <w:bottom w:val="single" w:color="000000" w:sz="4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  <w:shd w:val="clear" w:color="auto" w:fill="D9E2F3"/>
          </w:tcPr>
          <w:p w14:paraId="0855F188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MS Mincho"/>
                <w:b/>
                <w:sz w:val="24"/>
              </w:rPr>
              <w:t>时间</w:t>
            </w:r>
          </w:p>
        </w:tc>
        <w:tc>
          <w:tcPr>
            <w:tcW w:w="2304" w:type="dxa"/>
            <w:tcBorders>
              <w:top w:val="single" w:color="000000" w:sz="12" w:space="0"/>
              <w:left w:val="nil" w:color="666666" w:sz="0" w:space="0"/>
              <w:bottom w:val="single" w:color="000000" w:sz="4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  <w:shd w:val="clear" w:color="auto" w:fill="D9E2F3"/>
          </w:tcPr>
          <w:p w14:paraId="4DB7B827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MS Mincho"/>
                <w:b/>
                <w:sz w:val="24"/>
              </w:rPr>
              <w:t>业务类型</w:t>
            </w:r>
          </w:p>
        </w:tc>
        <w:tc>
          <w:tcPr>
            <w:tcW w:w="1728" w:type="dxa"/>
            <w:tcBorders>
              <w:top w:val="single" w:color="000000" w:sz="12" w:space="0"/>
              <w:left w:val="nil" w:color="666666" w:sz="0" w:space="0"/>
              <w:bottom w:val="single" w:color="000000" w:sz="4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  <w:shd w:val="clear" w:color="auto" w:fill="D9E2F3"/>
          </w:tcPr>
          <w:p w14:paraId="1F5EB778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MS Mincho"/>
                <w:b/>
                <w:sz w:val="24"/>
              </w:rPr>
              <w:t>金额（万元）</w:t>
            </w:r>
          </w:p>
        </w:tc>
        <w:tc>
          <w:tcPr>
            <w:tcW w:w="4464" w:type="dxa"/>
            <w:tcBorders>
              <w:top w:val="single" w:color="000000" w:sz="12" w:space="0"/>
              <w:left w:val="nil" w:color="666666" w:sz="0" w:space="0"/>
              <w:bottom w:val="single" w:color="000000" w:sz="4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  <w:shd w:val="clear" w:color="auto" w:fill="D9E2F3"/>
          </w:tcPr>
          <w:p w14:paraId="783222A2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MS Mincho"/>
                <w:b/>
                <w:sz w:val="24"/>
              </w:rPr>
              <w:t>备注</w:t>
            </w:r>
          </w:p>
        </w:tc>
      </w:tr>
      <w:tr w14:paraId="773BC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30522B35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2025-01</w:t>
            </w:r>
          </w:p>
        </w:tc>
        <w:tc>
          <w:tcPr>
            <w:tcW w:w="230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2BD122F2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开办筹备款</w:t>
            </w:r>
          </w:p>
        </w:tc>
        <w:tc>
          <w:tcPr>
            <w:tcW w:w="1728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0869B61B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85</w:t>
            </w:r>
          </w:p>
        </w:tc>
        <w:tc>
          <w:tcPr>
            <w:tcW w:w="446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4C6CE0DE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用于门店筹建及系统接入，部分明细资料需补充</w:t>
            </w:r>
          </w:p>
        </w:tc>
      </w:tr>
      <w:tr w14:paraId="494EA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0CB40189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2025-02</w:t>
            </w:r>
          </w:p>
        </w:tc>
        <w:tc>
          <w:tcPr>
            <w:tcW w:w="230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44D6BAB2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预付款项</w:t>
            </w:r>
          </w:p>
        </w:tc>
        <w:tc>
          <w:tcPr>
            <w:tcW w:w="1728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092089A1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320</w:t>
            </w:r>
          </w:p>
        </w:tc>
        <w:tc>
          <w:tcPr>
            <w:tcW w:w="446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04C9C50B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提前支付供应链资金，货物交付节奏与付款进度不完全匹配</w:t>
            </w:r>
          </w:p>
        </w:tc>
      </w:tr>
      <w:tr w14:paraId="55707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245A0355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2025-03</w:t>
            </w:r>
          </w:p>
        </w:tc>
        <w:tc>
          <w:tcPr>
            <w:tcW w:w="230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1EF5C73E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平台结算挂账</w:t>
            </w:r>
          </w:p>
        </w:tc>
        <w:tc>
          <w:tcPr>
            <w:tcW w:w="1728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0699AABF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118</w:t>
            </w:r>
          </w:p>
        </w:tc>
        <w:tc>
          <w:tcPr>
            <w:tcW w:w="446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4FBF355A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线上订单收入未按约定周期返还至项目主体账户</w:t>
            </w:r>
          </w:p>
        </w:tc>
      </w:tr>
      <w:tr w14:paraId="4E1EA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211559A6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2025-04</w:t>
            </w:r>
          </w:p>
        </w:tc>
        <w:tc>
          <w:tcPr>
            <w:tcW w:w="230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6709AA4D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物流代垫费用</w:t>
            </w:r>
          </w:p>
        </w:tc>
        <w:tc>
          <w:tcPr>
            <w:tcW w:w="1728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42314697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52</w:t>
            </w:r>
          </w:p>
        </w:tc>
        <w:tc>
          <w:tcPr>
            <w:tcW w:w="446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75638E9E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部分配送回单及分摊依据保存不完整</w:t>
            </w:r>
          </w:p>
        </w:tc>
      </w:tr>
      <w:tr w14:paraId="3DFDA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58284E61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2025-05</w:t>
            </w:r>
          </w:p>
        </w:tc>
        <w:tc>
          <w:tcPr>
            <w:tcW w:w="230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66549789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运营服务费</w:t>
            </w:r>
          </w:p>
        </w:tc>
        <w:tc>
          <w:tcPr>
            <w:tcW w:w="1728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1E6D09EA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76</w:t>
            </w:r>
          </w:p>
        </w:tc>
        <w:tc>
          <w:tcPr>
            <w:tcW w:w="446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130D453E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存在固定服务费与订单服务费重复计提情形</w:t>
            </w:r>
          </w:p>
        </w:tc>
      </w:tr>
      <w:tr w14:paraId="3CF4C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5207F17E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2025-06</w:t>
            </w:r>
          </w:p>
        </w:tc>
        <w:tc>
          <w:tcPr>
            <w:tcW w:w="230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27B1C991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促销费用分摊</w:t>
            </w:r>
          </w:p>
        </w:tc>
        <w:tc>
          <w:tcPr>
            <w:tcW w:w="1728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7DDE6987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44</w:t>
            </w:r>
          </w:p>
        </w:tc>
        <w:tc>
          <w:tcPr>
            <w:tcW w:w="446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02DCD5D4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费用归属期间与活动确认资料存在差异</w:t>
            </w:r>
          </w:p>
        </w:tc>
      </w:tr>
      <w:tr w14:paraId="5D005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nil" w:color="666666" w:sz="0" w:space="0"/>
              <w:left w:val="nil" w:color="666666" w:sz="0" w:space="0"/>
              <w:bottom w:val="single" w:color="000000" w:sz="12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109E1711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2025-08</w:t>
            </w:r>
          </w:p>
        </w:tc>
        <w:tc>
          <w:tcPr>
            <w:tcW w:w="2304" w:type="dxa"/>
            <w:tcBorders>
              <w:top w:val="nil" w:color="666666" w:sz="0" w:space="0"/>
              <w:left w:val="nil" w:color="666666" w:sz="0" w:space="0"/>
              <w:bottom w:val="single" w:color="000000" w:sz="12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4DE0674A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资金调拨</w:t>
            </w:r>
          </w:p>
        </w:tc>
        <w:tc>
          <w:tcPr>
            <w:tcW w:w="1728" w:type="dxa"/>
            <w:tcBorders>
              <w:top w:val="nil" w:color="666666" w:sz="0" w:space="0"/>
              <w:left w:val="nil" w:color="666666" w:sz="0" w:space="0"/>
              <w:bottom w:val="single" w:color="000000" w:sz="12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2BB4C3E6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210</w:t>
            </w:r>
          </w:p>
        </w:tc>
        <w:tc>
          <w:tcPr>
            <w:tcW w:w="4464" w:type="dxa"/>
            <w:tcBorders>
              <w:top w:val="nil" w:color="666666" w:sz="0" w:space="0"/>
              <w:left w:val="nil" w:color="666666" w:sz="0" w:space="0"/>
              <w:bottom w:val="single" w:color="000000" w:sz="12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5633D241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内部账户周转用途需进一步核验</w:t>
            </w:r>
          </w:p>
        </w:tc>
      </w:tr>
    </w:tbl>
    <w:p w14:paraId="4C8D60AE">
      <w:pPr>
        <w:spacing w:after="40"/>
      </w:pPr>
    </w:p>
    <w:p w14:paraId="753985DF">
      <w:pPr>
        <w:pStyle w:val="4"/>
        <w:keepNext/>
        <w:keepLines/>
        <w:spacing w:before="120" w:after="80" w:lineRule="auto" w:line="360"/>
        <w:jc w:val="left"/>
      </w:pPr>
      <w:r>
        <w:rPr>
          <w:rFonts w:ascii="Times New Roman" w:hAnsi="Times New Roman" w:eastAsia="黑体"/>
          <w:b/>
          <w:sz w:val="28"/>
        </w:rPr>
        <w:t>一、提前付款情况</w:t>
      </w:r>
    </w:p>
    <w:p w14:paraId="7C959059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项目启动阶段，运营方以锁定货源、保障开业铺货为由提出较大规模预付款需求。预付款安排本身在零售项目中并非异常，但应当与采购合同、供货清单、入库单及后续销售计划保持对应。现有资料显示，部分款项在到货验收前已完成支付，且后续到货批次、商品品类及结算发票未能及时闭合，造成账面预付款余额较高。</w:t>
      </w:r>
    </w:p>
    <w:p w14:paraId="3DD5A8C0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提前付款直接压缩了项目主体可调度资金，影响门店日常补货、人员支出和营销活动安排。当预付款无法在合理周期内转化为可销售库存或明确应收款时，资金占用风险会进一步扩大。</w:t>
      </w:r>
    </w:p>
    <w:p w14:paraId="2138456C">
      <w:pPr>
        <w:pStyle w:val="4"/>
        <w:keepNext/>
        <w:keepLines/>
        <w:spacing w:before="120" w:after="80" w:lineRule="auto" w:line="360"/>
        <w:jc w:val="left"/>
      </w:pPr>
      <w:r>
        <w:rPr>
          <w:rFonts w:ascii="Times New Roman" w:hAnsi="Times New Roman" w:eastAsia="黑体"/>
          <w:b/>
          <w:sz w:val="28"/>
        </w:rPr>
        <w:t>二、平台收入回流滞后情况</w:t>
      </w:r>
    </w:p>
    <w:p w14:paraId="3E54C625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线上渠道销售原本应作为门店现金流的重要补充，但实际执行中，部分订单收入先进入平台代运营主体账户，再由其根据内部规则进行延后结算。由于项目主体未能同步获取完整的订单明细、退款记录、平台扣点及结算凭证，导致部分收入长期停留在往来科目中，无法及时确认为项目可使用资金。</w:t>
      </w:r>
    </w:p>
    <w:p w14:paraId="7849B26B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平台收入回流滞后使项目经营成果在账面上被弱化：门店前端虽然产生销售，但项目账户无法按时收到对应款项，造成销售数据与现金流表现不一致。这一差异也影响后续判断采购规模、库存周转及利润测算的准确性。</w:t>
      </w:r>
    </w:p>
    <w:p w14:paraId="77A8ADC1">
      <w:pPr>
        <w:pStyle w:val="4"/>
        <w:keepNext/>
        <w:keepLines/>
        <w:spacing w:before="120" w:after="80" w:lineRule="auto" w:line="360"/>
        <w:jc w:val="left"/>
      </w:pPr>
      <w:r>
        <w:rPr>
          <w:rFonts w:ascii="Times New Roman" w:hAnsi="Times New Roman" w:eastAsia="黑体"/>
          <w:b/>
          <w:sz w:val="28"/>
        </w:rPr>
        <w:t>三、重复收费及费用边界不清情况</w:t>
      </w:r>
    </w:p>
    <w:p w14:paraId="1AB0EDB0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在费用核算方面，部分运营服务费既按固定管理服务费列支，又在订单服务、系统支持或促销协同中再次分摊，存在同一管理职能被重复计入不同科目的风险。对于此类费用，应进一步区分基础服务、增值服务、实际垫付和内部管理成本，避免因科目拆分不清导致项目主体承担额外支出。</w:t>
      </w:r>
    </w:p>
    <w:p w14:paraId="3726DE93">
      <w:pPr>
        <w:pStyle w:val="3"/>
        <w:keepNext/>
        <w:keepLines/>
        <w:spacing w:before="160" w:after="120" w:line="360" w:lineRule="auto"/>
        <w:jc w:val="both"/>
      </w:pPr>
      <w:r>
        <w:rPr>
          <w:rFonts w:ascii="Times New Roman" w:hAnsi="Times New Roman" w:eastAsia="黑体"/>
          <w:b/>
          <w:sz w:val="30"/>
        </w:rPr>
        <w:t>第四部分：业务流程变化说明</w:t>
      </w:r>
    </w:p>
    <w:p w14:paraId="43176112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根据合作初期约定，项目货款应以月度对账为基础进行统一结算。一般流程应包括：运营方提出采购计划，项目主体确认预算及采购范围，供应链主体完成发货和入库交接，门店形成销售或库存记录后，再根据验收结果、销售回款及票据资料进行付款确认。该流程的核心在于“订单、入库、销售、回款、发票”之间形成完整闭环。</w:t>
      </w:r>
    </w:p>
    <w:p w14:paraId="68F4F54C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实际执行过程中，项目流程出现了较明显的前置化和集中化变化。其一，采购付款被提前至货物未完全交付前，导致资金先于业务结果发生；其二，线上渠道订单收入不直接进入项目主体账户，而由代运营主体集中收取后延后结算；其三，部分费用由运营方或协同方先行列示，再要求项目主体按比例承担，但费用形成依据、分摊规则和审批记录并不完整。</w:t>
      </w:r>
    </w:p>
    <w:p w14:paraId="41600085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流程变化本身并不必然导致异常，但应当配套形成书面变更记录、明确授权范围以及对应的对账机制。若仍沿用合作初期的简单审批方式，却在实际运营中增加了代收、代付、垫付和分摊等复杂安排，就会造成项目主体对资金走向的控制能力下降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3"/>
        <w:gridCol w:w="2283"/>
        <w:gridCol w:w="2647"/>
        <w:gridCol w:w="2283"/>
      </w:tblGrid>
      <w:tr w14:paraId="57759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2" w:type="dxa"/>
            <w:tcBorders>
              <w:top w:val="single" w:color="000000" w:sz="12" w:space="0"/>
              <w:left w:val="nil" w:color="666666" w:sz="0" w:space="0"/>
              <w:bottom w:val="single" w:color="000000" w:sz="4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  <w:shd w:val="clear" w:color="auto" w:fill="D9E2F3"/>
          </w:tcPr>
          <w:p w14:paraId="44B5988F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MS Mincho"/>
                <w:b/>
                <w:sz w:val="24"/>
              </w:rPr>
              <w:t>流程环节</w:t>
            </w:r>
          </w:p>
        </w:tc>
        <w:tc>
          <w:tcPr>
            <w:tcW w:w="2592" w:type="dxa"/>
            <w:tcBorders>
              <w:top w:val="single" w:color="000000" w:sz="12" w:space="0"/>
              <w:left w:val="nil" w:color="666666" w:sz="0" w:space="0"/>
              <w:bottom w:val="single" w:color="000000" w:sz="4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  <w:shd w:val="clear" w:color="auto" w:fill="D9E2F3"/>
          </w:tcPr>
          <w:p w14:paraId="4C391D45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MS Mincho"/>
                <w:b/>
                <w:sz w:val="24"/>
              </w:rPr>
              <w:t>原约定方式</w:t>
            </w:r>
          </w:p>
        </w:tc>
        <w:tc>
          <w:tcPr>
            <w:tcW w:w="3024" w:type="dxa"/>
            <w:tcBorders>
              <w:top w:val="single" w:color="000000" w:sz="12" w:space="0"/>
              <w:left w:val="nil" w:color="666666" w:sz="0" w:space="0"/>
              <w:bottom w:val="single" w:color="000000" w:sz="4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  <w:shd w:val="clear" w:color="auto" w:fill="D9E2F3"/>
          </w:tcPr>
          <w:p w14:paraId="3B0CD3E9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MS Mincho"/>
                <w:b/>
                <w:sz w:val="24"/>
              </w:rPr>
              <w:t>实际执行变化</w:t>
            </w:r>
          </w:p>
        </w:tc>
        <w:tc>
          <w:tcPr>
            <w:tcW w:w="2592" w:type="dxa"/>
            <w:tcBorders>
              <w:top w:val="single" w:color="000000" w:sz="12" w:space="0"/>
              <w:left w:val="nil" w:color="666666" w:sz="0" w:space="0"/>
              <w:bottom w:val="single" w:color="000000" w:sz="4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  <w:shd w:val="clear" w:color="auto" w:fill="D9E2F3"/>
          </w:tcPr>
          <w:p w14:paraId="037EAB03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MS Mincho"/>
                <w:b/>
                <w:sz w:val="24"/>
              </w:rPr>
              <w:t>可能影响</w:t>
            </w:r>
          </w:p>
        </w:tc>
      </w:tr>
      <w:tr w14:paraId="72317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21F2C32D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采购付款</w:t>
            </w:r>
          </w:p>
        </w:tc>
        <w:tc>
          <w:tcPr>
            <w:tcW w:w="2592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203F6566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按月对账后根据验收结果付款</w:t>
            </w:r>
          </w:p>
        </w:tc>
        <w:tc>
          <w:tcPr>
            <w:tcW w:w="302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5B5E2099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部分款项提前支付，且到货资料滞后</w:t>
            </w:r>
          </w:p>
        </w:tc>
        <w:tc>
          <w:tcPr>
            <w:tcW w:w="2592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3F6976E0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形成预付款占用，增加资金压力</w:t>
            </w:r>
          </w:p>
        </w:tc>
      </w:tr>
      <w:tr w14:paraId="3146C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03D49F7B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平台收款</w:t>
            </w:r>
          </w:p>
        </w:tc>
        <w:tc>
          <w:tcPr>
            <w:tcW w:w="2592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3F99D9C2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销售收入应归集至项目主体账户</w:t>
            </w:r>
          </w:p>
        </w:tc>
        <w:tc>
          <w:tcPr>
            <w:tcW w:w="302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2CFE12E2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代运营主体集中收取后延迟结算</w:t>
            </w:r>
          </w:p>
        </w:tc>
        <w:tc>
          <w:tcPr>
            <w:tcW w:w="2592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04665F55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账面收入与实际现金回流不匹配</w:t>
            </w:r>
          </w:p>
        </w:tc>
      </w:tr>
      <w:tr w14:paraId="00E57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78EF4131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费用分摊</w:t>
            </w:r>
          </w:p>
        </w:tc>
        <w:tc>
          <w:tcPr>
            <w:tcW w:w="2592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7C42678D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按合同约定列支并附明细</w:t>
            </w:r>
          </w:p>
        </w:tc>
        <w:tc>
          <w:tcPr>
            <w:tcW w:w="302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459CF7B5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部分服务费用按多个科目重复列示</w:t>
            </w:r>
          </w:p>
        </w:tc>
        <w:tc>
          <w:tcPr>
            <w:tcW w:w="2592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296CBAC5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导致成本口径偏高，利润测算失真</w:t>
            </w:r>
          </w:p>
        </w:tc>
      </w:tr>
      <w:tr w14:paraId="32A40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nil" w:color="666666" w:sz="0" w:space="0"/>
              <w:left w:val="nil" w:color="666666" w:sz="0" w:space="0"/>
              <w:bottom w:val="single" w:color="000000" w:sz="12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031FAD38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资料留存</w:t>
            </w:r>
          </w:p>
        </w:tc>
        <w:tc>
          <w:tcPr>
            <w:tcW w:w="2592" w:type="dxa"/>
            <w:tcBorders>
              <w:top w:val="nil" w:color="666666" w:sz="0" w:space="0"/>
              <w:left w:val="nil" w:color="666666" w:sz="0" w:space="0"/>
              <w:bottom w:val="single" w:color="000000" w:sz="12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5A0B976B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合同、订单、票据与台账同步归档</w:t>
            </w:r>
          </w:p>
        </w:tc>
        <w:tc>
          <w:tcPr>
            <w:tcW w:w="3024" w:type="dxa"/>
            <w:tcBorders>
              <w:top w:val="nil" w:color="666666" w:sz="0" w:space="0"/>
              <w:left w:val="nil" w:color="666666" w:sz="0" w:space="0"/>
              <w:bottom w:val="single" w:color="000000" w:sz="12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348622A0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部分回单、结算单及审批记录缺失</w:t>
            </w:r>
          </w:p>
        </w:tc>
        <w:tc>
          <w:tcPr>
            <w:tcW w:w="2592" w:type="dxa"/>
            <w:tcBorders>
              <w:top w:val="nil" w:color="666666" w:sz="0" w:space="0"/>
              <w:left w:val="nil" w:color="666666" w:sz="0" w:space="0"/>
              <w:bottom w:val="single" w:color="000000" w:sz="12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3CAC950F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增加后续核查难度</w:t>
            </w:r>
          </w:p>
        </w:tc>
      </w:tr>
    </w:tbl>
    <w:p w14:paraId="7D5AADA3">
      <w:pPr>
        <w:spacing w:after="40"/>
      </w:pPr>
    </w:p>
    <w:p w14:paraId="493BA116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因此，后续核查不应只关注单笔资金是否发生，还应同步审查资金发生前后的业务依据是否完整、审批权限是否合规、收付款账户是否与合同主体一致，以及相关费用是否存在重复归集或跨期确认。</w:t>
      </w:r>
    </w:p>
    <w:p w14:paraId="25ABFEAF">
      <w:pPr>
        <w:pStyle w:val="3"/>
        <w:keepNext/>
        <w:keepLines/>
        <w:spacing w:before="160" w:after="120" w:line="360" w:lineRule="auto"/>
        <w:jc w:val="both"/>
      </w:pPr>
      <w:r>
        <w:rPr>
          <w:rFonts w:ascii="Times New Roman" w:hAnsi="Times New Roman" w:eastAsia="黑体"/>
          <w:b/>
          <w:sz w:val="30"/>
        </w:rPr>
        <w:t>第五部分：库存与资金需求分析</w:t>
      </w:r>
    </w:p>
    <w:p w14:paraId="3C2F3CF7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库存规模与资金需求是判断零售项目现金流健康程度的重要指标。项目启动后，为保障门店开业和线上渠道铺货，前期库存规模保持在较高水平；但在销售回款滞后、补货节奏调整不及时的情况下，库存占用并未快速下降，反而与预付款、平台挂账共同形成资金压力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8"/>
        <w:gridCol w:w="2041"/>
        <w:gridCol w:w="2162"/>
        <w:gridCol w:w="3495"/>
      </w:tblGrid>
      <w:tr w14:paraId="21FC9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96" w:type="dxa"/>
            <w:tcBorders>
              <w:top w:val="single" w:color="000000" w:sz="12" w:space="0"/>
              <w:left w:val="nil" w:color="666666" w:sz="0" w:space="0"/>
              <w:bottom w:val="single" w:color="000000" w:sz="4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  <w:shd w:val="clear" w:color="auto" w:fill="D9E2F3"/>
          </w:tcPr>
          <w:p w14:paraId="2B1760C1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MS Mincho"/>
                <w:b/>
                <w:sz w:val="24"/>
              </w:rPr>
              <w:t>月份</w:t>
            </w:r>
          </w:p>
        </w:tc>
        <w:tc>
          <w:tcPr>
            <w:tcW w:w="2304" w:type="dxa"/>
            <w:tcBorders>
              <w:top w:val="single" w:color="000000" w:sz="12" w:space="0"/>
              <w:left w:val="nil" w:color="666666" w:sz="0" w:space="0"/>
              <w:bottom w:val="single" w:color="000000" w:sz="4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  <w:shd w:val="clear" w:color="auto" w:fill="D9E2F3"/>
          </w:tcPr>
          <w:p w14:paraId="6817F04D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MS Mincho"/>
                <w:b/>
                <w:sz w:val="24"/>
              </w:rPr>
              <w:t>库存规模（万元）</w:t>
            </w:r>
          </w:p>
        </w:tc>
        <w:tc>
          <w:tcPr>
            <w:tcW w:w="2448" w:type="dxa"/>
            <w:tcBorders>
              <w:top w:val="single" w:color="000000" w:sz="12" w:space="0"/>
              <w:left w:val="nil" w:color="666666" w:sz="0" w:space="0"/>
              <w:bottom w:val="single" w:color="000000" w:sz="4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  <w:shd w:val="clear" w:color="auto" w:fill="D9E2F3"/>
          </w:tcPr>
          <w:p w14:paraId="4E1DE143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MS Mincho"/>
                <w:b/>
                <w:sz w:val="24"/>
              </w:rPr>
              <w:t>预计资金需求（万元）</w:t>
            </w:r>
          </w:p>
        </w:tc>
        <w:tc>
          <w:tcPr>
            <w:tcW w:w="4032" w:type="dxa"/>
            <w:tcBorders>
              <w:top w:val="single" w:color="000000" w:sz="12" w:space="0"/>
              <w:left w:val="nil" w:color="666666" w:sz="0" w:space="0"/>
              <w:bottom w:val="single" w:color="000000" w:sz="4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  <w:shd w:val="clear" w:color="auto" w:fill="D9E2F3"/>
          </w:tcPr>
          <w:p w14:paraId="1EA203C3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MS Mincho"/>
                <w:b/>
                <w:sz w:val="24"/>
              </w:rPr>
              <w:t>情况说明</w:t>
            </w:r>
          </w:p>
        </w:tc>
      </w:tr>
      <w:tr w14:paraId="7903A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095ACBB3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6月</w:t>
            </w:r>
          </w:p>
        </w:tc>
        <w:tc>
          <w:tcPr>
            <w:tcW w:w="230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1729C4AE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410</w:t>
            </w:r>
          </w:p>
        </w:tc>
        <w:tc>
          <w:tcPr>
            <w:tcW w:w="2448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08A3E2C9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205</w:t>
            </w:r>
          </w:p>
        </w:tc>
        <w:tc>
          <w:tcPr>
            <w:tcW w:w="4032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260A8843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开业后备货规模较高，部分商品周转速度低于预期</w:t>
            </w:r>
          </w:p>
        </w:tc>
      </w:tr>
      <w:tr w14:paraId="3C0CD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64D2A29C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7月</w:t>
            </w:r>
          </w:p>
        </w:tc>
        <w:tc>
          <w:tcPr>
            <w:tcW w:w="230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0259489B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395</w:t>
            </w:r>
          </w:p>
        </w:tc>
        <w:tc>
          <w:tcPr>
            <w:tcW w:w="2448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351915BD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198</w:t>
            </w:r>
          </w:p>
        </w:tc>
        <w:tc>
          <w:tcPr>
            <w:tcW w:w="4032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3D36F7C9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库存略有下降，但平台回款仍未完全归集</w:t>
            </w:r>
          </w:p>
        </w:tc>
      </w:tr>
      <w:tr w14:paraId="07448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45EF9CEC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8月</w:t>
            </w:r>
          </w:p>
        </w:tc>
        <w:tc>
          <w:tcPr>
            <w:tcW w:w="230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48EE81BC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382</w:t>
            </w:r>
          </w:p>
        </w:tc>
        <w:tc>
          <w:tcPr>
            <w:tcW w:w="2448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0EC255F0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191</w:t>
            </w:r>
          </w:p>
        </w:tc>
        <w:tc>
          <w:tcPr>
            <w:tcW w:w="4032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1257548E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存货结构开始调整，慢销品占用仍较明显</w:t>
            </w:r>
          </w:p>
        </w:tc>
      </w:tr>
      <w:tr w14:paraId="520DB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42CCF828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9月</w:t>
            </w:r>
          </w:p>
        </w:tc>
        <w:tc>
          <w:tcPr>
            <w:tcW w:w="230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235A2970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401</w:t>
            </w:r>
          </w:p>
        </w:tc>
        <w:tc>
          <w:tcPr>
            <w:tcW w:w="2448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74BA662C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200</w:t>
            </w:r>
          </w:p>
        </w:tc>
        <w:tc>
          <w:tcPr>
            <w:tcW w:w="4032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5C33B7A6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节前备货增加，采购资金需求阶段性上升</w:t>
            </w:r>
          </w:p>
        </w:tc>
      </w:tr>
      <w:tr w14:paraId="00A03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447E6D18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10月</w:t>
            </w:r>
          </w:p>
        </w:tc>
        <w:tc>
          <w:tcPr>
            <w:tcW w:w="230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7FE0CBA5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376</w:t>
            </w:r>
          </w:p>
        </w:tc>
        <w:tc>
          <w:tcPr>
            <w:tcW w:w="2448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34CD9C8E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188</w:t>
            </w:r>
          </w:p>
        </w:tc>
        <w:tc>
          <w:tcPr>
            <w:tcW w:w="4032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61624D0B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促销后库存回落，但费用结算尚未完全确认</w:t>
            </w:r>
          </w:p>
        </w:tc>
      </w:tr>
      <w:tr w14:paraId="5F8C8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 w:color="666666" w:sz="0" w:space="0"/>
              <w:left w:val="nil" w:color="666666" w:sz="0" w:space="0"/>
              <w:bottom w:val="single" w:color="000000" w:sz="12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7DDA5EAF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11月</w:t>
            </w:r>
          </w:p>
        </w:tc>
        <w:tc>
          <w:tcPr>
            <w:tcW w:w="2304" w:type="dxa"/>
            <w:tcBorders>
              <w:top w:val="nil" w:color="666666" w:sz="0" w:space="0"/>
              <w:left w:val="nil" w:color="666666" w:sz="0" w:space="0"/>
              <w:bottom w:val="single" w:color="000000" w:sz="12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20EB7BEA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358</w:t>
            </w:r>
          </w:p>
        </w:tc>
        <w:tc>
          <w:tcPr>
            <w:tcW w:w="2448" w:type="dxa"/>
            <w:tcBorders>
              <w:top w:val="nil" w:color="666666" w:sz="0" w:space="0"/>
              <w:left w:val="nil" w:color="666666" w:sz="0" w:space="0"/>
              <w:bottom w:val="single" w:color="000000" w:sz="12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0460FFE3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179</w:t>
            </w:r>
          </w:p>
        </w:tc>
        <w:tc>
          <w:tcPr>
            <w:tcW w:w="4032" w:type="dxa"/>
            <w:tcBorders>
              <w:top w:val="nil" w:color="666666" w:sz="0" w:space="0"/>
              <w:left w:val="nil" w:color="666666" w:sz="0" w:space="0"/>
              <w:bottom w:val="single" w:color="000000" w:sz="12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5280E0A6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库存压力有所缓解，仍需配合应收款清理</w:t>
            </w:r>
          </w:p>
        </w:tc>
      </w:tr>
    </w:tbl>
    <w:p w14:paraId="46D3E34E">
      <w:pPr>
        <w:spacing w:after="40"/>
      </w:pPr>
    </w:p>
    <w:p w14:paraId="0CF6E253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从月度数据看，项目库存规模虽有波动下降趋势，但下降速度不及资金占用改善速度。造成该现象的原因主要包括：部分商品已入库但销售转化不足，线上订单销售收入未及时回流，促销费用和物流费用在结算期内集中确认，以及前期预付款尚未全部对应到可核验的商品或服务。</w:t>
      </w:r>
    </w:p>
    <w:p w14:paraId="55642B53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若仅以库存余额判断项目经营状况，容易忽视平台挂账和费用待确认对现金流的影响。更合理的分析方式应将库存、应收平台款、预付款、未结费用及银行可用余额合并观察，形成项目资金占用总表，再据此判断后续是否具备正常补货、费用支付和经营周转能力。</w:t>
      </w:r>
    </w:p>
    <w:p w14:paraId="18E6444F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根据目前情况，项目短期资金需求主要来自三方面：一是维持门店基础库存所需的补货资金；二是等待平台收入结算期间的周转资金；三是处理历史费用、物流分摊和服务费复核所需的准备金。若不及时完成收入回流和费用清理，项目可能继续面临“有销售但账户现金不足”的经营压力。</w:t>
      </w:r>
    </w:p>
    <w:p w14:paraId="5B6DE21B">
      <w:pPr>
        <w:pStyle w:val="3"/>
        <w:keepNext/>
        <w:keepLines/>
        <w:spacing w:before="160" w:after="120" w:line="360" w:lineRule="auto"/>
        <w:jc w:val="both"/>
      </w:pPr>
      <w:r>
        <w:rPr>
          <w:rFonts w:ascii="Times New Roman" w:hAnsi="Times New Roman" w:eastAsia="黑体"/>
          <w:b/>
          <w:sz w:val="30"/>
        </w:rPr>
        <w:t>第六部分：综合说明</w:t>
      </w:r>
    </w:p>
    <w:p w14:paraId="18E66B00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综合现有业务记录、财务往来及内部台账情况，相关异常主要集中在提前付款、平台收入回流滞后、重复服务收费、费用分摊依据不足以及资料归档不完整等方面。上述事项相互叠加后，对项目经营现金流产生较大影响，也降低了各合作主体之间的对账效率。</w:t>
      </w:r>
    </w:p>
    <w:p w14:paraId="710760B1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从经营影响看，提前付款使项目主体在货物或服务尚未充分确认前即承担资金支出；平台收入回流滞后使销售成果无法及时转化为可支配资金；重复收费及费用边界不清则可能导致成本被高估，进而影响项目盈利判断和后续收益分配。若上述问题长期存在，将不利于合作关系稳定，也会增加项目后续融资、结算及审计沟通的难度。</w:t>
      </w:r>
    </w:p>
    <w:p w14:paraId="1E03C644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基于现阶段资料，建议后续重点开展以下工作：第一，对2025年1月至11月期间所有大额资金往来逐笔建立索引，按照合同、订单、入库、发票、回款及审批资料进行匹配；第二，要求平台代运营主体提供完整订单流水、退款明细、平台扣费及结算凭证，明确应返还项目主体的款项余额；第三，对运营服务费、系统服务费、促销费和物流费进行科目重分类，剔除重复计费或依据不足的费用；第四，建立项目专用收支账户或资金共管机制，避免收入和支出长期分散在多个主体账户中。</w:t>
      </w:r>
    </w:p>
    <w:p w14:paraId="7D4326B8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同时，建议在内部管理层面完善付款审批流程。凡涉及预付款、代付款、费用分摊和跨主体资金调拨的，应当形成书面申请、预算依据、业务说明和复核意见；涉及线上平台收入的，应约定固定结算日和逾期说明机制；涉及库存调整的，应将滞销品处置、促销折让和补货预算一并纳入月度经营会议审议。</w:t>
      </w:r>
    </w:p>
    <w:p w14:paraId="43B852C5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本说明书所列事项属于阶段性整理结果，后续仍需结合原始凭证、银行流水、平台后台数据及合同文本进一步核验。若相关主体能够及时补充资料并完成对账，部分挂账或费用差异可通过账务调整予以处理；若无法提供充分依据，则应将相关款项列入专项核查范围，并根据核查结果确定追偿、抵扣或调整方案。</w:t>
      </w:r>
    </w:p>
    <w:p w14:paraId="05C58C13">
      <w:pPr>
        <w:spacing w:before="0" w:after="80" w:lineRule="auto" w:line="300"/>
        <w:ind w:firstLine="482"/>
        <w:jc w:val="left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sz w:val="24"/>
        </w:rPr>
        <w:t>说明人：</w:t>
      </w:r>
      <w:r>
        <w:rPr>
          <w:rFonts w:hint="eastAsia" w:ascii="Times New Roman" w:hAnsi="Times New Roman" w:eastAsia="宋体"/>
          <w:sz w:val="24"/>
          <w:lang w:eastAsia="zh-CN"/>
        </w:rPr>
        <w:t>林远芝</w:t>
      </w:r>
    </w:p>
    <w:p w14:paraId="576A2D3A">
      <w:pPr>
        <w:spacing w:before="0" w:after="80" w:lineRule="auto" w:line="300"/>
        <w:ind w:firstLine="482"/>
        <w:jc w:val="left"/>
      </w:pPr>
      <w:r>
        <w:rPr>
          <w:rFonts w:ascii="Times New Roman" w:hAnsi="Times New Roman" w:eastAsia="宋体"/>
          <w:sz w:val="24"/>
        </w:rPr>
        <w:t>2026年05月20日</w:t>
      </w:r>
    </w:p>
    <w:sectPr>
      <w:footerReference w:type="default" r:id="rId10"/>
      <w:pgSz w:w="11906" w:h="16838"/>
      <w:pgMar w:top="1417" w:right="1417" w:bottom="1247" w:left="1417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Rule="auto" w:line="240"/>
      <w:jc w:val="center"/>
    </w:pPr>
    <w:r>
      <w:rPr>
        <w:rFonts w:ascii="Times New Roman" w:hAnsi="Times New Roman" w:eastAsia="宋体"/>
        <w:sz w:val="18"/>
      </w:rPr>
      <w:t xml:space="preserve">第 </w:t>
    </w:r>
    <w:r>
      <w:rPr>
        <w:rFonts w:ascii="Times New Roman" w:hAnsi="Times New Roman" w:eastAsia="宋体"/>
        <w:sz w:val="24"/>
      </w:rPr>
      <w:fldChar w:fldCharType="begin"/>
      <w:instrText xml:space="preserve"> PAGE </w:instrText>
      <w:fldChar w:fldCharType="separate"/>
      <w:t>3</w:t>
      <w:fldChar w:fldCharType="end"/>
    </w:r>
    <w:r>
      <w:rPr>
        <w:rFonts w:ascii="Times New Roman" w:hAnsi="Times New Roman" w:eastAsia="宋体"/>
        <w:sz w:val="18"/>
      </w:rPr>
      <w:t xml:space="preserve"> 页 共 </w:t>
    </w:r>
    <w:r>
      <w:rPr>
        <w:rFonts w:ascii="Times New Roman" w:hAnsi="Times New Roman" w:eastAsia="宋体"/>
        <w:sz w:val="24"/>
      </w:rPr>
      <w:fldChar w:fldCharType="begin"/>
      <w:instrText xml:space="preserve"> NUMPAGES </w:instrText>
      <w:fldChar w:fldCharType="separate"/>
      <w:t>8</w:t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05171E"/>
    <w:rsid w:val="318D794D"/>
    <w:rsid w:val="60520412"/>
    <w:rsid w:val="69C2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3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D5D91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Pages>7</Pages>
  <Words>3314</Words>
  <Characters>3387</Characters>
  <Lines>0</Lines>
  <Paragraphs>0</Paragraphs>
  <TotalTime>22</TotalTime>
  <ScaleCrop>false</ScaleCrop>
  <LinksUpToDate>false</LinksUpToDate>
  <CharactersWithSpaces>3387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企业经营情况说明书（按模板格式添加封面目录）</dc:title>
  <dc:subject>华中区域零售项目经营异常专项核查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