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Agreement Terms &amp; Readiness Audit</w:t>
      </w:r>
    </w:p>
    <w:p>
      <w:pPr>
        <w:jc w:val="center"/>
      </w:pPr>
      <w:r>
        <w:rPr>
          <w:b/>
        </w:rPr>
        <w:t>Acme Cloud Services, Inc. / Wayne Enterprises, Inc.</w:t>
        <w:br/>
        <w:t>Effective Date: June 22, 2026</w:t>
      </w:r>
    </w:p>
    <w:p>
      <w:pPr>
        <w:jc w:val="center"/>
      </w:pPr>
      <w:r>
        <w:t>Evidence-bound summary of four frozen inputs. Not legal advice. Unfilled variables remain unresolved.</w:t>
      </w:r>
    </w:p>
    <w:p>
      <w:pPr>
        <w:pStyle w:val="Heading1"/>
      </w:pPr>
      <w:r>
        <w:t>Navigation</w:t>
      </w:r>
    </w:p>
    <w:p>
      <w:fldSimple w:instr="TOC \o &quot;1-2&quot; \h \z \u">
        <w:r>
          <w:t>1</w:t>
        </w:r>
      </w:fldSimple>
    </w:p>
    <w:p>
      <w:pPr>
        <w:pStyle w:val="Heading1"/>
      </w:pPr>
      <w:r>
        <w:t>1. Executive readiness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Acme Cloud Services, Inc.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Customer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Wayne Enterprises, Inc.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June 22, 2026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Controls reviewed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Readiness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15 evidenced controls; 5 unresolved control groups; not signature-ready</w:t>
            </w:r>
          </w:p>
        </w:tc>
      </w:tr>
    </w:tbl>
    <w:p>
      <w:pPr>
        <w:pStyle w:val="Heading1"/>
      </w:pPr>
      <w:r>
        <w:t>2. Source register and reading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6"/>
              </w:rPr>
              <w:t>Frozen file</w:t>
            </w:r>
          </w:p>
        </w:tc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INTAKE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deal-intake-sheet.docx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当事方与生效日唯一来源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CSA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cloud-service-agreement.docx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主协议、Order Form 与 Key Terms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order-form.docx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已选项与未填商务变量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DPA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dpa-module.docx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6"/>
              </w:rPr>
              <w:t>数据保护义务与优先级</w:t>
            </w:r>
          </w:p>
        </w:tc>
      </w:tr>
    </w:tbl>
    <w:p>
      <w:r>
        <w:t>A precedence clause controls only within its stated scope. No blank variable is inferred from drafting examples or another public template.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3. Terms, parties and readiness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vAlign w:val="center"/>
            <w:shd w:fill="1F4E79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590"/>
            <w:vAlign w:val="center"/>
            <w:shd w:fill="1F4E79"/>
          </w:tcPr>
          <w:p>
            <w:r/>
            <w:r>
              <w:rPr>
                <w:b/>
                <w:sz w:val="14"/>
              </w:rPr>
              <w:t>Topic</w:t>
            </w:r>
          </w:p>
        </w:tc>
        <w:tc>
          <w:tcPr>
            <w:tcW w:type="dxa" w:w="2590"/>
            <w:vAlign w:val="center"/>
            <w:shd w:fill="1F4E79"/>
          </w:tcPr>
          <w:p>
            <w:r/>
            <w:r>
              <w:rPr>
                <w:b/>
                <w:sz w:val="14"/>
              </w:rPr>
              <w:t>Evidence-bound term</w:t>
            </w:r>
          </w:p>
        </w:tc>
        <w:tc>
          <w:tcPr>
            <w:tcW w:type="dxa" w:w="2590"/>
            <w:vAlign w:val="center"/>
            <w:shd w:fill="1F4E79"/>
          </w:tcPr>
          <w:p>
            <w:r/>
            <w:r>
              <w:rPr>
                <w:b/>
                <w:sz w:val="14"/>
              </w:rPr>
              <w:t>Source locator</w:t>
            </w:r>
          </w:p>
        </w:tc>
        <w:tc>
          <w:tcPr>
            <w:tcW w:type="dxa" w:w="2590"/>
            <w:vAlign w:val="center"/>
            <w:shd w:fill="1F4E79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590"/>
            <w:vAlign w:val="center"/>
            <w:shd w:fill="1F4E79"/>
          </w:tcPr>
          <w:p>
            <w:r/>
            <w:r>
              <w:rPr>
                <w:b/>
                <w:sz w:val="14"/>
              </w:rPr>
              <w:t>Implication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1">
              <w:r>
                <w:rPr>
                  <w:color w:val="0563C1"/>
                  <w:u w:val="single"/>
                </w:rPr>
                <w:t>T01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当事方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Provider = Acme Cloud Services, Inc.; Customer = Wayne Enterprises, Inc.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INTAKE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不得倒置角色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2">
              <w:r>
                <w:rPr>
                  <w:color w:val="0563C1"/>
                  <w:u w:val="single"/>
                </w:rPr>
                <w:t>T02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生效日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June 22, 2026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INTAKE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各 Cover Page 应一致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3">
              <w:r>
                <w:rPr>
                  <w:color w:val="0563C1"/>
                  <w:u w:val="single"/>
                </w:rPr>
                <w:t>T03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Order Form 优先级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Order Form 对该 Agreement 的不一致之处优先于 Framework Terms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Order Form 行1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不能反向表述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4">
              <w:r>
                <w:rPr>
                  <w:color w:val="0563C1"/>
                  <w:u w:val="single"/>
                </w:rPr>
                <w:t>T04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优先级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EEA SCCs/UK Addendum &gt; DPA &gt; Agreement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§7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三层顺序必须完整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5">
              <w:r>
                <w:rPr>
                  <w:color w:val="0563C1"/>
                  <w:u w:val="single"/>
                </w:rPr>
                <w:t>T05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处理者角色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Customer 为 Controller 时 Provider 为 Processor；Customer 为 Processor 时 Provider 为 Subprocessor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§1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保留两种关系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6">
              <w:r>
                <w:rPr>
                  <w:color w:val="0563C1"/>
                  <w:u w:val="single"/>
                </w:rPr>
                <w:t>T06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Subprocessor 变更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至少提前 10 个工作日通知；Customer 在通知后 30 日内可异议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§2.4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10 business days 与 30 days 不得混淆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7">
              <w:r>
                <w:rPr>
                  <w:color w:val="0563C1"/>
                  <w:u w:val="single"/>
                </w:rPr>
                <w:t>T07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Security Incident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Provider 应无不当延迟通知，且最迟不超过知悉后 72 小时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§4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不是 72 个工作小时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8">
              <w:r>
                <w:rPr>
                  <w:color w:val="0563C1"/>
                  <w:u w:val="single"/>
                </w:rPr>
                <w:t>T08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审计与记录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合规记录在 DPA 结束后保留 3 年；安全尽调请求每年最多 1 次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§5.1/§5.3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分开两个时间约束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09">
              <w:r>
                <w:rPr>
                  <w:color w:val="0563C1"/>
                  <w:u w:val="single"/>
                </w:rPr>
                <w:t>T09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主协议删除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Customer 请求时，Provider 在终止后 60 日内删除 Customer Content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§5.5(b)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与 DPA 到期机制并列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0">
              <w:r>
                <w:rPr>
                  <w:color w:val="0563C1"/>
                  <w:u w:val="single"/>
                </w:rPr>
                <w:t>T10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到期处置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到期后按 Customer 指示返还或删除；法律要求保留时例外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§6.2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不得简化为无条件 60 日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1">
              <w:r>
                <w:rPr>
                  <w:color w:val="0563C1"/>
                  <w:u w:val="single"/>
                </w:rPr>
                <w:t>T11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Payment Dispute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双方在 15 日内共同解决；无争议金额仍按时支付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§4.6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保留支付义务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2">
              <w:r>
                <w:rPr>
                  <w:color w:val="0563C1"/>
                  <w:u w:val="single"/>
                </w:rPr>
                <w:t>T12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重大违约补救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经 30 日通知后仍未补救，守约方可终止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§5.3(a)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30 日是 cure notice 期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3">
              <w:r>
                <w:rPr>
                  <w:color w:val="0563C1"/>
                  <w:u w:val="single"/>
                </w:rPr>
                <w:t>T13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破产程序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破产/接管程序持续超过 60 日可通知终止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§5.3(b)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区别于 30 日补救期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4">
              <w:r>
                <w:rPr>
                  <w:color w:val="0563C1"/>
                  <w:u w:val="single"/>
                </w:rPr>
                <w:t>T14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Force Majeure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使 Product 重大无法运行连续 30 日或以上，可终止受影响 Order Form 并按比例退预付费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§5.4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保留退费后果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5">
              <w:r>
                <w:rPr>
                  <w:color w:val="0563C1"/>
                  <w:u w:val="single"/>
                </w:rPr>
                <w:t>T15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Warranty Remedy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Customer 发现后 45 日内通知；Provider 收到充分详情后 45 日内尝试恢复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§6.4</w:t>
            </w:r>
          </w:p>
        </w:tc>
        <w:tc>
          <w:tcPr>
            <w:tcW w:type="dxa" w:w="2590"/>
            <w:vAlign w:val="center"/>
            <w:shd w:fill="E2F0D9"/>
          </w:tcPr>
          <w:p>
            <w:r/>
            <w:r>
              <w:rPr>
                <w:b w:val="0"/>
                <w:sz w:val="14"/>
              </w:rPr>
              <w:t>已明确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保留两个 45 日节点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6">
              <w:r>
                <w:rPr>
                  <w:color w:val="0563C1"/>
                  <w:u w:val="single"/>
                </w:rPr>
                <w:t>T16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Liability Caps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General Cap 与 Increased Cap 已勾选计算方式，但倍数仍为 [Fill in a number]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Key Terms 行5/7</w:t>
            </w:r>
          </w:p>
        </w:tc>
        <w:tc>
          <w:tcPr>
            <w:tcW w:type="dxa" w:w="2590"/>
            <w:vAlign w:val="center"/>
            <w:shd w:fill="FCE4D6"/>
          </w:tcPr>
          <w:p>
            <w:r/>
            <w:r>
              <w:rPr>
                <w:b w:val="0"/>
                <w:sz w:val="14"/>
              </w:rPr>
              <w:t>未明确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不得臆造倍数或金额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7">
              <w:r>
                <w:rPr>
                  <w:color w:val="0563C1"/>
                  <w:u w:val="single"/>
                </w:rPr>
                <w:t>T17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Governing Law / Courts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州、国家与法院所在地均未填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CSA Key Terms 行2/3</w:t>
            </w:r>
          </w:p>
        </w:tc>
        <w:tc>
          <w:tcPr>
            <w:tcW w:type="dxa" w:w="2590"/>
            <w:vAlign w:val="center"/>
            <w:shd w:fill="FCE4D6"/>
          </w:tcPr>
          <w:p>
            <w:r/>
            <w:r>
              <w:rPr>
                <w:b w:val="0"/>
                <w:sz w:val="14"/>
              </w:rPr>
              <w:t>未明确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不得借用其他模板的 Delaware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8">
              <w:r>
                <w:rPr>
                  <w:color w:val="0563C1"/>
                  <w:u w:val="single"/>
                </w:rPr>
                <w:t>T18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Order economics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Cloud Service、Subscription Period、Fees、自动扣款频率、非续期通知天数均未填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ORDER 行2/6/7/8/9</w:t>
            </w:r>
          </w:p>
        </w:tc>
        <w:tc>
          <w:tcPr>
            <w:tcW w:type="dxa" w:w="2590"/>
            <w:vAlign w:val="center"/>
            <w:shd w:fill="FCE4D6"/>
          </w:tcPr>
          <w:p>
            <w:r/>
            <w:r>
              <w:rPr>
                <w:b w:val="0"/>
                <w:sz w:val="14"/>
              </w:rPr>
              <w:t>未明确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已勾 automatic payment 与 auto-renewal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19">
              <w:r>
                <w:rPr>
                  <w:color w:val="0563C1"/>
                  <w:u w:val="single"/>
                </w:rPr>
                <w:t>T19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Cover Page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Agreement、subprocessor list、security contact、联系信息、数据类别与处理详情均未填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DPA Cover Page 行1–27</w:t>
            </w:r>
          </w:p>
        </w:tc>
        <w:tc>
          <w:tcPr>
            <w:tcW w:type="dxa" w:w="2590"/>
            <w:vAlign w:val="center"/>
            <w:shd w:fill="FCE4D6"/>
          </w:tcPr>
          <w:p>
            <w:r/>
            <w:r>
              <w:rPr>
                <w:b w:val="0"/>
                <w:sz w:val="14"/>
              </w:rPr>
              <w:t>未明确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转移附录不完整</w:t>
            </w:r>
          </w:p>
        </w:tc>
      </w:tr>
      <w:tr>
        <w:trPr>
          <w:cantSplit/>
        </w:trPr>
        <w:tc>
          <w:tcPr>
            <w:tcW w:type="dxa" w:w="2590"/>
            <w:vAlign w:val="center"/>
          </w:tcPr>
          <w:p>
            <w:r/>
            <w:hyperlink w:anchor="evidence_T20">
              <w:r>
                <w:rPr>
                  <w:color w:val="0563C1"/>
                  <w:u w:val="single"/>
                </w:rPr>
                <w:t>T20</w:t>
              </w:r>
            </w:hyperlink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签署与通知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Order Form 与 DPA 签名、姓名、职务、日期及 Notice Address 均未填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ORDER/DPA 签署表</w:t>
            </w:r>
          </w:p>
        </w:tc>
        <w:tc>
          <w:tcPr>
            <w:tcW w:type="dxa" w:w="2590"/>
            <w:vAlign w:val="center"/>
            <w:shd w:fill="FCE4D6"/>
          </w:tcPr>
          <w:p>
            <w:r/>
            <w:r>
              <w:rPr>
                <w:b w:val="0"/>
                <w:sz w:val="14"/>
              </w:rPr>
              <w:t>未明确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4"/>
              </w:rPr>
              <w:t>不得从 intake 推断签署权</w:t>
            </w:r>
          </w:p>
        </w:tc>
      </w:tr>
    </w:tbl>
    <w:p>
      <w:pPr>
        <w:pStyle w:val="Heading1"/>
      </w:pPr>
      <w:r>
        <w:t>4. Signature-readiness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3884"/>
            <w:vAlign w:val="center"/>
            <w:shd w:fill="1F4E79"/>
          </w:tcPr>
          <w:p>
            <w:r/>
            <w:r>
              <w:rPr>
                <w:b/>
                <w:sz w:val="16"/>
              </w:rPr>
              <w:t>Action</w:t>
            </w:r>
          </w:p>
        </w:tc>
        <w:tc>
          <w:tcPr>
            <w:tcW w:type="dxa" w:w="3884"/>
            <w:vAlign w:val="center"/>
            <w:shd w:fill="1F4E79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3884"/>
            <w:vAlign w:val="center"/>
            <w:shd w:fill="1F4E79"/>
          </w:tcPr>
          <w:p>
            <w:r/>
            <w:r>
              <w:rPr>
                <w:b/>
                <w:sz w:val="16"/>
              </w:rPr>
              <w:t>Required resolution</w:t>
            </w:r>
          </w:p>
        </w:tc>
        <w:tc>
          <w:tcPr>
            <w:tcW w:type="dxa" w:w="3884"/>
            <w:vAlign w:val="center"/>
            <w:shd w:fill="1F4E79"/>
          </w:tcPr>
          <w:p>
            <w:r/>
            <w:r>
              <w:rPr>
                <w:b/>
                <w:sz w:val="16"/>
              </w:rPr>
              <w:t>Controls</w:t>
            </w:r>
          </w:p>
        </w:tc>
      </w:tr>
      <w:tr>
        <w:trPr>
          <w:cantSplit/>
        </w:trPr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A1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Legal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Complete governing law, courts and both cap multipliers.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T16-T17</w:t>
            </w:r>
          </w:p>
        </w:tc>
      </w:tr>
      <w:tr>
        <w:trPr>
          <w:cantSplit/>
        </w:trPr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A2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Commercial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Complete service, term, fees, billing cadence and non-renewal days.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T18</w:t>
            </w:r>
          </w:p>
        </w:tc>
      </w:tr>
      <w:tr>
        <w:trPr>
          <w:cantSplit/>
        </w:trPr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A3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Privacy/Security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Complete DPA contacts, transfers, data categories and processing details.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T19</w:t>
            </w:r>
          </w:p>
        </w:tc>
      </w:tr>
      <w:tr>
        <w:trPr>
          <w:cantSplit/>
        </w:trPr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A4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Authorized signers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Complete signatures and notice addresses; do not infer authority.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T20</w:t>
            </w:r>
          </w:p>
        </w:tc>
      </w:tr>
      <w:tr>
        <w:trPr>
          <w:cantSplit/>
        </w:trPr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A5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Deal Operations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Propagate exact parties/date after A1-A4, then recheck conflicts.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sz w:val="16"/>
              </w:rPr>
              <w:t>T01-T04</w:t>
            </w:r>
          </w:p>
        </w:tc>
      </w:tr>
    </w:tbl>
    <w:p>
      <w:pPr>
        <w:pStyle w:val="Heading1"/>
      </w:pPr>
      <w:r>
        <w:t>5. Evidence excerpts</w:t>
      </w:r>
    </w:p>
    <w:p>
      <w:bookmarkStart w:id="1" w:name="evidence_T01"/>
      <w:pPr>
        <w:pStyle w:val="ListNumber"/>
      </w:pPr>
      <w:r>
        <w:rPr>
          <w:b/>
        </w:rPr>
        <w:t xml:space="preserve">T01 | INTAKE: </w:t>
      </w:r>
      <w:r>
        <w:t>Provider = Acme Cloud Services, Inc.; Customer = Wayne Enterprises, Inc.</w:t>
      </w:r>
      <w:bookmarkEnd w:id="1"/>
    </w:p>
    <w:p>
      <w:bookmarkStart w:id="2" w:name="evidence_T02"/>
      <w:pPr>
        <w:pStyle w:val="ListNumber"/>
      </w:pPr>
      <w:r>
        <w:rPr>
          <w:b/>
        </w:rPr>
        <w:t xml:space="preserve">T02 | INTAKE: </w:t>
      </w:r>
      <w:r>
        <w:t>June 22, 2026</w:t>
      </w:r>
      <w:bookmarkEnd w:id="2"/>
    </w:p>
    <w:p>
      <w:bookmarkStart w:id="3" w:name="evidence_T03"/>
      <w:pPr>
        <w:pStyle w:val="ListNumber"/>
      </w:pPr>
      <w:r>
        <w:rPr>
          <w:b/>
        </w:rPr>
        <w:t xml:space="preserve">T03 | CSA Order Form 行1: </w:t>
      </w:r>
      <w:r>
        <w:t>Order Form 对该 Agreement 的不一致之处优先于 Framework Terms</w:t>
      </w:r>
      <w:bookmarkEnd w:id="3"/>
    </w:p>
    <w:p>
      <w:bookmarkStart w:id="4" w:name="evidence_T04"/>
      <w:pPr>
        <w:pStyle w:val="ListNumber"/>
      </w:pPr>
      <w:r>
        <w:rPr>
          <w:b/>
        </w:rPr>
        <w:t xml:space="preserve">T04 | DPA §7: </w:t>
      </w:r>
      <w:r>
        <w:t>EEA SCCs/UK Addendum &gt; DPA &gt; Agreement</w:t>
      </w:r>
      <w:bookmarkEnd w:id="4"/>
    </w:p>
    <w:p>
      <w:bookmarkStart w:id="5" w:name="evidence_T05"/>
      <w:pPr>
        <w:pStyle w:val="ListNumber"/>
      </w:pPr>
      <w:r>
        <w:rPr>
          <w:b/>
        </w:rPr>
        <w:t xml:space="preserve">T05 | DPA §1: </w:t>
      </w:r>
      <w:r>
        <w:t>Customer 为 Controller 时 Provider 为 Processor；Customer 为 Processor 时 Provider 为 Subprocessor</w:t>
      </w:r>
      <w:bookmarkEnd w:id="5"/>
    </w:p>
    <w:p>
      <w:bookmarkStart w:id="6" w:name="evidence_T06"/>
      <w:pPr>
        <w:pStyle w:val="ListNumber"/>
      </w:pPr>
      <w:r>
        <w:rPr>
          <w:b/>
        </w:rPr>
        <w:t xml:space="preserve">T06 | DPA §2.4: </w:t>
      </w:r>
      <w:r>
        <w:t>至少提前 10 个工作日通知；Customer 在通知后 30 日内可异议</w:t>
      </w:r>
      <w:bookmarkEnd w:id="6"/>
    </w:p>
    <w:p>
      <w:bookmarkStart w:id="7" w:name="evidence_T07"/>
      <w:pPr>
        <w:pStyle w:val="ListNumber"/>
      </w:pPr>
      <w:r>
        <w:rPr>
          <w:b/>
        </w:rPr>
        <w:t xml:space="preserve">T07 | DPA §4: </w:t>
      </w:r>
      <w:r>
        <w:t>Provider 应无不当延迟通知，且最迟不超过知悉后 72 小时</w:t>
      </w:r>
      <w:bookmarkEnd w:id="7"/>
    </w:p>
    <w:p>
      <w:bookmarkStart w:id="8" w:name="evidence_T08"/>
      <w:pPr>
        <w:pStyle w:val="ListNumber"/>
      </w:pPr>
      <w:r>
        <w:rPr>
          <w:b/>
        </w:rPr>
        <w:t xml:space="preserve">T08 | DPA §5.1/§5.3: </w:t>
      </w:r>
      <w:r>
        <w:t>DPA 合规记录在 DPA 结束后保留 3 年；安全尽调请求每年最多 1 次</w:t>
      </w:r>
      <w:bookmarkEnd w:id="8"/>
    </w:p>
    <w:p>
      <w:bookmarkStart w:id="9" w:name="evidence_T09"/>
      <w:pPr>
        <w:pStyle w:val="ListNumber"/>
      </w:pPr>
      <w:r>
        <w:rPr>
          <w:b/>
        </w:rPr>
        <w:t xml:space="preserve">T09 | CSA §5.5(b): </w:t>
      </w:r>
      <w:r>
        <w:t>Customer 请求时，Provider 在终止后 60 日内删除 Customer Content</w:t>
      </w:r>
      <w:bookmarkEnd w:id="9"/>
    </w:p>
    <w:p>
      <w:bookmarkStart w:id="10" w:name="evidence_T10"/>
      <w:pPr>
        <w:pStyle w:val="ListNumber"/>
      </w:pPr>
      <w:r>
        <w:rPr>
          <w:b/>
        </w:rPr>
        <w:t xml:space="preserve">T10 | DPA §6.2: </w:t>
      </w:r>
      <w:r>
        <w:t>DPA 到期后按 Customer 指示返还或删除；法律要求保留时例外</w:t>
      </w:r>
      <w:bookmarkEnd w:id="10"/>
    </w:p>
    <w:p>
      <w:bookmarkStart w:id="11" w:name="evidence_T11"/>
      <w:pPr>
        <w:pStyle w:val="ListNumber"/>
      </w:pPr>
      <w:r>
        <w:rPr>
          <w:b/>
        </w:rPr>
        <w:t xml:space="preserve">T11 | CSA §4.6: </w:t>
      </w:r>
      <w:r>
        <w:t>双方在 15 日内共同解决；无争议金额仍按时支付</w:t>
      </w:r>
      <w:bookmarkEnd w:id="11"/>
    </w:p>
    <w:p>
      <w:bookmarkStart w:id="12" w:name="evidence_T12"/>
      <w:pPr>
        <w:pStyle w:val="ListNumber"/>
      </w:pPr>
      <w:r>
        <w:rPr>
          <w:b/>
        </w:rPr>
        <w:t xml:space="preserve">T12 | CSA §5.3(a): </w:t>
      </w:r>
      <w:r>
        <w:t>经 30 日通知后仍未补救，守约方可终止</w:t>
      </w:r>
      <w:bookmarkEnd w:id="12"/>
    </w:p>
    <w:p>
      <w:bookmarkStart w:id="13" w:name="evidence_T13"/>
      <w:pPr>
        <w:pStyle w:val="ListNumber"/>
      </w:pPr>
      <w:r>
        <w:rPr>
          <w:b/>
        </w:rPr>
        <w:t xml:space="preserve">T13 | CSA §5.3(b): </w:t>
      </w:r>
      <w:r>
        <w:t>破产/接管程序持续超过 60 日可通知终止</w:t>
      </w:r>
      <w:bookmarkEnd w:id="13"/>
    </w:p>
    <w:p>
      <w:bookmarkStart w:id="14" w:name="evidence_T14"/>
      <w:pPr>
        <w:pStyle w:val="ListNumber"/>
      </w:pPr>
      <w:r>
        <w:rPr>
          <w:b/>
        </w:rPr>
        <w:t xml:space="preserve">T14 | CSA §5.4: </w:t>
      </w:r>
      <w:r>
        <w:t>使 Product 重大无法运行连续 30 日或以上，可终止受影响 Order Form 并按比例退预付费</w:t>
      </w:r>
      <w:bookmarkEnd w:id="14"/>
    </w:p>
    <w:p>
      <w:bookmarkStart w:id="15" w:name="evidence_T15"/>
      <w:pPr>
        <w:pStyle w:val="ListNumber"/>
      </w:pPr>
      <w:r>
        <w:rPr>
          <w:b/>
        </w:rPr>
        <w:t xml:space="preserve">T15 | CSA §6.4: </w:t>
      </w:r>
      <w:r>
        <w:t>Customer 发现后 45 日内通知；Provider 收到充分详情后 45 日内尝试恢复</w:t>
      </w:r>
      <w:bookmarkEnd w:id="15"/>
    </w:p>
    <w:p>
      <w:bookmarkStart w:id="16" w:name="evidence_T16"/>
      <w:pPr>
        <w:pStyle w:val="ListNumber"/>
      </w:pPr>
      <w:r>
        <w:rPr>
          <w:b/>
        </w:rPr>
        <w:t xml:space="preserve">T16 | CSA Key Terms 行5/7: </w:t>
      </w:r>
      <w:r>
        <w:t>General Cap 与 Increased Cap 已勾选计算方式，但倍数仍为 [Fill in a number]</w:t>
      </w:r>
      <w:bookmarkEnd w:id="16"/>
    </w:p>
    <w:p>
      <w:bookmarkStart w:id="17" w:name="evidence_T17"/>
      <w:pPr>
        <w:pStyle w:val="ListNumber"/>
      </w:pPr>
      <w:r>
        <w:rPr>
          <w:b/>
        </w:rPr>
        <w:t xml:space="preserve">T17 | CSA Key Terms 行2/3: </w:t>
      </w:r>
      <w:r>
        <w:t>州、国家与法院所在地均未填</w:t>
      </w:r>
      <w:bookmarkEnd w:id="17"/>
    </w:p>
    <w:p>
      <w:bookmarkStart w:id="18" w:name="evidence_T18"/>
      <w:pPr>
        <w:pStyle w:val="ListNumber"/>
      </w:pPr>
      <w:r>
        <w:rPr>
          <w:b/>
        </w:rPr>
        <w:t xml:space="preserve">T18 | ORDER 行2/6/7/8/9: </w:t>
      </w:r>
      <w:r>
        <w:t>Cloud Service、Subscription Period、Fees、自动扣款频率、非续期通知天数均未填</w:t>
      </w:r>
      <w:bookmarkEnd w:id="18"/>
    </w:p>
    <w:p>
      <w:bookmarkStart w:id="19" w:name="evidence_T19"/>
      <w:pPr>
        <w:pStyle w:val="ListNumber"/>
      </w:pPr>
      <w:r>
        <w:rPr>
          <w:b/>
        </w:rPr>
        <w:t xml:space="preserve">T19 | DPA Cover Page 行1–27: </w:t>
      </w:r>
      <w:r>
        <w:t>Agreement、subprocessor list、security contact、联系信息、数据类别与处理详情均未填</w:t>
      </w:r>
      <w:bookmarkEnd w:id="19"/>
    </w:p>
    <w:p>
      <w:bookmarkStart w:id="20" w:name="evidence_T20"/>
      <w:pPr>
        <w:pStyle w:val="ListNumber"/>
      </w:pPr>
      <w:r>
        <w:rPr>
          <w:b/>
        </w:rPr>
        <w:t xml:space="preserve">T20 | ORDER/DPA 签署表: </w:t>
      </w:r>
      <w:r>
        <w:t>Order Form 与 DPA 签名、姓名、职务、日期及 Notice Address 均未填</w:t>
      </w:r>
      <w:bookmarkEnd w:id="20"/>
    </w:p>
    <w:sectPr w:rsidR="00FC693F" w:rsidRPr="0006063C" w:rsidSect="00034616">
      <w:headerReference w:type="default" r:id="rId11"/>
      <w:footerReference w:type="default" r:id="rId12"/>
      <w:type w:val="nextColumn"/>
      <w:pgSz w:w="16834" w:h="11909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Agreement Terms &amp; Readiness Audit | 2026-06-22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Agreement Terms &amp; Readiness Audit | 2026-06-22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