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星港计划立项书</w:t>
      </w:r>
    </w:p>
    <w:p>
      <w:pPr>
        <w:pStyle w:val="Heading1"/>
      </w:pPr>
      <w:r>
        <w:t>项目背景</w:t>
      </w:r>
    </w:p>
    <w:p>
      <w:r>
        <w:rPr>
          <w:rFonts w:ascii="Noto Sans CJK SC" w:hAnsi="Noto Sans CJK SC" w:eastAsia="Noto Sans CJK SC"/>
          <w:sz w:val="20"/>
        </w:rPr>
        <w:t>星港计划用于统一三地仓库的库存与调拨数据。</w:t>
      </w:r>
    </w:p>
    <w:p>
      <w:pPr>
        <w:pStyle w:val="Heading1"/>
      </w:pPr>
      <w:r>
        <w:t>预算与启动</w:t>
      </w:r>
    </w:p>
    <w:p>
      <w:r>
        <w:rPr>
          <w:rFonts w:ascii="Noto Sans CJK SC" w:hAnsi="Noto Sans CJK SC" w:eastAsia="Noto Sans CJK SC"/>
          <w:sz w:val="20"/>
        </w:rPr>
        <w:t>总预算 2,400,000 元，启动日期 2026-11-01，项目负责人沈舟。</w:t>
      </w:r>
    </w:p>
    <w:p>
      <w:pPr>
        <w:pStyle w:val="Heading1"/>
      </w:pPr>
      <w:r>
        <w:t>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里程碑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蓝图确认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2026-11-15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试点上线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2027-01-15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三地推广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2027-03-01</w:t>
            </w:r>
          </w:p>
        </w:tc>
      </w:tr>
    </w:tbl>
    <w:p>
      <w:pPr>
        <w:pStyle w:val="Heading1"/>
      </w:pPr>
      <w:r>
        <w:t>成功标准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库存与调拨数据采用统一口径。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三地仓库按里程碑完成推广。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