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评审意见响应表</w:t>
      </w:r>
    </w:p>
    <w:p>
      <w:pPr>
        <w:pStyle w:val="Heading1"/>
      </w:pPr>
      <w:r>
        <w:t>响应总览</w:t>
      </w:r>
    </w:p>
    <w:p>
      <w:r>
        <w:rPr>
          <w:rFonts w:ascii="Noto Sans CJK SC" w:hAnsi="Noto Sans CJK SC" w:eastAsia="Noto Sans CJK SC"/>
          <w:sz w:val="20"/>
        </w:rPr>
        <w:t>已逐项处理数据更正、流失率解释、数据口径页和渠道附录四类意见。</w:t>
      </w:r>
    </w:p>
    <w:p>
      <w:pPr>
        <w:pStyle w:val="Heading1"/>
      </w:pPr>
      <w:r>
        <w:t>逐项响应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意见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处理结果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修订位置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月活用户更正为 128,000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第 1-2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流失率更正为 3.8%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已完成并增加诊断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第 1-2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增加数据口径页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第 4 页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渠道表移至附录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已完成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第 5 页</w:t>
            </w:r>
          </w:p>
        </w:tc>
      </w:tr>
    </w:tbl>
    <w:p>
      <w:pPr>
        <w:pStyle w:val="Heading1"/>
      </w:pPr>
      <w:r>
        <w:t>保留项</w:t>
      </w:r>
    </w:p>
    <w:p>
      <w:r>
        <w:rPr>
          <w:rFonts w:ascii="Noto Sans CJK SC" w:hAnsi="Noto Sans CJK SC" w:eastAsia="Noto Sans CJK SC"/>
          <w:sz w:val="20"/>
        </w:rPr>
        <w:t>NPS 48 与有效问卷 1,204 份保持不变。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