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海风计划行动备忘录</w:t>
      </w:r>
    </w:p>
    <w:p>
      <w:pPr>
        <w:pStyle w:val="Heading1"/>
      </w:pPr>
      <w:r>
        <w:t>项目基线</w:t>
      </w:r>
    </w:p>
    <w:p>
      <w:r>
        <w:rPr>
          <w:rFonts w:ascii="Noto Sans CJK SC" w:hAnsi="Noto Sans CJK SC" w:eastAsia="Noto Sans CJK SC"/>
          <w:sz w:val="20"/>
        </w:rPr>
        <w:t>预算上限 1,500,000 元，已承诺 980,000 元，剩余额度 520,000 元；正式上线日期 2026-12-01。</w:t>
      </w:r>
    </w:p>
    <w:p>
      <w:pPr>
        <w:pStyle w:val="Heading1"/>
      </w:pPr>
      <w:r>
        <w:t>P0 行动</w:t>
      </w:r>
    </w:p>
    <w:p>
      <w:r>
        <w:rPr>
          <w:rFonts w:ascii="Noto Sans CJK SC" w:hAnsi="Noto Sans CJK SC" w:eastAsia="Noto Sans CJK SC"/>
          <w:sz w:val="20"/>
        </w:rPr>
        <w:t>魏然须在 2026-10-10 前确认历史会员 ID 去重规则并完成样本验证；逾期升级给项目负责人顾清。</w:t>
      </w:r>
    </w:p>
    <w:p>
      <w:pPr>
        <w:pStyle w:val="Heading1"/>
      </w:pPr>
      <w:r>
        <w:t>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里程碑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负责人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数据冻结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2026-10-15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魏然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迁移演练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2026-11-05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魏然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业务验收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2026-11-20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顾清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正式上线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2026-12-01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顾清</w:t>
            </w:r>
          </w:p>
        </w:tc>
      </w:tr>
    </w:tbl>
    <w:p>
      <w:pPr>
        <w:pStyle w:val="Heading1"/>
      </w:pPr>
      <w:r>
        <w:t>预算约束</w:t>
      </w:r>
    </w:p>
    <w:p>
      <w:r>
        <w:rPr>
          <w:rFonts w:ascii="Noto Sans CJK SC" w:hAnsi="Noto Sans CJK SC" w:eastAsia="Noto Sans CJK SC"/>
          <w:sz w:val="20"/>
        </w:rPr>
        <w:t>剩余额度仅用于迁移演练和安全复核。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