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北辰零售 7 月经营简报</w:t>
      </w:r>
    </w:p>
    <w:p>
      <w:r>
        <w:t>核心结论</w:t>
      </w:r>
    </w:p>
    <w:p>
      <w:r>
        <w:t>7 月销售额 5,480,000 元，较 6 月增长 6.2%。会员销售贡献 61%。</w:t>
      </w:r>
    </w:p>
    <w:p>
      <w:r>
        <w:t>门店表现</w:t>
      </w:r>
    </w:p>
    <w:p>
      <w:r>
        <w:t>浦东店 1,920,000 元；滨江店 1,760,000 元；天府店 1,800,000 元。</w:t>
      </w:r>
    </w:p>
    <w:p>
      <w:r>
        <w:t>下月动作</w:t>
      </w:r>
    </w:p>
    <w:p>
      <w:r>
        <w:t>优化会员唤醒；控制缺货率；复盘高毛利品类陈列。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