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差旅政策 v2</w:t>
      </w:r>
    </w:p>
    <w:p>
      <w:pPr>
        <w:pStyle w:val="Heading1"/>
      </w:pPr>
      <w:r>
        <w:t>住宿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一线城市住宿上限 700 元/晚，其他城市 450 元/晚。</w:t>
      </w:r>
    </w:p>
    <w:p>
      <w:pPr>
        <w:pStyle w:val="Heading1"/>
      </w:pPr>
      <w:r>
        <w:t>交通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高铁行程不超过 6 小时应选择二等座。</w:t>
      </w:r>
    </w:p>
    <w:p>
      <w:pPr>
        <w:pStyle w:val="Heading1"/>
      </w:pPr>
      <w:r>
        <w:t>审批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出差前由直属经理审批；预算超过 5,000 元需部门负责人复核。</w:t>
      </w:r>
    </w:p>
    <w:p>
      <w:pPr>
        <w:pStyle w:val="Heading1"/>
      </w:pPr>
      <w:r>
        <w:t>碳排披露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跨省出差须在报销时填写交通方式。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