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长者友好社区食堂试点记录</w:t>
      </w:r>
    </w:p>
    <w:p>
      <w:pPr>
        <w:spacing w:after="140"/>
      </w:pPr>
      <w:r>
        <w:rPr>
          <w:rFonts w:ascii="Noto Sans CJK SC" w:hAnsi="Noto Sans CJK SC"/>
          <w:sz w:val="21"/>
        </w:rPr>
        <w:t>试点周期：2026年4月1日至6月30日，覆盖枫桥、河滨两个社区。</w:t>
      </w:r>
    </w:p>
    <w:p>
      <w:pPr>
        <w:spacing w:after="140"/>
      </w:pPr>
      <w:r>
        <w:rPr>
          <w:rFonts w:ascii="Noto Sans CJK SC" w:hAnsi="Noto Sans CJK SC"/>
          <w:sz w:val="21"/>
        </w:rPr>
        <w:t>三个月累计服务 8,460 人次，满意度 4.7/5，长者复购率 92%。</w:t>
      </w:r>
    </w:p>
    <w:p>
      <w:pPr>
        <w:spacing w:after="140"/>
      </w:pPr>
      <w:r>
        <w:rPr>
          <w:rFonts w:ascii="Noto Sans CJK SC" w:hAnsi="Noto Sans CJK SC"/>
          <w:sz w:val="21"/>
        </w:rPr>
        <w:t>用餐结构：午餐占 64%，晚餐占 26%，其他时段占 10%。</w:t>
      </w:r>
    </w:p>
    <w:p>
      <w:pPr>
        <w:spacing w:after="140"/>
      </w:pPr>
      <w:r>
        <w:rPr>
          <w:rFonts w:ascii="Noto Sans CJK SC" w:hAnsi="Noto Sans CJK SC"/>
          <w:sz w:val="21"/>
        </w:rPr>
        <w:t>三类高频建议：增加低盐套餐、周三增设快取窗、对行动不便者试行配送。</w:t>
      </w:r>
    </w:p>
    <w:p>
      <w:pPr>
        <w:spacing w:after="140"/>
      </w:pPr>
      <w:r>
        <w:rPr>
          <w:rFonts w:ascii="Noto Sans CJK SC" w:hAnsi="Noto Sans CJK SC"/>
          <w:sz w:val="21"/>
        </w:rPr>
        <w:t>项目组建议在 90 天内扩容，但需街道确认预算、场地与配送试点边界。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反馈主题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建议动作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低盐套餐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126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每日不少于2款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周三排队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11:30–12:15增开快取窗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助餐配送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先50户小范围试行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长者友好社区食堂试点记录</dc:title>
  <dc:subject/>
  <dc:creator>CoworkEvoBench synthetic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