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行政设备询价会议纪要</w:t>
      </w:r>
    </w:p>
    <w:p>
      <w:r>
        <w:t>内部编号：SYN-RFQ-2026-08；币种：人民币；报价均为含税价。</w:t>
      </w:r>
    </w:p>
    <w:p>
      <w:r>
        <w:t>会议时间：2026-08-18；报价有效期：30 天。</w:t>
      </w:r>
    </w:p>
    <w:p>
      <w:pPr>
        <w:pStyle w:val="Heading1"/>
      </w:pPr>
      <w:r>
        <w:t>报价记录</w:t>
      </w:r>
    </w:p>
    <w:p>
      <w:r>
        <w:t>1|杭州青杉办公设备有限公司|MON-27|27 英寸显示器|12|1268.0|7</w:t>
      </w:r>
    </w:p>
    <w:p>
      <w:r>
        <w:t>2|杭州青杉办公设备有限公司|DOCK-8|8 合 1 扩展坞|20|438.0|5</w:t>
      </w:r>
    </w:p>
    <w:p>
      <w:r>
        <w:t>3|苏州北辰数码科技有限公司|CHAIR-E2|人体工学椅 E2|30|786.0|12</w:t>
      </w:r>
    </w:p>
    <w:p>
      <w:r>
        <w:t>4|苏州北辰数码科技有限公司|MON-27|27 英寸显示器|12|1235.0|10</w:t>
      </w:r>
    </w:p>
    <w:p>
      <w:r>
        <w:t>5|宁波海河办公集成有限公司|DOCK-8|8 合 1 扩展坞|20|452.0|3</w:t>
      </w:r>
    </w:p>
    <w:p>
      <w:r>
        <w:t>6|宁波海河办公集成有限公司|CHAIR-E2|人体工学椅 E2|30|768.0|15</w:t>
      </w:r>
    </w:p>
    <w:p>
      <w:r>
        <w:t>字段顺序：报价序号|供应商|物料编码|物料名称|数量|含税单价|交付天数。</w:t>
      </w:r>
    </w:p>
    <w:p>
      <w:pPr>
        <w:pStyle w:val="Heading1"/>
      </w:pPr>
      <w:r>
        <w:t>决策规则</w:t>
      </w:r>
    </w:p>
    <w:p>
      <w:r>
        <w:t>同一物料先比较含税总额；本轮不考虑跨物料打包折扣。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