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Weekly Cafeteria Meal Proposal</w:t>
      </w:r>
    </w:p>
    <w:p>
      <w:r>
        <w:rPr>
          <w:rFonts w:ascii="Arial" w:hAnsi="Arial"/>
          <w:color w:val="5B6B7F"/>
          <w:sz w:val="22"/>
        </w:rPr>
        <w:t>16–20 марта 2026 · воспроизводимый пакет меню и закупок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F75B5"/>
                <w:sz w:val="30"/>
              </w:rPr>
              <w:t>7,632 ₽</w:t>
            </w:r>
          </w:p>
          <w:p>
            <w:pPr>
              <w:jc w:val="center"/>
            </w:pPr>
            <w:r>
              <w:rPr>
                <w:rFonts w:ascii="Arial" w:hAnsi="Arial"/>
                <w:color w:val="5B6B7F"/>
                <w:sz w:val="16"/>
              </w:rPr>
              <w:t>недельный итог</w:t>
            </w:r>
          </w:p>
        </w:tc>
        <w:tc>
          <w:tcPr>
            <w:tcW w:type="dxa" w:w="2550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F75B5"/>
                <w:sz w:val="30"/>
              </w:rPr>
              <w:t>1,526.40 ₽</w:t>
            </w:r>
          </w:p>
          <w:p>
            <w:pPr>
              <w:jc w:val="center"/>
            </w:pPr>
            <w:r>
              <w:rPr>
                <w:rFonts w:ascii="Arial" w:hAnsi="Arial"/>
                <w:color w:val="5B6B7F"/>
                <w:sz w:val="16"/>
              </w:rPr>
              <w:t>среднее в день</w:t>
            </w:r>
          </w:p>
        </w:tc>
        <w:tc>
          <w:tcPr>
            <w:tcW w:type="dxa" w:w="2550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F75B5"/>
                <w:sz w:val="30"/>
              </w:rPr>
              <w:t>4,368 ₽</w:t>
            </w:r>
          </w:p>
          <w:p>
            <w:pPr>
              <w:jc w:val="center"/>
            </w:pPr>
            <w:r>
              <w:rPr>
                <w:rFonts w:ascii="Arial" w:hAnsi="Arial"/>
                <w:color w:val="5B6B7F"/>
                <w:sz w:val="16"/>
              </w:rPr>
              <w:t>запас бюджета</w:t>
            </w:r>
          </w:p>
        </w:tc>
        <w:tc>
          <w:tcPr>
            <w:tcW w:type="dxa" w:w="2550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F75B5"/>
                <w:sz w:val="30"/>
              </w:rPr>
              <w:t>314 ₽</w:t>
            </w:r>
          </w:p>
          <w:p>
            <w:pPr>
              <w:jc w:val="center"/>
            </w:pPr>
            <w:r>
              <w:rPr>
                <w:rFonts w:ascii="Arial" w:hAnsi="Arial"/>
                <w:color w:val="5B6B7F"/>
                <w:sz w:val="16"/>
              </w:rPr>
              <w:t>экономия к лучшему одному магазину</w:t>
            </w:r>
          </w:p>
        </w:tc>
      </w:tr>
    </w:tbl>
    <w:p>
      <w:pPr>
        <w:pStyle w:val="Heading1"/>
      </w:pPr>
      <w:r>
        <w:t>Budget Overview</w:t>
      </w:r>
    </w:p>
    <w:p>
      <w:r>
        <w:t>Недельный budget по методу корзины котировок составляет 7,632 ₽ при лимите 12,000 ₽. Средняя стоимость дня — 1,526.40 ₽, запас — 4,368 ₽. Лучший сценарий покупки всех корзин в одном магазине — ValueGrocer (7,946 ₽); разделение закупок экономит 314 ₽ (3.95%).</w:t>
      </w:r>
    </w:p>
    <w:p>
      <w:r>
        <w:t>Каждый день остаётся ниже ориентира 2 000 ₽ на Lunch + Dinner. План использует пять разных горячих блюд; каждое повторяется дважды.</w:t>
      </w:r>
    </w:p>
    <w:p>
      <w:pPr>
        <w:pStyle w:val="Heading1"/>
      </w:pPr>
      <w:r>
        <w:t>Menu Highlights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fill="17365D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Блюдо</w:t>
            </w:r>
          </w:p>
        </w:tc>
        <w:tc>
          <w:tcPr>
            <w:tcW w:type="dxa" w:w="2040"/>
            <w:shd w:fill="17365D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Корзина</w:t>
            </w:r>
          </w:p>
        </w:tc>
        <w:tc>
          <w:tcPr>
            <w:tcW w:type="dxa" w:w="2040"/>
            <w:shd w:fill="17365D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На 4 порции</w:t>
            </w:r>
          </w:p>
        </w:tc>
        <w:tc>
          <w:tcPr>
            <w:tcW w:type="dxa" w:w="2040"/>
            <w:shd w:fill="17365D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С ценой</w:t>
            </w:r>
          </w:p>
        </w:tc>
        <w:tc>
          <w:tcPr>
            <w:tcW w:type="dxa" w:w="2040"/>
            <w:shd w:fill="17365D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Без цены</w:t>
            </w:r>
          </w:p>
        </w:tc>
      </w:tr>
      <w:tr>
        <w:tc>
          <w:tcPr>
            <w:tcW w:type="dxa" w:w="2040"/>
            <w:vAlign w:val="center"/>
          </w:tcPr>
          <w:p>
            <w:r/>
            <w:r>
              <w:rPr>
                <w:rFonts w:ascii="Arial" w:hAnsi="Arial"/>
                <w:b w:val="0"/>
                <w:color w:val="1F2937"/>
                <w:sz w:val="16"/>
              </w:rPr>
              <w:t>Гречка с тушёнкой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Arial" w:hAnsi="Arial"/>
                <w:b w:val="0"/>
                <w:color w:val="1F2937"/>
                <w:sz w:val="16"/>
              </w:rPr>
              <w:t>587 ₽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Arial" w:hAnsi="Arial"/>
                <w:b w:val="0"/>
                <w:color w:val="1F2937"/>
                <w:sz w:val="16"/>
              </w:rPr>
              <w:t>146.75 ₽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Arial" w:hAnsi="Arial"/>
                <w:b w:val="0"/>
                <w:color w:val="1F2937"/>
                <w:sz w:val="16"/>
              </w:rPr>
              <w:t>5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Arial" w:hAnsi="Arial"/>
                <w:b w:val="0"/>
                <w:color w:val="1F2937"/>
                <w:sz w:val="16"/>
              </w:rPr>
              <w:t>2</w:t>
            </w:r>
          </w:p>
        </w:tc>
      </w:tr>
      <w:tr>
        <w:tc>
          <w:tcPr>
            <w:tcW w:type="dxa" w:w="2040"/>
            <w:vAlign w:val="center"/>
          </w:tcPr>
          <w:p>
            <w:r/>
            <w:r>
              <w:rPr>
                <w:rFonts w:ascii="Arial" w:hAnsi="Arial"/>
                <w:b w:val="0"/>
                <w:color w:val="1F2937"/>
                <w:sz w:val="16"/>
              </w:rPr>
              <w:t>Цыплёнок табака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Arial" w:hAnsi="Arial"/>
                <w:b w:val="0"/>
                <w:color w:val="1F2937"/>
                <w:sz w:val="16"/>
              </w:rPr>
              <w:t>673 ₽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Arial" w:hAnsi="Arial"/>
                <w:b w:val="0"/>
                <w:color w:val="1F2937"/>
                <w:sz w:val="16"/>
              </w:rPr>
              <w:t>168.25 ₽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Arial" w:hAnsi="Arial"/>
                <w:b w:val="0"/>
                <w:color w:val="1F2937"/>
                <w:sz w:val="16"/>
              </w:rPr>
              <w:t>3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Arial" w:hAnsi="Arial"/>
                <w:b w:val="0"/>
                <w:color w:val="1F2937"/>
                <w:sz w:val="16"/>
              </w:rPr>
              <w:t>3</w:t>
            </w:r>
          </w:p>
        </w:tc>
      </w:tr>
      <w:tr>
        <w:tc>
          <w:tcPr>
            <w:tcW w:type="dxa" w:w="2040"/>
            <w:vAlign w:val="center"/>
          </w:tcPr>
          <w:p>
            <w:r/>
            <w:r>
              <w:rPr>
                <w:rFonts w:ascii="Arial" w:hAnsi="Arial"/>
                <w:b w:val="0"/>
                <w:color w:val="1F2937"/>
                <w:sz w:val="16"/>
              </w:rPr>
              <w:t>Курица в сметане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Arial" w:hAnsi="Arial"/>
                <w:b w:val="0"/>
                <w:color w:val="1F2937"/>
                <w:sz w:val="16"/>
              </w:rPr>
              <w:t>830 ₽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Arial" w:hAnsi="Arial"/>
                <w:b w:val="0"/>
                <w:color w:val="1F2937"/>
                <w:sz w:val="16"/>
              </w:rPr>
              <w:t>207.50 ₽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Arial" w:hAnsi="Arial"/>
                <w:b w:val="0"/>
                <w:color w:val="1F2937"/>
                <w:sz w:val="16"/>
              </w:rPr>
              <w:t>6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Arial" w:hAnsi="Arial"/>
                <w:b w:val="0"/>
                <w:color w:val="1F2937"/>
                <w:sz w:val="16"/>
              </w:rPr>
              <w:t>2</w:t>
            </w:r>
          </w:p>
        </w:tc>
      </w:tr>
      <w:tr>
        <w:tc>
          <w:tcPr>
            <w:tcW w:type="dxa" w:w="2040"/>
            <w:vAlign w:val="center"/>
          </w:tcPr>
          <w:p>
            <w:r/>
            <w:r>
              <w:rPr>
                <w:rFonts w:ascii="Arial" w:hAnsi="Arial"/>
                <w:b w:val="0"/>
                <w:color w:val="1F2937"/>
                <w:sz w:val="16"/>
              </w:rPr>
              <w:t>Голубцы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Arial" w:hAnsi="Arial"/>
                <w:b w:val="0"/>
                <w:color w:val="1F2937"/>
                <w:sz w:val="16"/>
              </w:rPr>
              <w:t>834 ₽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Arial" w:hAnsi="Arial"/>
                <w:b w:val="0"/>
                <w:color w:val="1F2937"/>
                <w:sz w:val="16"/>
              </w:rPr>
              <w:t>208.50 ₽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Arial" w:hAnsi="Arial"/>
                <w:b w:val="0"/>
                <w:color w:val="1F2937"/>
                <w:sz w:val="16"/>
              </w:rPr>
              <w:t>7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Arial" w:hAnsi="Arial"/>
                <w:b w:val="0"/>
                <w:color w:val="1F2937"/>
                <w:sz w:val="16"/>
              </w:rPr>
              <w:t>2</w:t>
            </w:r>
          </w:p>
        </w:tc>
      </w:tr>
      <w:tr>
        <w:tc>
          <w:tcPr>
            <w:tcW w:type="dxa" w:w="2040"/>
            <w:vAlign w:val="center"/>
          </w:tcPr>
          <w:p>
            <w:r/>
            <w:r>
              <w:rPr>
                <w:rFonts w:ascii="Arial" w:hAnsi="Arial"/>
                <w:b w:val="0"/>
                <w:color w:val="1F2937"/>
                <w:sz w:val="16"/>
              </w:rPr>
              <w:t>Жаркое в горшочках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Arial" w:hAnsi="Arial"/>
                <w:b w:val="0"/>
                <w:color w:val="1F2937"/>
                <w:sz w:val="16"/>
              </w:rPr>
              <w:t>892 ₽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Arial" w:hAnsi="Arial"/>
                <w:b w:val="0"/>
                <w:color w:val="1F2937"/>
                <w:sz w:val="16"/>
              </w:rPr>
              <w:t>223.00 ₽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Arial" w:hAnsi="Arial"/>
                <w:b w:val="0"/>
                <w:color w:val="1F2937"/>
                <w:sz w:val="16"/>
              </w:rPr>
              <w:t>6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Arial" w:hAnsi="Arial"/>
                <w:b w:val="0"/>
                <w:color w:val="1F2937"/>
                <w:sz w:val="16"/>
              </w:rPr>
              <w:t>3</w:t>
            </w:r>
          </w:p>
        </w:tc>
      </w:tr>
    </w:tbl>
    <w:p>
      <w:r>
        <w:t>Отбор выполнен не вручную: среди блюд категории «горячее» с тремя и более позициями из прайс-листа взяты пять минимальных корзин.</w:t>
      </w:r>
    </w:p>
    <w:p>
      <w:r>
        <w:br w:type="page"/>
      </w:r>
    </w:p>
    <w:p>
      <w:pPr>
        <w:pStyle w:val="Heading1"/>
      </w:pPr>
      <w:r>
        <w:t>Procurement Strategy</w:t>
      </w:r>
    </w:p>
    <w:p>
      <w:pPr>
        <w:pStyle w:val="Heading2"/>
      </w:pPr>
      <w:r>
        <w:t>FreshMart</w:t>
      </w:r>
    </w:p>
    <w:p>
      <w:r>
        <w:t>Крупа гречневая ×2, Цыплёнок ×2, Чеснок ×6</w:t>
      </w:r>
    </w:p>
    <w:p>
      <w:pPr>
        <w:pStyle w:val="Heading2"/>
      </w:pPr>
      <w:r>
        <w:t>ValueGrocer</w:t>
      </w:r>
    </w:p>
    <w:p>
      <w:r>
        <w:t>Капуста белокочанная ×2, Картофель ×2, Куриные бёдра ×2, Лук репчатый ×8, Морковь ×6, Мука пшеничная ×2, Рис круглый ×2, Свинина ×2, Сметана ×6, Тушёнка говяжья ×2</w:t>
      </w:r>
    </w:p>
    <w:p>
      <w:pPr>
        <w:pStyle w:val="Heading2"/>
      </w:pPr>
      <w:r>
        <w:t>BulkBarn</w:t>
      </w:r>
    </w:p>
    <w:p>
      <w:r>
        <w:t>Масло растительное ×4, Масло сливочное ×2, Паста томатная ×2, Фарш мясной ×2</w:t>
      </w:r>
    </w:p>
    <w:p>
      <w:r>
        <w:t>Множитель ×N показывает, сколько рецептных корзин использует одну котируемую единицу. Это не килограммы и не фактический заказ.</w:t>
      </w:r>
    </w:p>
    <w:p>
      <w:pPr>
        <w:pStyle w:val="Heading1"/>
      </w:pPr>
      <w:r>
        <w:t>Limitations</w:t>
      </w:r>
    </w:p>
    <w:p>
      <w:r>
        <w:t>Стоимость — это quoted-basket cost: по одной котируемой единице на каждый разный сопоставленный ингредиент. Единицы веса и штучные позиции не пересчитывались, а цены для отсутствующих в прайс-листе ингредиентов не импутировались.</w:t>
      </w:r>
    </w:p>
    <w:p>
      <w:r>
        <w:t>Требование белка ≥20 г на порцию: невозможно проверить, поскольку в переданных файлах нет пищевой ценности. Перед утверждением меню нужниы технологические карты или нутрициологический расчёт.</w:t>
      </w:r>
    </w:p>
    <w:p>
      <w:r>
        <w:t>Источники: grocery_prices.html, all_recipes.json, Meal_Planning_Guidelines.pdf, budget_notes.md. Срез цен: 7 марта 2026.</w:t>
      </w:r>
    </w:p>
    <w:sectPr w:rsidR="00FC693F" w:rsidRPr="0006063C" w:rsidSect="00034616">
      <w:pgSz w:w="12240" w:h="15840"/>
      <w:pgMar w:top="964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F75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