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Refund Root Cause</w:t>
        <w:br/>
        <w:t>Analysis</w:t>
      </w:r>
    </w:p>
    <w:p>
      <w:pPr>
        <w:pStyle w:val="Subtitle"/>
      </w:pPr>
      <w:r>
        <w:t>Cross-file quality-control package</w:t>
      </w:r>
    </w:p>
    <w:p>
      <w:r>
        <w:t>Prepared from the provided refund, order, product-review and policy inputs. All monetary values use the source currency and all classifications follow Quality_Policy.pdf.</w:t>
      </w:r>
    </w:p>
    <w:p>
      <w:pPr>
        <w:pStyle w:val="Heading1"/>
      </w:pPr>
      <w:r>
        <w:t>Executive Summary</w:t>
      </w:r>
    </w:p>
    <w:p>
      <w:r>
        <w:t>The source contains 13 refunds totaling $4,407.83 across 24 returned products. Severity is 10 Critical, 1 Major and 2 Minor. 4 products meet the policy threshold of two or more refunds and require supplier investigation.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088"/>
            <w:shd w:fill="0B1F33"/>
            <w:tcBorders>
              <w:top w:val="single" w:sz="6" w:color="0B1F33"/>
              <w:left w:val="single" w:sz="6" w:color="0B1F33"/>
              <w:bottom w:val="single" w:sz="6" w:color="0B1F33"/>
              <w:right w:val="single" w:sz="6" w:color="0B1F33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1440"/>
            <w:shd w:fill="0B1F33"/>
            <w:tcBorders>
              <w:top w:val="single" w:sz="6" w:color="0B1F33"/>
              <w:left w:val="single" w:sz="6" w:color="0B1F33"/>
              <w:bottom w:val="single" w:sz="6" w:color="0B1F33"/>
              <w:right w:val="single" w:sz="6" w:color="0B1F33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448"/>
            <w:shd w:fill="0B1F33"/>
            <w:tcBorders>
              <w:top w:val="single" w:sz="6" w:color="0B1F33"/>
              <w:left w:val="single" w:sz="6" w:color="0B1F33"/>
              <w:bottom w:val="single" w:sz="6" w:color="0B1F33"/>
              <w:right w:val="single" w:sz="6" w:color="0B1F33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1440"/>
            <w:shd w:fill="0B1F33"/>
            <w:tcBorders>
              <w:top w:val="single" w:sz="6" w:color="0B1F33"/>
              <w:left w:val="single" w:sz="6" w:color="0B1F33"/>
              <w:bottom w:val="single" w:sz="6" w:color="0B1F33"/>
              <w:right w:val="single" w:sz="6" w:color="0B1F33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Refunds</w:t>
            </w:r>
          </w:p>
        </w:tc>
        <w:tc>
          <w:tcPr>
            <w:tcW w:type="dxa" w:w="1440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13</w:t>
            </w:r>
          </w:p>
        </w:tc>
        <w:tc>
          <w:tcPr>
            <w:tcW w:type="dxa" w:w="2448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Refund amount</w:t>
            </w:r>
          </w:p>
        </w:tc>
        <w:tc>
          <w:tcPr>
            <w:tcW w:type="dxa" w:w="1440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$4,407.83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Products affected</w:t>
            </w:r>
          </w:p>
        </w:tc>
        <w:tc>
          <w:tcPr>
            <w:tcW w:type="dxa" w:w="1440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24</w:t>
            </w:r>
          </w:p>
        </w:tc>
        <w:tc>
          <w:tcPr>
            <w:tcW w:type="dxa" w:w="2448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Supplier investigations</w:t>
            </w:r>
          </w:p>
        </w:tc>
        <w:tc>
          <w:tcPr>
            <w:tcW w:type="dxa" w:w="1440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4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Quality Issues</w:t>
            </w:r>
          </w:p>
        </w:tc>
        <w:tc>
          <w:tcPr>
            <w:tcW w:type="dxa" w:w="1440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0</w:t>
            </w:r>
          </w:p>
        </w:tc>
        <w:tc>
          <w:tcPr>
            <w:tcW w:type="dxa" w:w="2448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Service Issues</w:t>
            </w:r>
          </w:p>
        </w:tc>
        <w:tc>
          <w:tcPr>
            <w:tcW w:type="dxa" w:w="1440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24</w:t>
            </w:r>
          </w:p>
        </w:tc>
      </w:tr>
    </w:tbl>
    <w:p>
      <w:r>
        <w:br w:type="page"/>
      </w:r>
    </w:p>
    <w:p>
      <w:pPr>
        <w:pStyle w:val="Heading1"/>
      </w:pPr>
      <w:r>
        <w:t>Refund Trend Analysis</w:t>
      </w:r>
    </w:p>
    <w:p>
      <w:r>
        <w:t>The breakdown below counts the stated refund reasons exactly as supplied. The input is a cross-sectional refund snapshot, so no unsupported time-series direction is asserted.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72"/>
            <w:shd w:fill="0B1F33"/>
            <w:tcBorders>
              <w:top w:val="single" w:sz="6" w:color="0B1F33"/>
              <w:left w:val="single" w:sz="6" w:color="0B1F33"/>
              <w:bottom w:val="single" w:sz="6" w:color="0B1F33"/>
              <w:right w:val="single" w:sz="6" w:color="0B1F33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Refund reason</w:t>
            </w:r>
          </w:p>
        </w:tc>
        <w:tc>
          <w:tcPr>
            <w:tcW w:type="dxa" w:w="1728"/>
            <w:shd w:fill="0B1F33"/>
            <w:tcBorders>
              <w:top w:val="single" w:sz="6" w:color="0B1F33"/>
              <w:left w:val="single" w:sz="6" w:color="0B1F33"/>
              <w:bottom w:val="single" w:sz="6" w:color="0B1F33"/>
              <w:right w:val="single" w:sz="6" w:color="0B1F33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Refund count</w:t>
            </w:r>
          </w:p>
        </w:tc>
      </w:tr>
      <w:tr>
        <w:tc>
          <w:tcPr>
            <w:tcW w:type="dxa" w:w="5472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Duplicate order</w:t>
            </w:r>
          </w:p>
        </w:tc>
        <w:tc>
          <w:tcPr>
            <w:tcW w:type="dxa" w:w="1728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4</w:t>
            </w:r>
          </w:p>
        </w:tc>
      </w:tr>
      <w:tr>
        <w:tc>
          <w:tcPr>
            <w:tcW w:type="dxa" w:w="5472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Item not as described</w:t>
            </w:r>
          </w:p>
        </w:tc>
        <w:tc>
          <w:tcPr>
            <w:tcW w:type="dxa" w:w="1728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2</w:t>
            </w:r>
          </w:p>
        </w:tc>
      </w:tr>
      <w:tr>
        <w:tc>
          <w:tcPr>
            <w:tcW w:type="dxa" w:w="5472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Product arrived damaged</w:t>
            </w:r>
          </w:p>
        </w:tc>
        <w:tc>
          <w:tcPr>
            <w:tcW w:type="dxa" w:w="1728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2</w:t>
            </w:r>
          </w:p>
        </w:tc>
      </w:tr>
      <w:tr>
        <w:tc>
          <w:tcPr>
            <w:tcW w:type="dxa" w:w="5472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Product defective</w:t>
            </w:r>
          </w:p>
        </w:tc>
        <w:tc>
          <w:tcPr>
            <w:tcW w:type="dxa" w:w="1728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2</w:t>
            </w:r>
          </w:p>
        </w:tc>
      </w:tr>
      <w:tr>
        <w:tc>
          <w:tcPr>
            <w:tcW w:type="dxa" w:w="5472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Wrong item received</w:t>
            </w:r>
          </w:p>
        </w:tc>
        <w:tc>
          <w:tcPr>
            <w:tcW w:type="dxa" w:w="1728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2</w:t>
            </w:r>
          </w:p>
        </w:tc>
      </w:tr>
      <w:tr>
        <w:tc>
          <w:tcPr>
            <w:tcW w:type="dxa" w:w="5472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Changed my mind</w:t>
            </w:r>
          </w:p>
        </w:tc>
        <w:tc>
          <w:tcPr>
            <w:tcW w:type="dxa" w:w="1728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1</w:t>
            </w:r>
          </w:p>
        </w:tc>
      </w:tr>
    </w:tbl>
    <w:p>
      <w:pPr>
        <w:pStyle w:val="Heading1"/>
      </w:pPr>
      <w:r>
        <w:t>Root Cause Classification</w:t>
      </w:r>
    </w:p>
    <w:p>
      <w:r>
        <w:t>Reasons are mapped using guide.md: defective products to Manufacturing Defect; damaged arrivals to Shipping Damage; wrong-item cases to Wrong Item; changed-mind or not-as-described cases to Customer Expectations; duplicate orders to Other.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72"/>
            <w:shd w:fill="0B1F33"/>
            <w:tcBorders>
              <w:top w:val="single" w:sz="6" w:color="0B1F33"/>
              <w:left w:val="single" w:sz="6" w:color="0B1F33"/>
              <w:bottom w:val="single" w:sz="6" w:color="0B1F33"/>
              <w:right w:val="single" w:sz="6" w:color="0B1F33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Root cause</w:t>
            </w:r>
          </w:p>
        </w:tc>
        <w:tc>
          <w:tcPr>
            <w:tcW w:type="dxa" w:w="1728"/>
            <w:shd w:fill="0B1F33"/>
            <w:tcBorders>
              <w:top w:val="single" w:sz="6" w:color="0B1F33"/>
              <w:left w:val="single" w:sz="6" w:color="0B1F33"/>
              <w:bottom w:val="single" w:sz="6" w:color="0B1F33"/>
              <w:right w:val="single" w:sz="6" w:color="0B1F33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Refund count</w:t>
            </w:r>
          </w:p>
        </w:tc>
      </w:tr>
      <w:tr>
        <w:tc>
          <w:tcPr>
            <w:tcW w:type="dxa" w:w="5472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Other</w:t>
            </w:r>
          </w:p>
        </w:tc>
        <w:tc>
          <w:tcPr>
            <w:tcW w:type="dxa" w:w="1728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4</w:t>
            </w:r>
          </w:p>
        </w:tc>
      </w:tr>
      <w:tr>
        <w:tc>
          <w:tcPr>
            <w:tcW w:type="dxa" w:w="5472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Customer Expectations</w:t>
            </w:r>
          </w:p>
        </w:tc>
        <w:tc>
          <w:tcPr>
            <w:tcW w:type="dxa" w:w="1728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3</w:t>
            </w:r>
          </w:p>
        </w:tc>
      </w:tr>
      <w:tr>
        <w:tc>
          <w:tcPr>
            <w:tcW w:type="dxa" w:w="5472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Manufacturing Defect</w:t>
            </w:r>
          </w:p>
        </w:tc>
        <w:tc>
          <w:tcPr>
            <w:tcW w:type="dxa" w:w="1728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2</w:t>
            </w:r>
          </w:p>
        </w:tc>
      </w:tr>
      <w:tr>
        <w:tc>
          <w:tcPr>
            <w:tcW w:type="dxa" w:w="5472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Shipping Damage</w:t>
            </w:r>
          </w:p>
        </w:tc>
        <w:tc>
          <w:tcPr>
            <w:tcW w:type="dxa" w:w="1728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2</w:t>
            </w:r>
          </w:p>
        </w:tc>
      </w:tr>
      <w:tr>
        <w:tc>
          <w:tcPr>
            <w:tcW w:type="dxa" w:w="5472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Wrong Item</w:t>
            </w:r>
          </w:p>
        </w:tc>
        <w:tc>
          <w:tcPr>
            <w:tcW w:type="dxa" w:w="1728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t>Product-Level Findings</w:t>
      </w:r>
    </w:p>
    <w:p>
      <w:r>
        <w:t>The four products below meet the two-refund supplier-investigation threshold. Product refund amounts allocate each order-level refund equally across that order's returned line items, then round the product total to two decimals.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4032"/>
            <w:shd w:fill="0B1F33"/>
            <w:tcBorders>
              <w:top w:val="single" w:sz="6" w:color="0B1F33"/>
              <w:left w:val="single" w:sz="6" w:color="0B1F33"/>
              <w:bottom w:val="single" w:sz="6" w:color="0B1F33"/>
              <w:right w:val="single" w:sz="6" w:color="0B1F33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792"/>
            <w:shd w:fill="0B1F33"/>
            <w:tcBorders>
              <w:top w:val="single" w:sz="6" w:color="0B1F33"/>
              <w:left w:val="single" w:sz="6" w:color="0B1F33"/>
              <w:bottom w:val="single" w:sz="6" w:color="0B1F33"/>
              <w:right w:val="single" w:sz="6" w:color="0B1F33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Refunds</w:t>
            </w:r>
          </w:p>
        </w:tc>
        <w:tc>
          <w:tcPr>
            <w:tcW w:type="dxa" w:w="1296"/>
            <w:shd w:fill="0B1F33"/>
            <w:tcBorders>
              <w:top w:val="single" w:sz="6" w:color="0B1F33"/>
              <w:left w:val="single" w:sz="6" w:color="0B1F33"/>
              <w:bottom w:val="single" w:sz="6" w:color="0B1F33"/>
              <w:right w:val="single" w:sz="6" w:color="0B1F33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Allocated amount</w:t>
            </w:r>
          </w:p>
        </w:tc>
        <w:tc>
          <w:tcPr>
            <w:tcW w:type="dxa" w:w="1008"/>
            <w:shd w:fill="0B1F33"/>
            <w:tcBorders>
              <w:top w:val="single" w:sz="6" w:color="0B1F33"/>
              <w:left w:val="single" w:sz="6" w:color="0B1F33"/>
              <w:bottom w:val="single" w:sz="6" w:color="0B1F33"/>
              <w:right w:val="single" w:sz="6" w:color="0B1F33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Avg rating</w:t>
            </w:r>
          </w:p>
        </w:tc>
        <w:tc>
          <w:tcPr>
            <w:tcW w:type="dxa" w:w="1224"/>
            <w:shd w:fill="0B1F33"/>
            <w:tcBorders>
              <w:top w:val="single" w:sz="6" w:color="0B1F33"/>
              <w:left w:val="single" w:sz="6" w:color="0B1F33"/>
              <w:bottom w:val="single" w:sz="6" w:color="0B1F33"/>
              <w:right w:val="single" w:sz="6" w:color="0B1F33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Issue</w:t>
            </w:r>
          </w:p>
        </w:tc>
      </w:tr>
      <w:tr>
        <w:tc>
          <w:tcPr>
            <w:tcW w:type="dxa" w:w="4032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AGARO Adjustable Camera Tripod Stand with Mobile Phones Clip &amp; Camera Holder, Supports Up to 3 Kgs, 66 inches (167 cm) Tall</w:t>
            </w:r>
          </w:p>
        </w:tc>
        <w:tc>
          <w:tcPr>
            <w:tcW w:type="dxa" w:w="792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4</w:t>
            </w:r>
          </w:p>
        </w:tc>
        <w:tc>
          <w:tcPr>
            <w:tcW w:type="dxa" w:w="1296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$332.00</w:t>
            </w:r>
          </w:p>
        </w:tc>
        <w:tc>
          <w:tcPr>
            <w:tcW w:type="dxa" w:w="1008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4.75</w:t>
            </w:r>
          </w:p>
        </w:tc>
        <w:tc>
          <w:tcPr>
            <w:tcW w:type="dxa" w:w="1224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Service Issue</w:t>
            </w:r>
          </w:p>
        </w:tc>
      </w:tr>
      <w:tr>
        <w:tc>
          <w:tcPr>
            <w:tcW w:type="dxa" w:w="4032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MICROSMT Smart LED TV (32-SMT-FL/512/04-KSR-22),32 Inches</w:t>
            </w:r>
          </w:p>
        </w:tc>
        <w:tc>
          <w:tcPr>
            <w:tcW w:type="dxa" w:w="792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2</w:t>
            </w:r>
          </w:p>
        </w:tc>
        <w:tc>
          <w:tcPr>
            <w:tcW w:type="dxa" w:w="1296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$545.89</w:t>
            </w:r>
          </w:p>
        </w:tc>
        <w:tc>
          <w:tcPr>
            <w:tcW w:type="dxa" w:w="1008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5.00</w:t>
            </w:r>
          </w:p>
        </w:tc>
        <w:tc>
          <w:tcPr>
            <w:tcW w:type="dxa" w:w="1224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Service Issue</w:t>
            </w:r>
          </w:p>
        </w:tc>
      </w:tr>
      <w:tr>
        <w:tc>
          <w:tcPr>
            <w:tcW w:type="dxa" w:w="4032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MYJAS - Inverter battery cap level indicator white with warranty (30mm - set of 6)</w:t>
            </w:r>
          </w:p>
        </w:tc>
        <w:tc>
          <w:tcPr>
            <w:tcW w:type="dxa" w:w="792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2</w:t>
            </w:r>
          </w:p>
        </w:tc>
        <w:tc>
          <w:tcPr>
            <w:tcW w:type="dxa" w:w="1296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$23.72</w:t>
            </w:r>
          </w:p>
        </w:tc>
        <w:tc>
          <w:tcPr>
            <w:tcW w:type="dxa" w:w="1008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5.00</w:t>
            </w:r>
          </w:p>
        </w:tc>
        <w:tc>
          <w:tcPr>
            <w:tcW w:type="dxa" w:w="1224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Service Issue</w:t>
            </w:r>
          </w:p>
        </w:tc>
      </w:tr>
      <w:tr>
        <w:tc>
          <w:tcPr>
            <w:tcW w:type="dxa" w:w="4032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Silencer Panels, Flame Retardant Sound‑Absorption, Polyester Fiber Stable for Recording Studio Home Theater Black</w:t>
            </w:r>
          </w:p>
        </w:tc>
        <w:tc>
          <w:tcPr>
            <w:tcW w:type="dxa" w:w="792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2</w:t>
            </w:r>
          </w:p>
        </w:tc>
        <w:tc>
          <w:tcPr>
            <w:tcW w:type="dxa" w:w="1296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$360.22</w:t>
            </w:r>
          </w:p>
        </w:tc>
        <w:tc>
          <w:tcPr>
            <w:tcW w:type="dxa" w:w="1008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4.50</w:t>
            </w:r>
          </w:p>
        </w:tc>
        <w:tc>
          <w:tcPr>
            <w:tcW w:type="dxa" w:w="1224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Service Issue</w:t>
            </w:r>
          </w:p>
        </w:tc>
      </w:tr>
    </w:tbl>
    <w:p>
      <w:r>
        <w:t>Across all 24 affected products, the policy classifies 0 as Quality Issue, 24 as Service Issue and 0 as No Reviews.</w:t>
      </w:r>
    </w:p>
    <w:p>
      <w:r>
        <w:br w:type="page"/>
      </w:r>
    </w:p>
    <w:p>
      <w:pPr>
        <w:pStyle w:val="Heading1"/>
      </w:pPr>
      <w:r>
        <w:t>Recommendations</w:t>
      </w:r>
    </w:p>
    <w:p>
      <w:pPr>
        <w:pStyle w:val="ListBullet"/>
        <w:spacing w:after="80"/>
      </w:pPr>
      <w:r>
        <w:rPr>
          <w:rFonts w:ascii="Aptos" w:hAnsi="Aptos"/>
          <w:color w:val="0B1F33"/>
          <w:sz w:val="19"/>
        </w:rPr>
        <w:t>Open supplier investigations for the four threshold products and attach the Product Impact evidence from Refund_Analysis.xlsx.</w:t>
      </w:r>
    </w:p>
    <w:p>
      <w:pPr>
        <w:pStyle w:val="ListBullet"/>
        <w:spacing w:after="80"/>
      </w:pPr>
      <w:r>
        <w:rPr>
          <w:rFonts w:ascii="Aptos" w:hAnsi="Aptos"/>
          <w:color w:val="0B1F33"/>
          <w:sz w:val="19"/>
        </w:rPr>
        <w:t>Review duplicate-order controls because Duplicate order is the largest stated reason, with four refunds.</w:t>
      </w:r>
    </w:p>
    <w:p>
      <w:pPr>
        <w:pStyle w:val="ListBullet"/>
        <w:spacing w:after="80"/>
      </w:pPr>
      <w:r>
        <w:rPr>
          <w:rFonts w:ascii="Aptos" w:hAnsi="Aptos"/>
          <w:color w:val="0B1F33"/>
          <w:sz w:val="19"/>
        </w:rPr>
        <w:t>Review packaging and carrier handoff evidence for the two Product arrived damaged refunds.</w:t>
      </w:r>
    </w:p>
    <w:p>
      <w:pPr>
        <w:pStyle w:val="ListBullet"/>
        <w:spacing w:after="80"/>
      </w:pPr>
      <w:r>
        <w:rPr>
          <w:rFonts w:ascii="Aptos" w:hAnsi="Aptos"/>
          <w:color w:val="0B1F33"/>
          <w:sz w:val="19"/>
        </w:rPr>
        <w:t>Review catalog accuracy and fulfillment checks for the two Item not as described and two Wrong item received refunds.</w:t>
      </w:r>
    </w:p>
    <w:p>
      <w:pPr>
        <w:pStyle w:val="ListBullet"/>
        <w:spacing w:after="80"/>
      </w:pPr>
      <w:r>
        <w:rPr>
          <w:rFonts w:ascii="Aptos" w:hAnsi="Aptos"/>
          <w:color w:val="0B1F33"/>
          <w:sz w:val="19"/>
        </w:rPr>
        <w:t>Continue review-rating monitoring; this snapshot contains no policy-defined Quality Issue because every affected product with reviews averages at least 3.0.</w:t>
      </w:r>
    </w:p>
    <w:p>
      <w:pPr>
        <w:pStyle w:val="Heading1"/>
      </w:pPr>
      <w:r>
        <w:t>Action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152"/>
            <w:shd w:fill="0B1F33"/>
            <w:tcBorders>
              <w:top w:val="single" w:sz="6" w:color="0B1F33"/>
              <w:left w:val="single" w:sz="6" w:color="0B1F33"/>
              <w:bottom w:val="single" w:sz="6" w:color="0B1F33"/>
              <w:right w:val="single" w:sz="6" w:color="0B1F33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Horizon</w:t>
            </w:r>
          </w:p>
        </w:tc>
        <w:tc>
          <w:tcPr>
            <w:tcW w:type="dxa" w:w="1440"/>
            <w:shd w:fill="0B1F33"/>
            <w:tcBorders>
              <w:top w:val="single" w:sz="6" w:color="0B1F33"/>
              <w:left w:val="single" w:sz="6" w:color="0B1F33"/>
              <w:bottom w:val="single" w:sz="6" w:color="0B1F33"/>
              <w:right w:val="single" w:sz="6" w:color="0B1F33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312"/>
            <w:shd w:fill="0B1F33"/>
            <w:tcBorders>
              <w:top w:val="single" w:sz="6" w:color="0B1F33"/>
              <w:left w:val="single" w:sz="6" w:color="0B1F33"/>
              <w:bottom w:val="single" w:sz="6" w:color="0B1F33"/>
              <w:right w:val="single" w:sz="6" w:color="0B1F33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088"/>
            <w:shd w:fill="0B1F33"/>
            <w:tcBorders>
              <w:top w:val="single" w:sz="6" w:color="0B1F33"/>
              <w:left w:val="single" w:sz="6" w:color="0B1F33"/>
              <w:bottom w:val="single" w:sz="6" w:color="0B1F33"/>
              <w:right w:val="single" w:sz="6" w:color="0B1F33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Evidence of completion</w:t>
            </w:r>
          </w:p>
        </w:tc>
      </w:tr>
      <w:tr>
        <w:tc>
          <w:tcPr>
            <w:tcW w:type="dxa" w:w="1152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Immediate</w:t>
            </w:r>
          </w:p>
        </w:tc>
        <w:tc>
          <w:tcPr>
            <w:tcW w:type="dxa" w:w="1440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Quality team</w:t>
            </w:r>
          </w:p>
        </w:tc>
        <w:tc>
          <w:tcPr>
            <w:tcW w:type="dxa" w:w="3312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Validate all 10 Critical refunds and open the four supplier cases.</w:t>
            </w:r>
          </w:p>
        </w:tc>
        <w:tc>
          <w:tcPr>
            <w:tcW w:type="dxa" w:w="2088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Case list matches Product Impact.</w:t>
            </w:r>
          </w:p>
        </w:tc>
      </w:tr>
      <w:tr>
        <w:tc>
          <w:tcPr>
            <w:tcW w:type="dxa" w:w="1152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Short term</w:t>
            </w:r>
          </w:p>
        </w:tc>
        <w:tc>
          <w:tcPr>
            <w:tcW w:type="dxa" w:w="1440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Fulfillment</w:t>
            </w:r>
          </w:p>
        </w:tc>
        <w:tc>
          <w:tcPr>
            <w:tcW w:type="dxa" w:w="3312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Review duplicate-order, wrong-item and damaged-arrival controls.</w:t>
            </w:r>
          </w:p>
        </w:tc>
        <w:tc>
          <w:tcPr>
            <w:tcW w:type="dxa" w:w="2088"/>
            <w:shd w:fill="F4F7FA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Findings cite the supplied reason records.</w:t>
            </w:r>
          </w:p>
        </w:tc>
      </w:tr>
      <w:tr>
        <w:tc>
          <w:tcPr>
            <w:tcW w:type="dxa" w:w="1152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Long term</w:t>
            </w:r>
          </w:p>
        </w:tc>
        <w:tc>
          <w:tcPr>
            <w:tcW w:type="dxa" w:w="1440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Quality operations</w:t>
            </w:r>
          </w:p>
        </w:tc>
        <w:tc>
          <w:tcPr>
            <w:tcW w:type="dxa" w:w="3312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Monitor refund counts and average review ratings with the same policy thresholds.</w:t>
            </w:r>
          </w:p>
        </w:tc>
        <w:tc>
          <w:tcPr>
            <w:tcW w:type="dxa" w:w="2088"/>
            <w:shd w:fill="FFFFFF"/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color w:val="0B1F33"/>
                <w:sz w:val="16"/>
              </w:rPr>
              <w:t>Recurring analysis remains replayable from source exports.</w:t>
            </w:r>
          </w:p>
        </w:tc>
      </w:tr>
    </w:tbl>
    <w:p>
      <w:r>
        <w:t>Evidence boundary: the supplied files support refund counts, amounts, reasons, product allocations and review-based issue types. They do not support revenue impact, customer-loss estimates, supplier fault rates, industry benchmarks or trend direction.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673"/>
        <w:sz w:val="16"/>
      </w:rPr>
      <w:t>Source-backed analysis  •  Cowork Evolution Benchmark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67D95"/>
        <w:sz w:val="16"/>
      </w:rPr>
      <w:t>QUALITY CONTROL  /  REFUND INVESTIGATION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9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20"/>
    </w:pPr>
    <w:rPr>
      <w:rFonts w:asciiTheme="majorHAnsi" w:eastAsiaTheme="majorEastAsia" w:hAnsiTheme="majorHAnsi" w:cstheme="majorBidi" w:ascii="Aptos Display" w:hAnsi="Aptos Display"/>
      <w:b/>
      <w:i/>
      <w:iCs/>
      <w:color w:val="167D9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Refund Root Cause Analysis</dc:title>
  <dc:subject>Source-backed cross-file refund investigation</dc:subject>
  <dc:creator>Quality Control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