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spacing w:before="0" w:after="400" w:line="240" w:afterAutospacing="0"/>
        <w:ind w:right="0" w:left="0" w:firstLine="0"/>
        <w:jc w:val="center"/>
        <w:rPr>
          <w:rFonts w:ascii="Calibri" w:hAnsi="Calibri" w:cs="Calibri" w:eastAsia="Calibri"/>
          <w:color w:val="333333"/>
          <w:spacing w:val="0"/>
          <w:position w:val="0"/>
          <w:sz w:val="21"/>
          <w:shd w:fill="auto" w:val="clear"/>
        </w:rPr>
      </w:pPr>
      <w:r>
        <w:rPr>
          <w:rFonts w:ascii="隶书" w:hAnsi="隶书" w:eastAsia="隶书"/>
          <w:b/>
          <w:i w:val="0"/>
          <w:color w:val="0070C0"/>
          <w:sz w:val="44"/>
          <w14:glow xmlns:w14="http://schemas.microsoft.com/office/word/2010/wordml" w14:rad="88900">
            <w14:schemeClr w14:val="accent3"/>
          </w14:glow>
          <w14:shadow xmlns:w14="http://schemas.microsoft.com/office/word/2010/wordml" w14:blurRad="50800" w14:dist="38100" w14:dir="16200000" w14:sx="100000" w14:sy="100000" w14:algn="ctr">
            <w14:srgbClr w14:val="000000">
              <w14:alpha w14:val="40000"/>
            </w14:srgbClr>
          </w14:shadow>
        </w:rPr>
        <w:t>智能软件工程系简介</w:t>
      </w:r>
    </w:p>
    <w:p>
      <w:pPr>
        <w:spacing w:before="0" w:after="120" w:line="264" w:afterAutospacing="0" w:lineRule="auto"/>
        <w:ind w:right="0" w:left="0" w:firstLine="0" w:firstLineChars="200" w:hanging="0"/>
        <w:jc w:val="both"/>
        <w:rPr>
          <w:rFonts w:ascii="Calibri" w:hAnsi="Calibri" w:cs="Calibri" w:eastAsia="Calibri"/>
          <w:color w:val="333333"/>
          <w:spacing w:val="0"/>
          <w:position w:val="0"/>
          <w:sz w:val="21"/>
          <w:shd w:fill="auto" w:val="clear"/>
        </w:rPr>
      </w:pPr>
      <w:r>
        <w:rPr>
          <w:rFonts w:ascii="宋体" w:hAnsi="宋体" w:eastAsia="宋体"/>
          <w:b/>
          <w:i/>
          <w:color w:val="00B050"/>
          <w:sz w:val="28"/>
          <w:em w:val="dot"/>
        </w:rPr>
        <w:t>智能软件工程系</w:t>
      </w:r>
      <w:r>
        <w:rPr>
          <w:rFonts w:ascii="楷体" w:hAnsi="楷体" w:eastAsia="楷体"/>
          <w:b w:val="0"/>
          <w:i w:val="0"/>
          <w:color w:val="000000"/>
          <w:sz w:val="24"/>
        </w:rPr>
        <w:t>是学院设立较早的系部之一，本系师资队伍结构合理，教学、科研基础较扎实。现有专、兼职教师48名。专职教师24名，有正高级职称2名，副高级职称6名，讲师15名。校内实训中心建筑面积5200平方米，共有10个专业实验实训室和4个普通机房，一个综合协作工作室和一个技术服务中心；另有校外实训基地9个。</w:t>
      </w:r>
      <w:r>
        <w:rPr>
          <w:rFonts w:ascii="宋体" w:hAnsi="宋体" w:eastAsia="宋体"/>
          <w:b/>
          <w:i/>
          <w:color w:val="00B050"/>
          <w:sz w:val="28"/>
          <w:em w:val="dot"/>
        </w:rPr>
        <w:t>智能软件工程系</w:t>
      </w:r>
      <w:r>
        <w:rPr>
          <w:rFonts w:ascii="楷体" w:hAnsi="楷体" w:eastAsia="楷体"/>
          <w:b w:val="0"/>
          <w:i w:val="0"/>
          <w:color w:val="000000"/>
          <w:sz w:val="24"/>
        </w:rPr>
        <w:t>坚持以岗位能力为导向，结合社会、区域和行业对技术人才的需求科学设置专业。</w:t>
      </w:r>
    </w:p>
    <w:p>
      <w:pPr>
        <w:framePr w:dropCap="margin" w:lines="2" w:hSpace="170" w:wrap="around" w:vAnchor="text" w:hAnchor="text"/>
        <w:spacing w:before="0" w:after="0" w:line="240"/>
        <w:ind w:right="0" w:left="0" w:firstLine="0"/>
        <w:jc w:val="both"/>
        <w:rPr>
          <w:rFonts w:ascii="Calibri" w:hAnsi="Calibri" w:cs="Calibri" w:eastAsia="Calibri"/>
          <w:color w:val="333333"/>
          <w:spacing w:val="0"/>
          <w:position w:val="0"/>
          <w:sz w:val="21"/>
          <w:shd w:fill="auto" w:val="clear"/>
        </w:rPr>
      </w:pPr>
      <w:r>
        <w:rPr>
          <w:rFonts w:ascii="楷体" w:hAnsi="楷体" w:eastAsia="楷体"/>
          <w:b/>
          <w:i w:val="0"/>
          <w:color w:val="000000"/>
          <w:sz w:val="48"/>
        </w:rPr>
        <w:t>专</w:t>
      </w:r>
    </w:p>
    <w:p>
      <w:pPr>
        <w:spacing w:before="0" w:after="120" w:line="264" w:afterAutospacing="0" w:lineRule="auto"/>
        <w:ind w:right="0" w:left="0" w:firstLine="0" w:firstLineChars="0"/>
        <w:jc w:val="both"/>
        <w:rPr>
          <w:rFonts w:ascii="Calibri" w:hAnsi="Calibri" w:cs="Calibri" w:eastAsia="Calibri"/>
          <w:color w:val="333333"/>
          <w:spacing w:val="0"/>
          <w:position w:val="0"/>
          <w:sz w:val="21"/>
          <w:shd w:fill="auto" w:val="clear"/>
        </w:rPr>
      </w:pPr>
      <w:r>
        <w:rPr>
          <w:rFonts w:ascii="楷体" w:hAnsi="楷体" w:eastAsia="楷体"/>
          <w:b w:val="0"/>
          <w:i w:val="0"/>
          <w:color w:val="000000"/>
          <w:sz w:val="24"/>
        </w:rPr>
        <w:t>业设置如下：</w:t>
      </w:r>
    </w:p>
    <w:p>
      <w:pPr>
        <w:spacing w:before="0" w:after="120" w:line="264" w:afterAutospacing="0" w:lineRule="auto"/>
        <w:ind w:right="0" w:left="0" w:firstLine="0" w:firstLineChars="200" w:hanging="0"/>
        <w:jc w:val="both"/>
        <w:rPr>
          <w:rFonts w:ascii="Calibri" w:hAnsi="Calibri" w:cs="Calibri" w:eastAsia="Calibri"/>
          <w:color w:val="333333"/>
          <w:spacing w:val="0"/>
          <w:position w:val="0"/>
          <w:sz w:val="21"/>
          <w:shd w:fill="auto" w:val="clear"/>
        </w:rPr>
      </w:pPr>
      <w:r>
        <w:rPr>
          <w:rFonts w:ascii="楷体" w:hAnsi="楷体" w:eastAsia="楷体"/>
          <w:b w:val="0"/>
          <w:i w:val="0"/>
          <w:color w:val="000000"/>
          <w:sz w:val="24"/>
        </w:rPr>
        <w:t>计算机应用技术</w:t>
      </w:r>
    </w:p>
    <w:p>
      <w:pPr>
        <w:spacing w:before="0" w:after="120" w:line="264" w:afterAutospacing="0" w:lineRule="auto"/>
        <w:ind w:right="0" w:left="0" w:firstLine="0" w:firstLineChars="200" w:hanging="0"/>
        <w:jc w:val="both"/>
        <w:rPr>
          <w:rFonts w:ascii="Calibri" w:hAnsi="Calibri" w:cs="Calibri" w:eastAsia="Calibri"/>
          <w:color w:val="333333"/>
          <w:spacing w:val="0"/>
          <w:position w:val="0"/>
          <w:sz w:val="21"/>
          <w:shd w:fill="auto" w:val="clear"/>
        </w:rPr>
      </w:pPr>
      <w:r>
        <w:rPr>
          <w:rFonts w:ascii="楷体" w:hAnsi="楷体" w:eastAsia="楷体"/>
          <w:b w:val="0"/>
          <w:i w:val="0"/>
          <w:color w:val="000000"/>
          <w:sz w:val="24"/>
        </w:rPr>
        <w:t>软件开发技术</w:t>
      </w:r>
    </w:p>
    <w:p>
      <w:pPr>
        <w:spacing w:before="0" w:after="120" w:line="264" w:afterAutospacing="0" w:lineRule="auto"/>
        <w:ind w:right="0" w:left="0" w:firstLine="0" w:firstLineChars="200" w:hanging="0"/>
        <w:jc w:val="both"/>
        <w:rPr>
          <w:rFonts w:ascii="Calibri" w:hAnsi="Calibri" w:cs="Calibri" w:eastAsia="Calibri"/>
          <w:color w:val="333333"/>
          <w:spacing w:val="0"/>
          <w:position w:val="0"/>
          <w:sz w:val="21"/>
          <w:shd w:fill="auto" w:val="clear"/>
        </w:rPr>
      </w:pPr>
      <w:r>
        <w:rPr>
          <w:rFonts w:ascii="楷体" w:hAnsi="楷体" w:eastAsia="楷体"/>
          <w:b w:val="0"/>
          <w:i w:val="0"/>
          <w:color w:val="000000"/>
          <w:sz w:val="24"/>
        </w:rPr>
        <w:t>道路安全与智能运维</w:t>
      </w:r>
    </w:p>
    <w:p>
      <w:pPr>
        <w:spacing w:before="0" w:after="120" w:line="264" w:afterAutospacing="0" w:lineRule="auto"/>
        <w:ind w:right="0" w:left="0" w:firstLine="0" w:firstLineChars="200" w:hanging="0"/>
        <w:jc w:val="both"/>
        <w:rPr>
          <w:rFonts w:ascii="Calibri" w:hAnsi="Calibri" w:cs="Calibri" w:eastAsia="Calibri"/>
          <w:color w:val="333333"/>
          <w:spacing w:val="0"/>
          <w:position w:val="0"/>
          <w:sz w:val="21"/>
          <w:shd w:fill="auto" w:val="clear"/>
        </w:rPr>
      </w:pPr>
      <w:r>
        <w:rPr>
          <w:rFonts w:ascii="楷体" w:hAnsi="楷体" w:eastAsia="楷体"/>
          <w:b w:val="0"/>
          <w:i w:val="0"/>
          <w:color w:val="000000"/>
          <w:sz w:val="24"/>
        </w:rPr>
        <w:t>城市轨道交通运维</w:t>
      </w:r>
    </w:p>
    <w:p>
      <w:pPr>
        <w:spacing w:before="0" w:after="120" w:line="264" w:afterAutospacing="0" w:lineRule="auto"/>
        <w:ind w:right="0" w:left="0" w:firstLine="0" w:firstLineChars="200" w:hanging="0"/>
        <w:jc w:val="both"/>
        <w:rPr>
          <w:rFonts w:ascii="Calibri" w:hAnsi="Calibri" w:cs="Calibri" w:eastAsia="Calibri"/>
          <w:color w:val="333333"/>
          <w:spacing w:val="0"/>
          <w:position w:val="0"/>
          <w:sz w:val="21"/>
          <w:shd w:fill="auto" w:val="clear"/>
        </w:rPr>
      </w:pPr>
      <w:r>
        <w:rPr>
          <w:rFonts w:ascii="楷体" w:hAnsi="楷体" w:eastAsia="楷体"/>
          <w:b w:val="0"/>
          <w:i w:val="0"/>
          <w:color w:val="000000"/>
          <w:sz w:val="24"/>
        </w:rPr>
        <w:t>数字媒体艺术设计</w:t>
      </w:r>
    </w:p>
    <w:p>
      <w:pPr>
        <w:spacing w:before="0" w:after="120" w:line="264" w:afterAutospacing="0" w:lineRule="auto"/>
        <w:ind w:right="0" w:left="0" w:firstLine="0" w:firstLineChars="200" w:hanging="0"/>
        <w:jc w:val="both"/>
        <w:rPr>
          <w:rFonts w:ascii="Calibri" w:hAnsi="Calibri" w:cs="Calibri" w:eastAsia="Calibri"/>
          <w:color w:val="333333"/>
          <w:spacing w:val="0"/>
          <w:position w:val="0"/>
          <w:sz w:val="21"/>
          <w:shd w:fill="auto" w:val="clear"/>
        </w:rPr>
      </w:pPr>
      <w:r>
        <w:rPr>
          <w:rFonts w:ascii="楷体" w:hAnsi="楷体" w:eastAsia="楷体"/>
          <w:b w:val="0"/>
          <w:i w:val="0"/>
          <w:color w:val="000000"/>
          <w:sz w:val="24"/>
        </w:rPr>
        <w:t>本系在持续办学过程中，持续优化和完善复合型技术人才培养模式。基本形成了以职业岗位需求为导向，以提升学生的职业技能和职业素养为重点，以学生成长为本位的人才培养理念。同时，在教学上将职业资格证书训练融入专业课程安排之中，稳步推进与“项目实训”教学模式相衔接的“双证融合”课程体系建设。该培养模式把课堂学习和岗位实践贯穿于教学全过程，整体提升学生的专业能力、实践能力和协作能力。</w:t>
      </w:r>
    </w:p>
    <w:p>
      <w:pPr>
        <w:spacing w:before="0" w:after="120" w:line="264" w:afterAutospacing="0" w:lineRule="auto"/>
        <w:ind w:right="0" w:left="0" w:firstLine="0" w:firstLineChars="200" w:hanging="0"/>
        <w:jc w:val="both"/>
        <w:rPr>
          <w:rFonts w:ascii="Calibri" w:hAnsi="Calibri" w:cs="Calibri" w:eastAsia="Calibri"/>
          <w:color w:val="auto"/>
          <w:spacing w:val="0"/>
          <w:position w:val="0"/>
          <w:sz w:val="21"/>
          <w:shd w:fill="auto" w:val="clear"/>
        </w:rPr>
      </w:pPr>
      <w:r>
        <w:rPr>
          <w:rFonts w:ascii="楷体" w:hAnsi="楷体" w:eastAsia="楷体"/>
          <w:b w:val="0"/>
          <w:i w:val="0"/>
          <w:color w:val="000000"/>
          <w:sz w:val="24"/>
        </w:rPr>
        <w:t>为拓宽学生“岗位实训”和就业的渠道，持续加强校内、外实训基地建设。在校内实训基地建设上，实施三位一体“企业+平台”的建设模式。该模式通过与南澜智信信息技术有限公司合作成立的南澜云行科技发展有限公司、系办智联技术服务中心和由系实训中心参照企业运行方式而建立的训练型工作室，为学生提供生产性实习和具有职业氛围的综合实训环境。在校外实训基地的建设上，通过与相关单位建立稳定和长期的合作关系来不断扩大基地的数量和规模。</w:t>
      </w:r>
    </w:p>
    <w:p>
      <w:pPr>
        <w:spacing w:after="120" w:afterAutospacing="0" w:line="264" w:lineRule="auto"/>
        <w:ind w:firstLineChars="200" w:hanging="0"/>
      </w:pPr>
      <w:r>
        <w:rPr>
          <w:rFonts w:ascii="楷体" w:hAnsi="楷体" w:eastAsia="楷体"/>
          <w:b w:val="0"/>
          <w:i w:val="0"/>
          <w:color w:val="000000"/>
          <w:sz w:val="24"/>
        </w:rPr>
        <w:t>面向岗位，面向技能，面向未来，</w:t>
      </w:r>
      <w:r>
        <w:rPr>
          <w:rFonts w:ascii="宋体" w:hAnsi="宋体" w:eastAsia="宋体"/>
          <w:b/>
          <w:i/>
          <w:color w:val="00B050"/>
          <w:sz w:val="28"/>
          <w:em w:val="dot"/>
        </w:rPr>
        <w:t>智能软件工程系</w:t>
      </w:r>
      <w:r>
        <w:rPr>
          <w:rFonts w:ascii="楷体" w:hAnsi="楷体" w:eastAsia="楷体"/>
          <w:b w:val="0"/>
          <w:i w:val="0"/>
          <w:color w:val="000000"/>
          <w:sz w:val="24"/>
        </w:rPr>
        <w:t>以培养学生的职业能力为核心，按照“育人为先、重德精技、务实创新、追求卓越”的办学理念，着力培养市场上需要的、适应性强的、具备一技之长的技术型人才，为区域产业发展培养可用之材。</w:t>
      </w:r>
    </w:p>
    <w:sectPr>
      <w:headerReference xmlns:ns0="http://schemas.openxmlformats.org/officeDocument/2006/relationships" w:type="default" ns0:id="rId1"/>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 id="PowerPlusWaterMarkObject1" o:spid="_x0000_s1025" stroked="f" style="position:absolute;z-index:-251658752;mso-position-horizontal:center;mso-position-horizontal-relative:page;mso-position-vertical:center;mso-position-vertical-relative:page;width:574.80pt;height:246.30pt">
          <v:imagedata r:id="rId1" o:title="campus-watermark" o:gain="19661f" o:blacklevel="22938f"/>
          <w10:wrap type="none"/>
        </v:shape>
      </w:pict>
    </w:r>
  </w:p>
</w:hdr>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numbering" Target="numbering.xml"/><Relationship Id="docRId1" Type="http://schemas.openxmlformats.org/officeDocument/2006/relationships/styles" Target="styles.xml"/><Relationship Id="rId1" Type="http://schemas.openxmlformats.org/officeDocument/2006/relationships/header" Target="header1.xml"/><Relationship Id="rIdTheme"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