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об удовлетворённости клиентов</w:t>
      </w:r>
    </w:p>
    <w:p>
      <w:r>
        <w:rPr>
          <w:color w:val="475569"/>
        </w:rPr>
        <w:t>Консолидированный анализ опроса и обращений в службу поддержки</w:t>
      </w:r>
    </w:p>
    <w:p>
      <w:pPr>
        <w:pStyle w:val="Heading1"/>
      </w:pPr>
      <w:r>
        <w:t>Резюме</w:t>
      </w:r>
    </w:p>
    <w:p>
      <w:r>
        <w:t>Анализ охватывает 50 ответов клиентов и 20 обращений в службу поддержки. Общая удовлетворённость равна 4.20/5, NPS — 42. В поддержке 75% обращений решены с первого контакта, а среднее время решения составляет 3.40 часа. Главный сегментный сигнал — SMB: у него минимальная средняя удовлетворённость 4.00 и NPS -30.</w:t>
      </w:r>
    </w:p>
    <w:p>
      <w:pPr>
        <w:pStyle w:val="Heading1"/>
      </w:pPr>
      <w:r>
        <w:t>Данные и методика</w:t>
      </w:r>
    </w:p>
    <w:p>
      <w:r>
        <w:t>Опрос используется для общей оценки, оценок по измерениям, NPS и сегментной разбивки. NPS рассчитан как доля респондентов с баллом 9–10 минус доля с баллом 0–6, в пунктах. Из выгрузки поддержки рассчитаны доля решений с первого контакта и среднее время решения.</w:t>
      </w:r>
    </w:p>
    <w:p>
      <w:pPr>
        <w:pStyle w:val="Heading1"/>
      </w:pPr>
      <w:r>
        <w:t>Ключевые метрики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969"/>
        <w:gridCol w:w="1701"/>
        <w:gridCol w:w="3969"/>
      </w:tblGrid>
      <w:tr>
        <w:tc>
          <w:tcPr>
            <w:tcW w:type="dxa" w:w="3324"/>
            <w:vAlign w:val="center"/>
            <w:shd w:fill="17365D"/>
          </w:tcPr>
          <w:p>
            <w:r>
              <w:rPr>
                <w:b/>
                <w:color w:val="FFFFFF"/>
              </w:rPr>
              <w:t>Метрика</w:t>
            </w:r>
          </w:p>
        </w:tc>
        <w:tc>
          <w:tcPr>
            <w:tcW w:type="dxa" w:w="3324"/>
            <w:vAlign w:val="center"/>
            <w:shd w:fill="17365D"/>
          </w:tcPr>
          <w:p>
            <w:r>
              <w:rPr>
                <w:b/>
                <w:color w:val="FFFFFF"/>
              </w:rPr>
              <w:t>Значение</w:t>
            </w:r>
          </w:p>
        </w:tc>
        <w:tc>
          <w:tcPr>
            <w:tcW w:type="dxa" w:w="3324"/>
            <w:vAlign w:val="center"/>
            <w:shd w:fill="17365D"/>
          </w:tcPr>
          <w:p>
            <w:r>
              <w:rPr>
                <w:b/>
                <w:color w:val="FFFFFF"/>
              </w:rPr>
              <w:t>Источник</w:t>
            </w:r>
          </w:p>
        </w:tc>
      </w:tr>
      <w:tr>
        <w:tc>
          <w:tcPr>
            <w:tcW w:type="dxa" w:w="3324"/>
            <w:vAlign w:val="center"/>
          </w:tcPr>
          <w:p>
            <w:r>
              <w:t>Overall Satisfaction Score</w:t>
            </w:r>
          </w:p>
        </w:tc>
        <w:tc>
          <w:tcPr>
            <w:tcW w:type="dxa" w:w="3324"/>
            <w:vAlign w:val="center"/>
          </w:tcPr>
          <w:p>
            <w:r>
              <w:t>4.20/5</w:t>
            </w:r>
          </w:p>
        </w:tc>
        <w:tc>
          <w:tcPr>
            <w:tcW w:type="dxa" w:w="3324"/>
            <w:vAlign w:val="center"/>
          </w:tcPr>
          <w:p>
            <w:r>
              <w:t>Опрос, n=50</w:t>
            </w:r>
          </w:p>
        </w:tc>
      </w:tr>
      <w:tr>
        <w:tc>
          <w:tcPr>
            <w:tcW w:type="dxa" w:w="3324"/>
            <w:vAlign w:val="center"/>
          </w:tcPr>
          <w:p>
            <w:r>
              <w:t>Net Promoter Score (NPS)</w:t>
            </w:r>
          </w:p>
        </w:tc>
        <w:tc>
          <w:tcPr>
            <w:tcW w:type="dxa" w:w="3324"/>
            <w:vAlign w:val="center"/>
          </w:tcPr>
          <w:p>
            <w:r>
              <w:t>42</w:t>
            </w:r>
          </w:p>
        </w:tc>
        <w:tc>
          <w:tcPr>
            <w:tcW w:type="dxa" w:w="3324"/>
            <w:vAlign w:val="center"/>
          </w:tcPr>
          <w:p>
            <w:r>
              <w:t>27 промоутеров; 6 критиков</w:t>
            </w:r>
          </w:p>
        </w:tc>
      </w:tr>
      <w:tr>
        <w:tc>
          <w:tcPr>
            <w:tcW w:type="dxa" w:w="3324"/>
            <w:vAlign w:val="center"/>
          </w:tcPr>
          <w:p>
            <w:r>
              <w:t>First Contact Resolution Rate</w:t>
            </w:r>
          </w:p>
        </w:tc>
        <w:tc>
          <w:tcPr>
            <w:tcW w:type="dxa" w:w="3324"/>
            <w:vAlign w:val="center"/>
          </w:tcPr>
          <w:p>
            <w:r>
              <w:t>75%</w:t>
            </w:r>
          </w:p>
        </w:tc>
        <w:tc>
          <w:tcPr>
            <w:tcW w:type="dxa" w:w="3324"/>
            <w:vAlign w:val="center"/>
          </w:tcPr>
          <w:p>
            <w:r>
              <w:t>Поддержка, n=20</w:t>
            </w:r>
          </w:p>
        </w:tc>
      </w:tr>
      <w:tr>
        <w:tc>
          <w:tcPr>
            <w:tcW w:type="dxa" w:w="3324"/>
            <w:vAlign w:val="center"/>
          </w:tcPr>
          <w:p>
            <w:r>
              <w:t>Average Resolution Time</w:t>
            </w:r>
          </w:p>
        </w:tc>
        <w:tc>
          <w:tcPr>
            <w:tcW w:type="dxa" w:w="3324"/>
            <w:vAlign w:val="center"/>
          </w:tcPr>
          <w:p>
            <w:r>
              <w:t>3.40 часа</w:t>
            </w:r>
          </w:p>
        </w:tc>
        <w:tc>
          <w:tcPr>
            <w:tcW w:type="dxa" w:w="3324"/>
            <w:vAlign w:val="center"/>
          </w:tcPr>
          <w:p>
            <w:r>
              <w:t>Поддержка, n=20</w:t>
            </w:r>
          </w:p>
        </w:tc>
      </w:tr>
    </w:tbl>
    <w:p>
      <w:pPr>
        <w:pStyle w:val="Heading1"/>
      </w:pPr>
      <w:r>
        <w:t>Оценки по измерениям</w:t>
      </w:r>
    </w:p>
    <w:p>
      <w:pPr>
        <w:pStyle w:val="ListBullet"/>
      </w:pPr>
      <w:r>
        <w:t>Product Quality: 4.30 по шкале 1-5.</w:t>
      </w:r>
    </w:p>
    <w:p>
      <w:pPr>
        <w:pStyle w:val="ListBullet"/>
      </w:pPr>
      <w:r>
        <w:t>Customer Service: 4.00 по шкале 1-5.</w:t>
      </w:r>
    </w:p>
    <w:p>
      <w:pPr>
        <w:pStyle w:val="ListBullet"/>
      </w:pPr>
      <w:r>
        <w:t>Value for Money: 3.90 по шкале 1-5.</w:t>
      </w:r>
    </w:p>
    <w:p>
      <w:pPr>
        <w:pStyle w:val="ListBullet"/>
      </w:pPr>
      <w:r>
        <w:t>Ease of Use: 4.40 по шкале 1-5.</w:t>
      </w:r>
    </w:p>
    <w:p>
      <w:pPr>
        <w:pStyle w:val="ListBullet"/>
      </w:pPr>
      <w:r>
        <w:t>Average Recommend Score: 8.34 по шкале 0-10.</w:t>
      </w:r>
    </w:p>
    <w:p>
      <w:r>
        <w:t>Лучшая оценка по шкале 1–5 — Ease of Use (4.40), а минимальная — Value for Money (3.90). Это обосновывает приоритет по разъяснению ценности продукта, не отменяя необходимость улучшать сервис.</w:t>
      </w:r>
    </w:p>
    <w:p>
      <w:pPr>
        <w:pStyle w:val="Heading1"/>
      </w:pPr>
      <w:r>
        <w:t>Сегментный анализ</w:t>
      </w:r>
    </w:p>
    <w:p>
      <w:pPr>
        <w:pStyle w:val="ListBullet"/>
      </w:pPr>
      <w:r>
        <w:t>Enterprise: 10 ответов; удовлетворённость 4.50; NPS 100; решение с первого контакта 70%.</w:t>
      </w:r>
    </w:p>
    <w:p>
      <w:pPr>
        <w:pStyle w:val="ListBullet"/>
      </w:pPr>
      <w:r>
        <w:t>Mid-Market: 20 ответов; удовлетворённость 4.25; NPS 85; решение с первого контакта 80%.</w:t>
      </w:r>
    </w:p>
    <w:p>
      <w:pPr>
        <w:pStyle w:val="ListBullet"/>
      </w:pPr>
      <w:r>
        <w:t>SMB: 20 ответов; удовлетворённость 4.00; NPS -30; решение с первого контакта 75%.</w:t>
      </w:r>
    </w:p>
    <w:p>
      <w:r>
        <w:t>SMB — сегмент с самой низкой средней удовлетворённостью (4.00) и самым низким NPS (-30). При этом в сегменте всего 20 ответов, поэтому величину разрыва нужно проверить на следующей волне.</w:t>
      </w:r>
    </w:p>
    <w:p>
      <w:pPr>
        <w:pStyle w:val="Heading1"/>
      </w:pPr>
      <w:r>
        <w:t>План улучшений</w:t>
      </w:r>
    </w:p>
    <w:p>
      <w:pPr>
        <w:pStyle w:val="ListBullet"/>
      </w:pPr>
      <w:r>
        <w:t>Improve First Contact Resolution — ответственный Head of Support; срок 90 days; метрика First Contact Resolution Rate.</w:t>
      </w:r>
    </w:p>
    <w:p>
      <w:pPr>
        <w:pStyle w:val="ListBullet"/>
      </w:pPr>
      <w:r>
        <w:t>Reduce Resolution Time — ответственный Support Operations Lead; срок 120 days; метрика Average Resolution Time (Hours).</w:t>
      </w:r>
    </w:p>
    <w:p>
      <w:pPr>
        <w:pStyle w:val="ListBullet"/>
      </w:pPr>
      <w:r>
        <w:t>SMB Customer Success Program — ответственный Customer Success Lead; срок 180 days; метрика SMB Overall Satisfaction.</w:t>
      </w:r>
    </w:p>
    <w:p>
      <w:r>
        <w:t>Первый контур — повысить FCR с 75% до 85%; второй — сократить среднее время решения с 3.40 до 2.00 часа; третий — повысить удовлетворённость SMB с 4.00 до 4.20. Цели являются управленческими ориентирами, а не исходными фактами.</w:t>
      </w:r>
    </w:p>
    <w:p>
      <w:pPr>
        <w:pStyle w:val="Heading1"/>
      </w:pPr>
      <w:r>
        <w:t>Ограничения</w:t>
      </w:r>
    </w:p>
    <w:p>
      <w:r>
        <w:t>В опросе нет Customer_ID, поэтому 50 ответов нельзя построчно связать с 20 обращениями поддержки. Мы не делаем выводов о корреляции на уровне клиента и не утверждаем причинную связь между скоростью поддержки и оценкой опроса. Выборки невелики; для решений о масштабировании нужна повторная волна и доверительные интервалы.</w:t>
      </w:r>
    </w:p>
    <w:p>
      <w:pPr>
        <w:pStyle w:val="Heading1"/>
      </w:pPr>
      <w:r>
        <w:t>Вывод</w:t>
      </w:r>
    </w:p>
    <w:p>
      <w:r>
        <w:t>Команде следует начать с операционно проверяемых шагов: FCR, время решения и отдельная работа с SMB. Каждый цикл следует завершать повторным измерением на том же наборе метрик.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Cowork-Bench · Customer Satisfaction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удовлетворённости клиентов</dc:title>
  <dc:subject/>
  <dc:creator>Cowork Evolution Benchmark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