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charts/chart14.xml" ContentType="application/vnd.openxmlformats-officedocument.drawingml.chart+xml"/>
  <Override PartName="/word/charts/chart15.xml" ContentType="application/vnd.openxmlformats-officedocument.drawingml.chart+xml"/>
  <Override PartName="/word/charts/chart16.xml" ContentType="application/vnd.openxmlformats-officedocument.drawingml.chart+xml"/>
  <Override PartName="/word/charts/chart17.xml" ContentType="application/vnd.openxmlformats-officedocument.drawingml.chart+xml"/>
  <Override PartName="/word/charts/chart18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olors1.xml" ContentType="application/vnd.ms-office.chartcolorstyle+xml"/>
  <Override PartName="/word/charts/colors10.xml" ContentType="application/vnd.ms-office.chartcolorstyle+xml"/>
  <Override PartName="/word/charts/colors11.xml" ContentType="application/vnd.ms-office.chartcolorstyle+xml"/>
  <Override PartName="/word/charts/colors12.xml" ContentType="application/vnd.ms-office.chartcolorstyle+xml"/>
  <Override PartName="/word/charts/colors13.xml" ContentType="application/vnd.ms-office.chartcolorstyle+xml"/>
  <Override PartName="/word/charts/colors14.xml" ContentType="application/vnd.ms-office.chartcolorstyle+xml"/>
  <Override PartName="/word/charts/colors15.xml" ContentType="application/vnd.ms-office.chartcolorstyle+xml"/>
  <Override PartName="/word/charts/colors16.xml" ContentType="application/vnd.ms-office.chartcolorstyle+xml"/>
  <Override PartName="/word/charts/colors17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colors6.xml" ContentType="application/vnd.ms-office.chartcolorstyle+xml"/>
  <Override PartName="/word/charts/colors7.xml" ContentType="application/vnd.ms-office.chartcolorstyle+xml"/>
  <Override PartName="/word/charts/colors8.xml" ContentType="application/vnd.ms-office.chartcolorstyle+xml"/>
  <Override PartName="/word/charts/colors9.xml" ContentType="application/vnd.ms-office.chartcolorstyle+xml"/>
  <Override PartName="/word/charts/style1.xml" ContentType="application/vnd.ms-office.chartstyle+xml"/>
  <Override PartName="/word/charts/style10.xml" ContentType="application/vnd.ms-office.chartstyle+xml"/>
  <Override PartName="/word/charts/style11.xml" ContentType="application/vnd.ms-office.chartstyle+xml"/>
  <Override PartName="/word/charts/style12.xml" ContentType="application/vnd.ms-office.chartstyle+xml"/>
  <Override PartName="/word/charts/style13.xml" ContentType="application/vnd.ms-office.chartstyle+xml"/>
  <Override PartName="/word/charts/style14.xml" ContentType="application/vnd.ms-office.chartstyle+xml"/>
  <Override PartName="/word/charts/style15.xml" ContentType="application/vnd.ms-office.chartstyle+xml"/>
  <Override PartName="/word/charts/style16.xml" ContentType="application/vnd.ms-office.chartstyle+xml"/>
  <Override PartName="/word/charts/style17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charts/style6.xml" ContentType="application/vnd.ms-office.chartstyle+xml"/>
  <Override PartName="/word/charts/style7.xml" ContentType="application/vnd.ms-office.chartstyle+xml"/>
  <Override PartName="/word/charts/style8.xml" ContentType="application/vnd.ms-office.chartstyle+xml"/>
  <Override PartName="/word/charts/style9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  <Override PartName="/word/theme/themeOverride10.xml" ContentType="application/vnd.openxmlformats-officedocument.themeOverride+xml"/>
  <Override PartName="/word/theme/themeOverride11.xml" ContentType="application/vnd.openxmlformats-officedocument.themeOverride+xml"/>
  <Override PartName="/word/theme/themeOverride12.xml" ContentType="application/vnd.openxmlformats-officedocument.themeOverride+xml"/>
  <Override PartName="/word/theme/themeOverride13.xml" ContentType="application/vnd.openxmlformats-officedocument.themeOverride+xml"/>
  <Override PartName="/word/theme/themeOverride14.xml" ContentType="application/vnd.openxmlformats-officedocument.themeOverride+xml"/>
  <Override PartName="/word/theme/themeOverride15.xml" ContentType="application/vnd.openxmlformats-officedocument.themeOverride+xml"/>
  <Override PartName="/word/theme/themeOverride2.xml" ContentType="application/vnd.openxmlformats-officedocument.themeOverride+xml"/>
  <Override PartName="/word/theme/themeOverride3.xml" ContentType="application/vnd.openxmlformats-officedocument.themeOverride+xml"/>
  <Override PartName="/word/theme/themeOverride4.xml" ContentType="application/vnd.openxmlformats-officedocument.themeOverride+xml"/>
  <Override PartName="/word/theme/themeOverride5.xml" ContentType="application/vnd.openxmlformats-officedocument.themeOverride+xml"/>
  <Override PartName="/word/theme/themeOverride6.xml" ContentType="application/vnd.openxmlformats-officedocument.themeOverride+xml"/>
  <Override PartName="/word/theme/themeOverride7.xml" ContentType="application/vnd.openxmlformats-officedocument.themeOverride+xml"/>
  <Override PartName="/word/theme/themeOverride8.xml" ContentType="application/vnd.openxmlformats-officedocument.themeOverride+xml"/>
  <Override PartName="/word/theme/themeOverride9.xml" ContentType="application/vnd.openxmlformats-officedocument.themeOverride+xml"/>
  <Override PartName="/word/webExtensions/webExtension1.xml" ContentType="application/vnd.wps-officedocument.webExtension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F9098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64" w:beforeLines="50" w:beforeAutospacing="0" w:line="25" w:lineRule="atLeast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  <w:bookmarkStart w:id="49" w:name="_GoBack"/>
      <w:bookmarkEnd w:id="49"/>
      <w:bookmarkStart w:id="0" w:name="_Toc9966"/>
      <w: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  <w:t>青禾公共书房网络化运营与更新规划书</w:t>
      </w:r>
    </w:p>
    <w:p w14:paraId="58587ADF">
      <w:pP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35EBE086">
      <w:pP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76B9BFD3">
      <w:pP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5F8FAD27">
      <w:pP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4AE9CE6D">
      <w:pP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29899597">
      <w:pP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649C99A0">
      <w:pP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5BCFE2A0">
      <w:pP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15E22226">
      <w:pP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0E2393B8">
      <w:pP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215D609E">
      <w:pP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6A9748D0">
      <w:pP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02104123">
      <w:pP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6CACF939">
      <w:pP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27AB6F79">
      <w:pP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0BEC2177">
      <w:pP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65CE23E1">
      <w:pP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554B0813">
      <w:pP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66CE60E0">
      <w:pP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6E2A6459">
      <w:pP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1B30A3FD">
      <w:pP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409746D0">
      <w:pPr>
        <w:jc w:val="center"/>
        <w:rPr>
          <w:rFonts w:hint="default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  <w:t>//////摘要//////</w:t>
      </w:r>
    </w:p>
    <w:p w14:paraId="1B9B8558">
      <w:pP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23BE6F30">
      <w:pP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68E8CA56">
      <w:pP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7420A313">
      <w:pP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157FB940">
      <w:pP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07DCC8A3">
      <w:pP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5BA21289">
      <w:pP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71C3B883">
      <w:pP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625A1793">
      <w:pP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02C647DE">
      <w:pP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5584A9C6">
      <w:pPr>
        <w:rPr>
          <w:rFonts w:hint="default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197BA573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64" w:beforeLines="50" w:beforeAutospacing="0" w:line="25" w:lineRule="atLeast"/>
        <w:jc w:val="center"/>
        <w:textAlignment w:val="auto"/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49308561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64" w:beforeLines="50" w:beforeAutospacing="0" w:line="25" w:lineRule="atLeast"/>
        <w:jc w:val="center"/>
        <w:textAlignment w:val="auto"/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6351CA13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64" w:beforeLines="50" w:beforeAutospacing="0" w:line="25" w:lineRule="atLeast"/>
        <w:jc w:val="center"/>
        <w:textAlignment w:val="auto"/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41F0B117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64" w:beforeLines="50" w:beforeAutospacing="0" w:line="25" w:lineRule="atLeast"/>
        <w:jc w:val="center"/>
        <w:textAlignment w:val="auto"/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456C33BB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64" w:beforeLines="50" w:beforeAutospacing="0" w:line="25" w:lineRule="atLeast"/>
        <w:jc w:val="both"/>
        <w:textAlignment w:val="auto"/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1C62ED00">
      <w:pP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46D8AAD2">
      <w:pP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1E4E1C01">
      <w:pP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p w14:paraId="50253540">
      <w:pP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</w:p>
    <w:bookmarkEnd w:id="0"/>
    <w:p w14:paraId="064DA938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64" w:beforeLines="50" w:beforeAutospacing="0" w:line="25" w:lineRule="atLeast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  <w:bookmarkStart w:id="1" w:name="_Toc15701"/>
      <w: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  <w:t>第一章 项目定位与服务原则</w:t>
      </w:r>
      <w:bookmarkEnd w:id="1"/>
    </w:p>
    <w:p w14:paraId="3D7C3357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beforeAutospacing="0" w:line="25" w:lineRule="atLeast"/>
        <w:jc w:val="left"/>
        <w:textAlignment w:val="auto"/>
        <w:rPr>
          <w:rFonts w:hint="default"/>
          <w:b w:val="0"/>
          <w:bCs w:val="0"/>
          <w:sz w:val="30"/>
          <w:szCs w:val="30"/>
          <w:lang w:val="en-US" w:eastAsia="zh-CN"/>
        </w:rPr>
      </w:pPr>
      <w:bookmarkStart w:id="2" w:name="_Toc2488"/>
      <w:bookmarkStart w:id="3" w:name="_Toc20854"/>
      <w:bookmarkStart w:id="4" w:name="_Toc12950"/>
      <w:r>
        <w:rPr>
          <w:rFonts w:hint="eastAsia"/>
          <w:b w:val="0"/>
          <w:bCs w:val="0"/>
          <w:sz w:val="30"/>
          <w:szCs w:val="30"/>
          <w:lang w:val="zh-CN" w:eastAsia="zh-CN"/>
        </w:rPr>
        <w:t>一、公共阅读空间的建设背景</w:t>
      </w:r>
      <w:bookmarkEnd w:id="2"/>
      <w:bookmarkEnd w:id="3"/>
    </w:p>
    <w:p w14:paraId="68FF6E05">
      <w:pPr>
        <w:pStyle w:val="3"/>
        <w:keepNext w:val="0"/>
        <w:keepLines w:val="0"/>
        <w:pageBreakBefore w:val="0"/>
        <w:widowControl w:val="0"/>
        <w:numPr>
          <w:ilvl w:val="2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beforeAutospacing="0" w:line="25" w:lineRule="atLeast"/>
        <w:ind w:left="0" w:leftChars="0" w:firstLine="403" w:firstLineChars="0"/>
        <w:textAlignment w:val="auto"/>
        <w:outlineLvl w:val="1"/>
        <w:rPr>
          <w:rFonts w:hint="eastAsia" w:eastAsia="黑体"/>
          <w:b w:val="0"/>
          <w:bCs w:val="0"/>
          <w:sz w:val="28"/>
          <w:szCs w:val="28"/>
          <w:lang w:val="en-US" w:eastAsia="zh-CN"/>
        </w:rPr>
      </w:pPr>
      <w:bookmarkStart w:id="5" w:name="_Toc15285"/>
      <w:r>
        <w:rPr>
          <w:rFonts w:hint="eastAsia" w:eastAsia="黑体"/>
          <w:b w:val="0"/>
          <w:bCs w:val="0"/>
          <w:sz w:val="28"/>
          <w:szCs w:val="28"/>
          <w:lang w:val="zh-CN" w:eastAsia="zh-CN"/>
        </w:rPr>
        <w:t>（一）城市文化消费与邻里阅读需求</w:t>
      </w:r>
      <w:bookmarkEnd w:id="5"/>
    </w:p>
    <w:p w14:paraId="3D4AA5FD">
      <w:pPr>
        <w:spacing w:before="0" w:beforeLines="50" w:after="0" w:line="300" w:lineRule="auto"/>
        <w:ind w:firstLine="420" w:firstLineChars="0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本方案围绕公共书房的连续开放、活动排期、读者服务和空间维护展开，重点解决小型文化空间在日常管理中常见的排班不均、设备闲置、活动重复和服务反馈滞后等问题。通过统一的运营台账、分级服务包和月度复盘机制，各点位可以在保持本地特色的同时，形成可复制的管理标准。 本轮记录覆盖18个服务节点、2类核心场景，阶段满意度约为65%，一般问题在7天内完成闭环。空间更新不追求一次性大改造，而采用轻量化迭代方式。优先处理入口识别、书架分区、插座补充、通风照明、导视牌和活动收纳等影响体验的基础环节，再根据客流变化逐步引入夜间阅读、主题书展、邻里讲读和手作课堂等内容。为提升服务的真实可达性，方案建议在社区公告栏、学校门口、商街转角和线上小程序同步发布开放时间、活动日历与预约规则。导视信息应使用简洁文字和统一图标，让首次到访者能够快速找到入口、还书点、亲子区和安静阅读区。</w:t>
      </w:r>
    </w:p>
    <w:p w14:paraId="03CDFA04">
      <w:pPr>
        <w:pStyle w:val="4"/>
        <w:pageBreakBefore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64" w:beforeLines="50" w:beforeAutospacing="0" w:line="25" w:lineRule="atLeast"/>
        <w:ind w:left="-2" w:leftChars="0" w:firstLine="400" w:firstLineChars="0"/>
        <w:textAlignment w:val="auto"/>
        <w:rPr>
          <w:rFonts w:hint="eastAsia" w:ascii="宋体" w:hAnsi="宋体" w:eastAsia="宋体" w:cs="宋体"/>
          <w:b/>
          <w:bCs/>
          <w:spacing w:val="-10"/>
          <w:kern w:val="2"/>
          <w:sz w:val="24"/>
          <w:szCs w:val="24"/>
          <w:lang w:val="en-US" w:eastAsia="zh-CN" w:bidi="ar-SA"/>
        </w:rPr>
      </w:pPr>
      <w:bookmarkStart w:id="6" w:name="_Toc20094"/>
      <w:r>
        <w:rPr>
          <w:rFonts w:hint="eastAsia" w:ascii="宋体" w:hAnsi="宋体" w:eastAsia="宋体" w:cs="宋体"/>
          <w:b/>
          <w:bCs/>
          <w:spacing w:val="-10"/>
          <w:kern w:val="2"/>
          <w:sz w:val="24"/>
          <w:szCs w:val="24"/>
          <w:lang w:val="zh-CN" w:eastAsia="zh-CN" w:bidi="ar-SA"/>
        </w:rPr>
        <w:t>1．公共书房网络的服务对象与覆盖逻辑</w:t>
      </w:r>
      <w:bookmarkEnd w:id="6"/>
    </w:p>
    <w:p w14:paraId="787908FA">
      <w:pPr>
        <w:spacing w:before="0" w:beforeLines="50" w:after="0" w:line="300" w:lineRule="auto"/>
        <w:ind w:firstLine="420" w:firstLineChars="0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调研记录显示，读者更关注安静座位、灯光舒适度、图书更新速度、活动预约便利性以及儿童阅读区的安全性。围绕这些高频需求，方案将服务内容拆分为基础阅读、亲子陪伴、社群活动、数字借阅和社区共创五个模块，便于后续按片区进行组合投放。 本轮记录覆盖25个服务节点、3类核心场景，阶段满意度约为68%，一般问题在8天内完成闭环。</w:t>
      </w:r>
    </w:p>
    <w:p w14:paraId="1CDBB037">
      <w:pPr>
        <w:spacing w:before="0" w:beforeLines="50" w:after="0" w:line="300" w:lineRule="auto"/>
        <w:ind w:firstLine="420" w:firstLineChars="0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空间更新不追求一次性大改造，而采用轻量化迭代方式。优先处理入口识别、书架分区、插座补充、通风照明、导视牌和活动收纳等影响体验的基础环节，再根据客流变化逐步引入夜间阅读、主题书展、邻里讲读和手作课堂等内容。 本轮记录覆盖32个服务节点、4类核心场景，阶段满意度约为71%，一般问题在9天内完成闭环。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活动设计应避免单纯追求数量，重点关注读者是否愿意再次参加、是否产生持续阅读行为、是否带动家庭成员共同使用空间。</w:t>
      </w:r>
    </w:p>
    <w:p w14:paraId="1D99E0A1">
      <w:pPr>
        <w:spacing w:before="0" w:beforeLines="50" w:after="0" w:line="300" w:lineRule="auto"/>
        <w:ind w:firstLine="420" w:firstLineChars="0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 本轮记录覆盖39个服务节点、5类核心场景，阶段满意度约为74%，一般问题在10天内完成闭环。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活动设计应避免单纯追求数量，重点关注读者是否愿意再次参加、是否产生持续阅读行为、是否带动家庭成员共同使用空间。</w:t>
      </w:r>
      <w:bookmarkEnd w:id="4"/>
    </w:p>
    <w:p w14:paraId="0135C7AF">
      <w:pPr>
        <w:pStyle w:val="4"/>
        <w:pageBreakBefore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64" w:beforeLines="50" w:beforeAutospacing="0" w:line="25" w:lineRule="atLeast"/>
        <w:ind w:left="-2" w:leftChars="0" w:firstLine="400" w:firstLineChars="0"/>
        <w:textAlignment w:val="auto"/>
        <w:rPr>
          <w:rFonts w:hint="eastAsia" w:ascii="宋体" w:hAnsi="宋体" w:eastAsia="宋体" w:cs="宋体"/>
          <w:b/>
          <w:bCs/>
          <w:spacing w:val="-10"/>
          <w:kern w:val="2"/>
          <w:sz w:val="24"/>
          <w:szCs w:val="24"/>
          <w:lang w:val="en-US" w:eastAsia="zh-CN" w:bidi="ar-SA"/>
        </w:rPr>
      </w:pPr>
      <w:bookmarkStart w:id="7" w:name="_Toc14047"/>
      <w:r>
        <w:rPr>
          <w:rFonts w:hint="eastAsia" w:ascii="宋体" w:hAnsi="宋体" w:eastAsia="宋体" w:cs="宋体"/>
          <w:b/>
          <w:bCs/>
          <w:spacing w:val="-10"/>
          <w:kern w:val="2"/>
          <w:sz w:val="24"/>
          <w:szCs w:val="24"/>
          <w:lang w:val="zh-CN" w:eastAsia="zh-CN" w:bidi="ar-SA"/>
        </w:rPr>
        <w:t>2．小型文化空间的日常运营问题与改进方向</w:t>
      </w:r>
      <w:bookmarkEnd w:id="7"/>
    </w:p>
    <w:p w14:paraId="1299D380">
      <w:pPr>
        <w:spacing w:before="0" w:beforeLines="50" w:after="0" w:line="300" w:lineRule="auto"/>
        <w:ind w:firstLine="420" w:firstLineChars="0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运营目标与价值说明。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 本轮记录覆盖46个服务节点、6类核心场景，阶段满意度约为77%，一般问题在11天内完成闭环。</w:t>
      </w:r>
    </w:p>
    <w:p w14:paraId="573AEE69">
      <w:pPr>
        <w:spacing w:before="0" w:beforeLines="50" w:after="0" w:line="300" w:lineRule="auto"/>
        <w:ind w:firstLine="420" w:firstLineChars="0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便民价值：提升近邻阅读与活动到达率，形成十五分钟文化生活圈。。为提升服务的真实可达性，方案建议在社区公告栏、学校门口、商街转角和线上小程序同步发布开放时间、活动日历与预约规则。导视信息应使用简洁文字和统一图标，让首次到访者能够快速找到入口、还书点、亲子区和安静阅读区。 本轮记录覆盖53个服务节点、7类核心场景，阶段满意度约为80%，一般问题在12天内完成闭环。</w:t>
      </w:r>
    </w:p>
    <w:p w14:paraId="5B151B95">
      <w:pPr>
        <w:spacing w:before="0" w:beforeLines="50" w:after="0" w:line="300" w:lineRule="auto"/>
        <w:ind w:firstLine="420" w:firstLineChars="0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管理价值：用标准化流程串联空间、人员、设备与活动排期。。活动设计应避免单纯追求数量，重点关注读者是否愿意再次参加、是否产生持续阅读行为、是否带动家庭成员共同使用空间。每场活动结束后，馆员需记录参与人数、滞留时长、图书借阅转化和现场反馈，形成下一轮策划依据。 本轮记录覆盖60个服务节点、8类核心场景，阶段满意度约为83%，一般问题在13天内完成闭环。物资管理采用低库存、快补给原则。</w:t>
      </w:r>
    </w:p>
    <w:p w14:paraId="3BB9D97B">
      <w:pPr>
        <w:pStyle w:val="4"/>
        <w:pageBreakBefore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64" w:beforeLines="50" w:beforeAutospacing="0" w:line="25" w:lineRule="atLeast"/>
        <w:ind w:left="-2" w:leftChars="0" w:firstLine="400" w:firstLineChars="0"/>
        <w:textAlignment w:val="auto"/>
        <w:rPr>
          <w:rFonts w:hint="default" w:ascii="宋体" w:hAnsi="宋体" w:eastAsia="宋体" w:cs="宋体"/>
          <w:b/>
          <w:bCs/>
          <w:spacing w:val="-1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pacing w:val="-10"/>
          <w:kern w:val="2"/>
          <w:sz w:val="24"/>
          <w:szCs w:val="24"/>
          <w:lang w:val="en-US" w:eastAsia="zh-CN" w:bidi="ar-SA"/>
        </w:rPr>
        <w:t>3. 社区价值：让居民、学校和社群组织共同参与内容共创。</w:t>
      </w:r>
    </w:p>
    <w:p w14:paraId="3C3CCE8F">
      <w:pPr>
        <w:spacing w:before="0" w:beforeLines="50" w:after="0" w:line="300" w:lineRule="auto"/>
        <w:ind w:firstLine="420" w:firstLineChars="0"/>
        <w:rPr>
          <w:rFonts w:hint="default" w:ascii="宋体" w:hAnsi="宋体" w:eastAsia="宋体" w:cs="宋体"/>
          <w:b w:val="0"/>
          <w:bCs w:val="0"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color w:val="0000FF"/>
          <w:kern w:val="2"/>
          <w:sz w:val="24"/>
          <w:szCs w:val="24"/>
          <w:lang w:val="en-US" w:eastAsia="zh-CN" w:bidi="ar-SA"/>
        </w:rPr>
        <w:t>物资管理采用低库存、快补给原则。常用耗材按周盘点，活动材料按场次核销，</w:t>
      </w:r>
    </w:p>
    <w:p w14:paraId="78D876C3">
      <w:pPr>
        <w:spacing w:before="0" w:beforeLines="50" w:after="0" w:line="300" w:lineRule="auto"/>
        <w:ind w:firstLine="420" w:firstLineChars="0"/>
        <w:rPr>
          <w:rFonts w:hint="eastAsia" w:ascii="宋体" w:hAnsi="宋体" w:eastAsia="宋体" w:cs="宋体"/>
          <w:b w:val="0"/>
          <w:bCs w:val="0"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0000FF"/>
          <w:kern w:val="2"/>
          <w:sz w:val="24"/>
          <w:szCs w:val="24"/>
          <w:lang w:val="en-US" w:eastAsia="zh-CN" w:bidi="ar-SA"/>
        </w:rPr>
        <w:t>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 本轮记录覆盖74个服务节点、2类核心场景，阶段满意度约为89%，一般问题在15天内完成闭环。数据采集坚持必要、适度、可解释的原则，不收集与阅读服务无关的个人信息。</w:t>
      </w:r>
    </w:p>
    <w:p w14:paraId="36EBC6ED">
      <w:pPr>
        <w:spacing w:before="0" w:beforeLines="50" w:after="0" w:line="300" w:lineRule="auto"/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FF"/>
          <w:kern w:val="2"/>
          <w:sz w:val="24"/>
          <w:szCs w:val="24"/>
          <w:lang w:val="en-US" w:eastAsia="zh-CN" w:bidi="ar-SA"/>
        </w:rPr>
        <w:t>预算安排以运营稳定为先，优先保障人员值守、基础维护、图书更新、数字系统和安全巡检。</w:t>
      </w:r>
    </w:p>
    <w:p w14:paraId="06B4F3E4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beforeAutospacing="0" w:line="25" w:lineRule="atLeast"/>
        <w:jc w:val="left"/>
        <w:textAlignment w:val="auto"/>
        <w:rPr>
          <w:rFonts w:hint="default"/>
          <w:b w:val="0"/>
          <w:bCs w:val="0"/>
          <w:sz w:val="30"/>
          <w:szCs w:val="30"/>
          <w:lang w:val="en-US" w:eastAsia="zh-CN"/>
        </w:rPr>
      </w:pPr>
      <w:bookmarkStart w:id="8" w:name="_Toc6808"/>
      <w:r>
        <w:rPr>
          <w:rFonts w:hint="eastAsia"/>
          <w:b w:val="0"/>
          <w:bCs w:val="0"/>
          <w:sz w:val="30"/>
          <w:szCs w:val="30"/>
          <w:lang w:val="en-US" w:eastAsia="zh-CN"/>
        </w:rPr>
        <w:t>二、术语说明与工作边界</w:t>
      </w:r>
    </w:p>
    <w:p w14:paraId="39103300">
      <w:pPr>
        <w:spacing w:before="0" w:beforeLines="50" w:after="0" w:line="300" w:lineRule="auto"/>
        <w:ind w:firstLine="420" w:firstLineChars="0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本方案围绕公共书房的连续开放、活动排期、读者服务和空间维护展开，重点解决小型文化空间在日常管理中常见的排班不均、设备闲置、活动重复和服务反馈滞后等问题。通过统一的运营台账、分级服务包和月度复盘机制，各点位可以在保持本地特色的同时，形成可复制的管理标准。 本轮记录覆盖24个服务节点、4类核心场景，阶段满意度约为67%，一般问题在17天内完成闭环。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</w:t>
      </w:r>
    </w:p>
    <w:p w14:paraId="4E910193">
      <w:pPr>
        <w:pStyle w:val="3"/>
        <w:keepNext w:val="0"/>
        <w:keepLines w:val="0"/>
        <w:pageBreakBefore w:val="0"/>
        <w:widowControl w:val="0"/>
        <w:numPr>
          <w:ilvl w:val="2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beforeAutospacing="0" w:line="25" w:lineRule="atLeast"/>
        <w:ind w:left="0" w:leftChars="0" w:firstLine="403" w:firstLineChars="0"/>
        <w:textAlignment w:val="auto"/>
        <w:outlineLvl w:val="1"/>
        <w:rPr>
          <w:rFonts w:hint="eastAsia" w:eastAsia="黑体"/>
          <w:b w:val="0"/>
          <w:bCs w:val="0"/>
          <w:sz w:val="28"/>
          <w:szCs w:val="28"/>
          <w:lang w:val="en-US" w:eastAsia="zh-CN"/>
        </w:rPr>
      </w:pPr>
      <w:bookmarkStart w:id="9" w:name="_Toc9401"/>
      <w:r>
        <w:rPr>
          <w:rFonts w:hint="eastAsia" w:eastAsia="黑体"/>
          <w:b w:val="0"/>
          <w:bCs w:val="0"/>
          <w:sz w:val="28"/>
          <w:szCs w:val="28"/>
          <w:lang w:val="en-US" w:eastAsia="zh-CN"/>
        </w:rPr>
        <w:t>（一）公共书房、共享书架与活动微站的定义</w:t>
      </w:r>
      <w:bookmarkEnd w:id="9"/>
    </w:p>
    <w:p w14:paraId="4A8B64CF">
      <w:pPr>
        <w:spacing w:before="0" w:beforeLines="50" w:after="0" w:line="300" w:lineRule="auto"/>
        <w:ind w:firstLine="420" w:firstLineChars="0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调研记录显示，读者更关注安静座位、灯光舒适度、图书更新速度、活动预约便利性以及儿童阅读区的安全性。围绕这些高频需求，方案将服务内容拆分为基础阅读、亲子陪伴、社群活动、数字借阅和社区共创五个模块，便于后续按片区进行组合投放。 本轮记录覆盖31个服务节点、5类核心场景，阶段满意度约为70%，一般问题在7天内完成闭环。物资管理采用低库存、快补给原则。常用耗材按周盘点，活动材料按场次核销，设备维修按紧急程度分为即时处理、三日内处理和月度集中处理三类。这样既能减少浪费，也能避免因缺少小物件影响活动执行。本方案围绕公共书房的连续开放、活动排期、读者服务和空间维护展开，重点解决小型文化空间在日常管理中常见的排班不均、设备闲置、活动重复和服务反馈滞后等问题。</w:t>
      </w:r>
    </w:p>
    <w:p w14:paraId="5512B08D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beforeAutospacing="0" w:line="25" w:lineRule="atLeast"/>
        <w:jc w:val="left"/>
        <w:textAlignment w:val="auto"/>
        <w:rPr>
          <w:rFonts w:hint="eastAsia"/>
          <w:b w:val="0"/>
          <w:bCs w:val="0"/>
          <w:sz w:val="30"/>
          <w:szCs w:val="30"/>
          <w:lang w:val="en-US" w:eastAsia="zh-CN"/>
        </w:rPr>
      </w:pPr>
      <w:bookmarkStart w:id="10" w:name="_Toc30329"/>
      <w:r>
        <w:rPr>
          <w:rFonts w:hint="eastAsia"/>
          <w:b w:val="0"/>
          <w:bCs w:val="0"/>
          <w:sz w:val="30"/>
          <w:szCs w:val="30"/>
          <w:lang w:val="en-US" w:eastAsia="zh-CN"/>
        </w:rPr>
        <w:t>三、行业经验与本地实践参考</w:t>
      </w:r>
      <w:bookmarkEnd w:id="10"/>
    </w:p>
    <w:p w14:paraId="201C35EE">
      <w:pPr>
        <w:spacing w:before="0" w:beforeLines="50" w:after="0" w:line="300" w:lineRule="auto"/>
        <w:ind w:firstLine="420" w:firstLineChars="0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空间更新不追求一次性大改造，而采用轻量化迭代方式。优先处理入口识别、书架分区、插座补充、通风照明、导视牌和活动收纳等影响体验的基础环节，再根据客流变化逐步引入夜间阅读、主题书展、邻里讲读和手作课堂等内容。 本轮记录覆盖38个服务节点、6类核心场景，阶段满意度约为73%，一般问题在8天内完成闭环。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活动设计应避免单纯追求数量，重点关注读者是否愿意再次参加、是否产生持续阅读行为、是否带动家庭成员共同使用空间。每场活动结束后，馆员需记录参与人数、滞留时长、图书借阅转化和现场反馈，形成下一轮策划依据。物资管理采用低库存、快补给原则。常用耗材按周盘点，活动材料按场次核销，设备维修按紧急程度分为即时处理、三日内处理和月度集中处理三类。这样既能减少浪费，也能避免因缺少小物件影响活动执行。本方案围绕公共书房的连续开放、活动排期、读者服务和空间维护展开，重点解决小型文化空间在日常管理中常见的排班不均、设备闲置、活动重复和服务反馈滞后等问题。通过统一的运营台账、分级服务包和月度复盘机制，各点位可以在保持本地特色的同时，形成可复制的管理标准。物资管理采用低库存、快补给原则。</w:t>
      </w:r>
    </w:p>
    <w:p w14:paraId="24CB6D01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beforeAutospacing="0" w:line="25" w:lineRule="atLeast"/>
        <w:jc w:val="left"/>
        <w:textAlignment w:val="auto"/>
        <w:rPr>
          <w:rFonts w:hint="eastAsia"/>
          <w:b w:val="0"/>
          <w:bCs w:val="0"/>
          <w:sz w:val="30"/>
          <w:szCs w:val="30"/>
          <w:lang w:val="en-US" w:eastAsia="zh-CN"/>
        </w:rPr>
      </w:pPr>
      <w:bookmarkStart w:id="11" w:name="_Toc28884"/>
      <w:r>
        <w:rPr>
          <w:rFonts w:hint="eastAsia"/>
          <w:b w:val="0"/>
          <w:bCs w:val="0"/>
          <w:sz w:val="30"/>
          <w:szCs w:val="30"/>
          <w:lang w:val="en-US" w:eastAsia="zh-CN"/>
        </w:rPr>
        <w:t>四、邻里阅读空间的运营模式</w:t>
      </w:r>
      <w:bookmarkEnd w:id="11"/>
    </w:p>
    <w:p w14:paraId="64FF1B39">
      <w:pPr>
        <w:pStyle w:val="3"/>
        <w:keepNext w:val="0"/>
        <w:keepLines w:val="0"/>
        <w:pageBreakBefore w:val="0"/>
        <w:widowControl w:val="0"/>
        <w:numPr>
          <w:ilvl w:val="2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beforeAutospacing="0" w:line="25" w:lineRule="atLeast"/>
        <w:ind w:left="0" w:leftChars="0" w:firstLine="403" w:firstLineChars="0"/>
        <w:textAlignment w:val="auto"/>
        <w:outlineLvl w:val="1"/>
        <w:rPr>
          <w:rFonts w:hint="eastAsia" w:eastAsia="黑体"/>
          <w:b w:val="0"/>
          <w:bCs w:val="0"/>
          <w:sz w:val="28"/>
          <w:szCs w:val="28"/>
          <w:lang w:val="en-US" w:eastAsia="zh-CN"/>
        </w:rPr>
      </w:pPr>
      <w:bookmarkStart w:id="12" w:name="_Toc4254"/>
      <w:r>
        <w:rPr>
          <w:rFonts w:hint="eastAsia"/>
          <w:b w:val="0"/>
          <w:bCs w:val="0"/>
          <w:sz w:val="28"/>
          <w:szCs w:val="28"/>
          <w:lang w:val="en-US" w:eastAsia="zh-CN"/>
        </w:rPr>
        <w:t>（一）</w:t>
      </w:r>
      <w:r>
        <w:rPr>
          <w:rFonts w:hint="eastAsia" w:eastAsia="黑体"/>
          <w:b w:val="0"/>
          <w:bCs w:val="0"/>
          <w:sz w:val="28"/>
          <w:szCs w:val="28"/>
          <w:lang w:val="en-US" w:eastAsia="zh-CN"/>
        </w:rPr>
        <w:t>夜间文化服务与亲子活动研究</w:t>
      </w:r>
      <w:bookmarkEnd w:id="12"/>
    </w:p>
    <w:p w14:paraId="7BD64A82">
      <w:pPr>
        <w:pStyle w:val="8"/>
        <w:spacing w:beforeLines="50" w:after="0" w:line="300" w:lineRule="auto"/>
        <w:ind w:firstLine="420" w:firstLineChars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</w:t>
      </w:r>
    </w:p>
    <w:p w14:paraId="609AA5C8">
      <w:pPr>
        <w:pStyle w:val="8"/>
        <w:spacing w:beforeLines="50" w:after="0" w:line="300" w:lineRule="auto"/>
        <w:ind w:firstLine="420" w:firstLineChars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</w:t>
      </w:r>
    </w:p>
    <w:p w14:paraId="6AA5012C">
      <w:pPr>
        <w:pStyle w:val="8"/>
        <w:spacing w:beforeLines="50" w:after="0" w:line="300" w:lineRule="auto"/>
        <w:ind w:firstLine="420" w:firstLineChars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为提升服务的真实可达性，方案建议在社区公告栏、学校门口、商街转角和线上小程序同步发布开放时间、活动日历与预约规则。导视信息应使用简洁文字和统一图标，让首次到访者能够快速找到入口、还书点、亲子区和安静阅读区。 本轮记录覆盖59个服务节点、9类核心场景，阶段满意度约为82%，一般问题在11天内完成闭环。</w:t>
      </w:r>
    </w:p>
    <w:p w14:paraId="03AF122D">
      <w:pPr>
        <w:pStyle w:val="8"/>
        <w:spacing w:beforeLines="50" w:after="0" w:line="300" w:lineRule="auto"/>
        <w:ind w:firstLine="420" w:firstLineChars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活动设计应避免单纯追求数量，重点关注读者是否愿意再次参加、是否产生持续阅读行为、是否带动家庭成员共同使用空间。每场活动结束后，馆员需记录参与人数、滞留时长、图书借阅转化和现场反馈，形成下一轮策划依据。 本轮记录覆盖66个服务节点、2类核心场景，阶段满意度约为85%，一般问题在12天内完成闭环。物资管理采用低库存、快补给原则。常用耗材按周盘点，活动材料按场次核销，设备维修按紧急程度分为即时处理、三日内处理和月度集中处理三类。这样既能减少浪费，也能避免因缺少小物件影响活动执行。</w:t>
      </w:r>
    </w:p>
    <w:p w14:paraId="69520C5E">
      <w:pPr>
        <w:pStyle w:val="8"/>
        <w:spacing w:beforeLines="50" w:after="0" w:line="300" w:lineRule="auto"/>
        <w:ind w:firstLine="420" w:firstLineChars="0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物资管理采用低库存、快补给原则。常用耗材按周盘点，活动材料按场次核销，设备维修按紧急程度分为即时处理、三日内处理和月度集中处理三类。这样既能减少浪费，也能避免因缺少小物件影响活动执行。</w:t>
      </w:r>
    </w:p>
    <w:p w14:paraId="0BF5C514">
      <w:pPr>
        <w:numPr>
          <w:ilvl w:val="0"/>
          <w:numId w:val="0"/>
        </w:numPr>
        <w:spacing w:before="0" w:beforeLines="50" w:after="0" w:line="30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471795" cy="6669405"/>
            <wp:effectExtent l="0" t="0" r="14605" b="5715"/>
            <wp:docPr id="11" name="图片 11" descr="1773564542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7735645425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666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1319">
      <w:pPr>
        <w:numPr>
          <w:ilvl w:val="0"/>
          <w:numId w:val="0"/>
        </w:numPr>
        <w:spacing w:before="0" w:beforeLines="50" w:after="0" w:line="300" w:lineRule="auto"/>
        <w:jc w:val="center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图 1 公共书房功能分区关系图</w:t>
      </w:r>
    </w:p>
    <w:p w14:paraId="20EDC146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beforeAutospacing="0" w:line="25" w:lineRule="atLeast"/>
        <w:jc w:val="left"/>
        <w:textAlignment w:val="auto"/>
        <w:rPr>
          <w:rFonts w:hint="default"/>
          <w:b w:val="0"/>
          <w:bCs w:val="0"/>
          <w:sz w:val="30"/>
          <w:szCs w:val="30"/>
          <w:lang w:val="en-US" w:eastAsia="zh-CN"/>
        </w:rPr>
      </w:pPr>
      <w:bookmarkStart w:id="13" w:name="_Toc11162"/>
      <w:r>
        <w:rPr>
          <w:rFonts w:hint="eastAsia"/>
          <w:b w:val="0"/>
          <w:bCs w:val="0"/>
          <w:sz w:val="30"/>
          <w:szCs w:val="30"/>
          <w:lang w:val="en-US" w:eastAsia="zh-CN"/>
        </w:rPr>
        <w:t>五、总体工作思路</w:t>
      </w:r>
      <w:bookmarkEnd w:id="13"/>
    </w:p>
    <w:p w14:paraId="62693ABA">
      <w:pPr>
        <w:pStyle w:val="8"/>
        <w:spacing w:beforeLines="50" w:after="0" w:line="300" w:lineRule="auto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</w:t>
      </w:r>
    </w:p>
    <w:p w14:paraId="2F0C38F3">
      <w:pPr>
        <w:pStyle w:val="3"/>
        <w:keepNext w:val="0"/>
        <w:keepLines w:val="0"/>
        <w:pageBreakBefore w:val="0"/>
        <w:widowControl w:val="0"/>
        <w:numPr>
          <w:ilvl w:val="2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beforeAutospacing="0" w:line="25" w:lineRule="atLeast"/>
        <w:ind w:left="0" w:leftChars="0" w:firstLine="403" w:firstLineChars="0"/>
        <w:textAlignment w:val="auto"/>
        <w:outlineLvl w:val="1"/>
        <w:rPr>
          <w:rFonts w:hint="eastAsia"/>
          <w:b w:val="0"/>
          <w:bCs w:val="0"/>
          <w:sz w:val="28"/>
          <w:szCs w:val="28"/>
          <w:lang w:val="en-US" w:eastAsia="zh-CN"/>
        </w:rPr>
      </w:pPr>
      <w:bookmarkStart w:id="14" w:name="_Toc14028"/>
      <w:r>
        <w:rPr>
          <w:rFonts w:hint="eastAsia"/>
          <w:b w:val="0"/>
          <w:bCs w:val="0"/>
          <w:sz w:val="28"/>
          <w:szCs w:val="28"/>
          <w:lang w:val="en-US" w:eastAsia="zh-CN"/>
        </w:rPr>
        <w:t>（一）空间盘点、需求访谈、模块设计与试运营复盘</w:t>
      </w:r>
      <w:bookmarkEnd w:id="14"/>
    </w:p>
    <w:p w14:paraId="5535306D">
      <w:pPr>
        <w:pStyle w:val="8"/>
        <w:spacing w:beforeLines="50" w:after="0" w:line="300" w:lineRule="auto"/>
        <w:ind w:firstLine="420" w:firstLineChars="0"/>
        <w:rPr>
          <w:rFonts w:ascii="宋体" w:hAnsi="宋体" w:eastAsia="宋体" w:cs="宋体"/>
          <w:color w:val="0000FF"/>
          <w:sz w:val="24"/>
          <w:szCs w:val="24"/>
        </w:rPr>
      </w:pPr>
      <w:r>
        <w:rPr>
          <w:rFonts w:ascii="宋体" w:hAnsi="宋体" w:eastAsia="宋体" w:cs="宋体"/>
          <w:color w:val="0000FF"/>
          <w:sz w:val="24"/>
          <w:szCs w:val="24"/>
        </w:rPr>
        <w:t>预算安排以运营稳定为先，优先保障人员值守、基础维护、图书更新、数字系统和安全巡检。装饰性投入需要与实际使用频次挂钩，低使用率区域应先通过活动导入和动线调整验证需求，再决定是否投入固定设施。 本轮记录覆盖23个服务节点、5类核心场景，阶段满意度约为66%，一般问题在15天内完成闭环。</w:t>
      </w:r>
    </w:p>
    <w:p w14:paraId="38CDC6DA">
      <w:pPr>
        <w:pStyle w:val="3"/>
        <w:keepNext w:val="0"/>
        <w:keepLines w:val="0"/>
        <w:pageBreakBefore w:val="0"/>
        <w:widowControl w:val="0"/>
        <w:numPr>
          <w:ilvl w:val="2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beforeAutospacing="0" w:line="25" w:lineRule="atLeast"/>
        <w:ind w:left="0" w:leftChars="0" w:firstLine="403" w:firstLineChars="0"/>
        <w:textAlignment w:val="auto"/>
        <w:outlineLvl w:val="1"/>
        <w:rPr>
          <w:rFonts w:hint="eastAsia"/>
          <w:b w:val="0"/>
          <w:bCs w:val="0"/>
          <w:sz w:val="28"/>
          <w:szCs w:val="28"/>
          <w:lang w:val="en-US" w:eastAsia="zh-CN"/>
        </w:rPr>
      </w:pPr>
      <w:bookmarkStart w:id="15" w:name="_Toc24376"/>
      <w:r>
        <w:rPr>
          <w:rFonts w:hint="eastAsia"/>
          <w:b w:val="0"/>
          <w:bCs w:val="0"/>
          <w:sz w:val="28"/>
          <w:szCs w:val="28"/>
          <w:lang w:val="en-US" w:eastAsia="zh-CN"/>
        </w:rPr>
        <w:t>（二）运营方法</w:t>
      </w:r>
      <w:bookmarkEnd w:id="15"/>
    </w:p>
    <w:p w14:paraId="39983EB8">
      <w:pPr>
        <w:pStyle w:val="8"/>
        <w:spacing w:beforeLines="50" w:after="0" w:line="300" w:lineRule="auto"/>
        <w:ind w:firstLine="420" w:firstLineChars="0"/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本方案围绕公共书房的连续开放、活动排期、读者服务和空间维护展开，重点解决小型文化空间在日常管理中常见的排班不均、设备闲置、活动重复和服务反馈滞后等问题。通过统一的运营台账、分级服务包和月度复盘机制，各点位可以在保持本地特色的同时，形成可复制的管理标准。 本轮记录覆盖30个服务节点、6类核心场景，阶段满意度约为69%，一般问题在16天内完成闭环。运营团队将每日开闭馆、借阅登记、场地巡检、活动签到、物资补充和意见反馈纳入同一张工作清单。</w:t>
      </w:r>
    </w:p>
    <w:p w14:paraId="00A63B9B">
      <w:pPr>
        <w:pStyle w:val="8"/>
        <w:spacing w:beforeLines="50" w:after="0" w:line="300" w:lineRule="auto"/>
        <w:ind w:firstLine="420" w:firstLineChars="0"/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bookmarkStart w:id="16" w:name="_Toc11424"/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1．现场踏勘与资产清查</w:t>
      </w:r>
      <w:bookmarkEnd w:id="16"/>
    </w:p>
    <w:p w14:paraId="0E5A19AD">
      <w:pPr>
        <w:pStyle w:val="8"/>
        <w:spacing w:beforeLines="50" w:after="0" w:line="300" w:lineRule="auto"/>
        <w:ind w:firstLine="420" w:firstLineChars="0"/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bookmarkStart w:id="17" w:name="_Toc16980"/>
      <w:r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2．读者访谈与社群共创。调研记录显示，读者更关注安静座位、灯光舒适度、图书更新速度、活动预约便利性以及儿童阅读区的安全性。</w:t>
      </w:r>
      <w:bookmarkEnd w:id="17"/>
    </w:p>
    <w:p w14:paraId="6BC52A10">
      <w:pPr>
        <w:pStyle w:val="8"/>
        <w:spacing w:beforeLines="50" w:after="0" w:line="300" w:lineRule="auto"/>
        <w:ind w:firstLine="420" w:firstLineChars="0"/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bookmarkStart w:id="18" w:name="_Toc20896"/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3．客流统计与动线观察</w:t>
      </w:r>
      <w:bookmarkEnd w:id="18"/>
    </w:p>
    <w:p w14:paraId="331C5293">
      <w:pPr>
        <w:pStyle w:val="8"/>
        <w:spacing w:beforeLines="50" w:after="0" w:line="300" w:lineRule="auto"/>
        <w:ind w:firstLine="420" w:firstLineChars="0"/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bookmarkStart w:id="19" w:name="_Toc5103"/>
      <w:r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4．服务质量评估。空间更新不追求一次性大改造，而采用轻量化迭代方式。优先处理入口识别、书架分区、插座补充、通风照明、导视牌和活动收纳等影响体验的基础环节，再根据客流变化逐步引入夜间阅读、主题书展、邻里讲读和手作课堂等内容。 本轮记录覆盖44个服务节点、8类核心场景，阶段满意度约为75%，一般问题在7天内完成闭环。志愿者参与以轻任务为主，包括书架整理、活动引导、亲子阅读陪伴、旧书交换登记和社区故事收集。</w:t>
      </w:r>
      <w:bookmarkEnd w:id="19"/>
    </w:p>
    <w:p w14:paraId="652A10EF">
      <w:pPr>
        <w:pStyle w:val="8"/>
        <w:spacing w:beforeLines="50" w:after="0" w:line="300" w:lineRule="auto"/>
        <w:ind w:firstLine="420" w:firstLineChars="0"/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bookmarkStart w:id="20" w:name="_Toc6170"/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5．情境化活动测试</w:t>
      </w:r>
      <w:bookmarkEnd w:id="20"/>
    </w:p>
    <w:p w14:paraId="4949A0B2">
      <w:pPr>
        <w:pStyle w:val="8"/>
        <w:spacing w:beforeLines="50" w:after="0" w:line="300" w:lineRule="auto"/>
        <w:ind w:firstLine="420" w:firstLineChars="0"/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bookmarkStart w:id="21" w:name="_Toc5957"/>
      <w:r>
        <w:rPr>
          <w:rFonts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五、规划创新点。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 本轮记录覆盖51个服务节点、9类核心场景，阶段满意度约为78%，一般问题在8天内完成闭环。物资管理采用低库存、快补给原则。</w:t>
      </w:r>
      <w:bookmarkEnd w:id="21"/>
    </w:p>
    <w:bookmarkEnd w:id="8"/>
    <w:p w14:paraId="782654D5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beforeAutospacing="0" w:line="25" w:lineRule="atLeast"/>
        <w:jc w:val="left"/>
        <w:textAlignment w:val="auto"/>
        <w:rPr>
          <w:rFonts w:hint="eastAsia"/>
          <w:b w:val="0"/>
          <w:bCs w:val="0"/>
          <w:sz w:val="30"/>
          <w:szCs w:val="30"/>
          <w:lang w:val="en-US" w:eastAsia="zh-CN"/>
        </w:rPr>
      </w:pPr>
      <w:bookmarkStart w:id="22" w:name="_Toc28653"/>
      <w:r>
        <w:rPr>
          <w:rFonts w:hint="eastAsia"/>
          <w:b w:val="0"/>
          <w:bCs w:val="0"/>
          <w:sz w:val="30"/>
          <w:szCs w:val="30"/>
          <w:lang w:val="en-US" w:eastAsia="zh-CN"/>
        </w:rPr>
        <w:t>六、从单点开放转向网络化协同</w:t>
      </w:r>
      <w:bookmarkEnd w:id="22"/>
    </w:p>
    <w:p w14:paraId="09D7862D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beforeAutospacing="0" w:line="25" w:lineRule="atLeast"/>
        <w:textAlignment w:val="auto"/>
        <w:outlineLvl w:val="1"/>
        <w:rPr>
          <w:rFonts w:hint="eastAsia" w:eastAsia="黑体"/>
          <w:b w:val="0"/>
          <w:bCs w:val="0"/>
          <w:sz w:val="28"/>
          <w:szCs w:val="28"/>
          <w:lang w:val="zh-CN" w:eastAsia="zh-CN"/>
        </w:rPr>
      </w:pPr>
      <w:bookmarkStart w:id="23" w:name="_Toc11481"/>
      <w:r>
        <w:rPr>
          <w:rFonts w:hint="eastAsia" w:eastAsia="黑体"/>
          <w:b w:val="0"/>
          <w:bCs w:val="0"/>
          <w:sz w:val="28"/>
          <w:szCs w:val="28"/>
          <w:lang w:val="zh-CN" w:eastAsia="zh-CN"/>
        </w:rPr>
        <w:t>（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一</w:t>
      </w:r>
      <w:r>
        <w:rPr>
          <w:rFonts w:hint="eastAsia" w:eastAsia="黑体"/>
          <w:b w:val="0"/>
          <w:bCs w:val="0"/>
          <w:sz w:val="28"/>
          <w:szCs w:val="28"/>
          <w:lang w:val="zh-CN" w:eastAsia="zh-CN"/>
        </w:rPr>
        <w:t>）从人工经验转向数据驱动排班</w:t>
      </w:r>
      <w:bookmarkEnd w:id="23"/>
    </w:p>
    <w:p w14:paraId="042F1401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20" w:firstLineChars="0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 本轮记录覆盖58个服务节点、2类核心场景，阶段满意度约为81%，一般问题在9天内完成闭环。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为提升服务的真实可达性，方案建议在社区公告栏、学校门口、商街转角和线上小程序同步发布开放时间、活动日历与预约规则。导视信息应使用简洁文字和统一图标，让首次到访者能够快速找到入口、还书点、亲子区和安静阅读区。</w:t>
      </w:r>
    </w:p>
    <w:p w14:paraId="20DDE4AD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80" w:firstLineChars="200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一、调研目标</w:t>
      </w:r>
    </w:p>
    <w:p w14:paraId="0B50D4D6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20" w:firstLineChars="0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为提升服务的真实可达性，方案建议在社区公告栏、学校门口、商街转角和线上小程序同步发布开放时间、活动日历与预约规则。导视信息应使用简洁文字和统一图标，让首次到访者能够快速找到入口、还书点、亲子区和安静阅读区。 本轮记录覆盖65个服务节点、3类核心场景，阶段满意度约为84%，一般问题在10天内完成闭环。本方案围绕公共书房的连续开放、活动排期、读者服务和空间维护展开</w:t>
      </w:r>
      <w:bookmarkStart w:id="24" w:name="_Toc24408"/>
    </w:p>
    <w:p w14:paraId="673EE6DF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80" w:firstLineChars="200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zh-CN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二、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zh-CN" w:eastAsia="zh-CN" w:bidi="ar-SA"/>
        </w:rPr>
        <w:t>调研对象与范围</w:t>
      </w:r>
      <w:bookmarkEnd w:id="24"/>
    </w:p>
    <w:p w14:paraId="647808B3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80" w:firstLineChars="200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活动设计应避免单纯追求数量，重点关注读者是否愿意再次参加、是否产生持续阅读行为、是否带动家庭成员共同使用空间。每场活动结束后，馆员需记录参与人数、滞留时长、图书借阅转化和现场反馈，形成下一轮策划依据。 本轮记录覆盖72个服务节点、4类核心场景，阶段满意度约为87%，一般问题在11天内完成闭环。物资管理采用低库存、快补给原则。常用耗材按周盘点，活动材料按场次核销，设备维修按紧急程度分为即时处理、三日内处理和月度集中处理三类。这样既能减少浪费，也能避免因缺少小物件影响活动执行。</w:t>
      </w:r>
    </w:p>
    <w:p w14:paraId="6E526FD0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80" w:firstLineChars="200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zh-CN" w:eastAsia="zh-CN" w:bidi="ar-SA"/>
        </w:rPr>
      </w:pPr>
      <w:bookmarkStart w:id="25" w:name="_Toc27650"/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三、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zh-CN" w:eastAsia="zh-CN" w:bidi="ar-SA"/>
        </w:rPr>
        <w:t>目标空间选择</w:t>
      </w:r>
      <w:bookmarkEnd w:id="25"/>
    </w:p>
    <w:p w14:paraId="6CB09A27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20" w:firstLineChars="0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物资管理采用低库存、快补给原则。常用耗材按周盘点，活动材料按场次核销，设备维修按紧急程度分为即时处理、三日内处理和月度集中处理三类。这样既能减少浪费，也能避免因缺少小物件影响活动执行。 本轮记录覆盖79个服务节点、5类核心场景，阶段满意度约为90%，一般问题在12天内完成闭环。预算安排以运营稳定为先，优先保障人员值守、基础维护、图书更新、数字系统和安全巡检。装饰性投入需要与实际使用频次挂钩，低使用率区域应先通过活动导入和动线调整验证需求，再决定是否投入固定设施。数据采集坚持必要、适度、可解释的原则，不收集与阅读服务无关的个人信息。</w:t>
      </w:r>
      <w:bookmarkStart w:id="26" w:name="_Toc4353"/>
    </w:p>
    <w:p w14:paraId="202286F0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80" w:firstLineChars="200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1. 社区型书房</w:t>
      </w:r>
      <w:bookmarkEnd w:id="26"/>
    </w:p>
    <w:p w14:paraId="7DE88C5B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80" w:firstLineChars="200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 本轮记录覆盖22个服务节点、6类核心场景，阶段满意度约为65%，一般问题在13天内完成闭环。数据采集坚持必要、适度、可解释的原则，不收集与阅读服务无关的个人信息。</w:t>
      </w:r>
    </w:p>
    <w:p w14:paraId="3ED0DBD9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80" w:firstLineChars="200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2. 商街型书房</w:t>
      </w:r>
    </w:p>
    <w:p w14:paraId="0BDE07D2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80" w:firstLineChars="200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预算安排以运营稳定为先，优先保障人员值守、基础维护、图书更新、数字系统和安全巡检。装饰性投入需要与实际使用频次挂钩，低使用率区域应先通过活动导入和动线调整验证需求，再决定是否投入固定设施。 本轮记录覆盖29个服务节点、7类核心场景，阶段满意度约为68%，一般问题在14天内完成闭环。调研记录显示，读者更关注安静座位、灯光舒适度、图书更新速度、活动预约便利性以及儿童阅读区的安全性。</w:t>
      </w:r>
    </w:p>
    <w:p w14:paraId="5651C5DA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80" w:firstLineChars="200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bookmarkStart w:id="27" w:name="_Toc17962"/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四、调研方式</w:t>
      </w:r>
      <w:bookmarkEnd w:id="27"/>
    </w:p>
    <w:p w14:paraId="63E543BC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20" w:firstLineChars="0"/>
      </w:pPr>
      <w:r>
        <w:t>本方案围绕公共书房的连续开放、活动排期、读者服务和空间维护展开，重点解决小型文化空间在日常管理中常见的排班不均、设备闲置、活动重复和服务反馈滞后等问题。</w:t>
      </w:r>
    </w:p>
    <w:p w14:paraId="0E5D271C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20" w:firstLineChars="0"/>
      </w:pPr>
      <w:r>
        <w:t>调研记录显示，读者更关注安静座位、灯光舒适度、图书更新速</w:t>
      </w:r>
    </w:p>
    <w:p w14:paraId="2CB5F981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20" w:firstLineChars="0"/>
      </w:pPr>
      <w:r>
        <w:rPr>
          <w:rFonts w:hint="eastAsia"/>
          <w:lang w:val="en-US" w:eastAsia="zh-CN"/>
        </w:rPr>
        <w:t>1</w:t>
      </w:r>
      <w:r>
        <w:t>、试运营前测</w:t>
      </w:r>
    </w:p>
    <w:p w14:paraId="62206260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20" w:firstLineChars="0"/>
      </w:pPr>
      <w:r>
        <w:t>空间更新不追求一次性大改造，而采用轻量化迭代方式。优先处理入口识别、书架分区、插座补充、通风照明、导视牌和活动收纳等影响体验的基础环节，再根据客流变化逐步引入夜间阅读、主题书展、邻里讲读和手作课堂等内容。</w:t>
      </w:r>
    </w:p>
    <w:p w14:paraId="37B10CB8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20" w:firstLineChars="0"/>
      </w:pPr>
      <w:r>
        <w:rPr>
          <w:rFonts w:hint="eastAsia"/>
          <w:lang w:val="en-US" w:eastAsia="zh-CN"/>
        </w:rPr>
        <w:t>2、</w:t>
      </w:r>
      <w:r>
        <w:t>实施过程</w:t>
      </w:r>
    </w:p>
    <w:p w14:paraId="7720BF69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20" w:firstLineChars="0"/>
      </w:pPr>
      <w:r>
        <w:t>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</w:t>
      </w:r>
    </w:p>
    <w:p w14:paraId="27D4C507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20" w:firstLineChars="0"/>
      </w:pPr>
      <w:r>
        <w:rPr>
          <w:rFonts w:hint="eastAsia"/>
          <w:lang w:val="en-US" w:eastAsia="zh-CN"/>
        </w:rPr>
        <w:t>3、</w:t>
      </w:r>
      <w:r>
        <w:t>前测作用</w:t>
      </w:r>
    </w:p>
    <w:p w14:paraId="725C5F97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20" w:firstLineChars="0"/>
      </w:pPr>
      <w:r>
        <w:t>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</w:t>
      </w:r>
    </w:p>
    <w:p w14:paraId="6F207005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20" w:firstLineChars="0"/>
      </w:pPr>
      <w:r>
        <w:t>为提升服务的真实可达性，方案建议在社区公告栏、学校门口、商街转角和线上小程序同步发布开放时间、活动日历与预约规则。</w:t>
      </w:r>
    </w:p>
    <w:p w14:paraId="3B2075CC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80" w:firstLineChars="200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bookmarkStart w:id="28" w:name="_Toc4377"/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五、数据整理</w:t>
      </w:r>
      <w:bookmarkEnd w:id="28"/>
    </w:p>
    <w:p w14:paraId="588629F8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20" w:firstLineChars="0"/>
        <w:rPr>
          <w:color w:val="0000FF"/>
        </w:rPr>
      </w:pPr>
      <w:r>
        <w:rPr>
          <w:color w:val="0000FF"/>
        </w:rPr>
        <w:t>活动设计应避免单纯追求数量，重点关注读者是否愿意再次参加、是否产生持续阅读行为、是否带动家庭成员共同使用空间。每场活动结束后，馆员需记录参与人数、滞留时长、图书借阅转化和现场反馈，形成下一轮策划依据。 本轮记录覆盖78个服务节点、6类核心场景，阶段满意度约为89%，一般问题在10天内完成闭环。物资管理采用低库存、快补给原则。常用耗材按周盘点，活动材料按场次核销，设备维修按紧急程度分为即时处理、三日内处理和月度集中处理三类。这样既能减少浪费，也能避免因缺少小物件影响活动执行。</w:t>
      </w:r>
    </w:p>
    <w:p w14:paraId="21818E97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20" w:firstLineChars="0"/>
        <w:rPr>
          <w:color w:val="0000FF"/>
        </w:rPr>
      </w:pPr>
      <w:r>
        <w:rPr>
          <w:rFonts w:hint="eastAsia"/>
          <w:color w:val="0000FF"/>
          <w:lang w:val="en-US" w:eastAsia="zh-CN"/>
        </w:rPr>
        <w:t>1. 记录清洗</w:t>
      </w:r>
    </w:p>
    <w:p w14:paraId="0A0B8EBD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20" w:firstLineChars="0"/>
        <w:rPr>
          <w:rFonts w:hint="eastAsia" w:ascii="Calibri" w:hAnsi="Calibri" w:eastAsia="黑体" w:cstheme="minorBidi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color w:val="0000FF"/>
        </w:rPr>
        <w:t>物资管理采用低库存、快补给原则。常用耗材按周盘点，活动材料按场次核销，设备维修按紧急程度分为即时处理、三日内处理和月度集中处理三类。这样既能减少浪费，也能避免因缺少小物件影响活动执行。 本轮记录覆盖21个服务节点、7类核心场景，阶段满意度约为92%，一般问题在11天内完成闭环。</w:t>
      </w:r>
      <w:bookmarkStart w:id="29" w:name="_Toc4957"/>
    </w:p>
    <w:bookmarkEnd w:id="29"/>
    <w:p w14:paraId="730CA65C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20" w:firstLineChars="0"/>
        <w:rPr>
          <w:rFonts w:hint="eastAsia"/>
          <w:color w:val="auto"/>
          <w:lang w:val="en-US" w:eastAsia="zh-CN"/>
        </w:rPr>
      </w:pPr>
      <w:bookmarkStart w:id="30" w:name="_Toc6104"/>
      <w:r>
        <w:rPr>
          <w:rFonts w:hint="eastAsia"/>
          <w:color w:val="auto"/>
          <w:lang w:val="en-US" w:eastAsia="zh-CN"/>
        </w:rPr>
        <w:t>2.可靠性核验</w:t>
      </w:r>
    </w:p>
    <w:p w14:paraId="391156AD">
      <w:pPr>
        <w:widowControl/>
        <w:spacing w:before="0" w:beforeLines="50" w:after="0" w:line="300" w:lineRule="auto"/>
        <w:ind w:firstLine="480" w:firstLineChars="200"/>
        <w:jc w:val="left"/>
        <w:rPr>
          <w:rFonts w:ascii="宋体" w:hAnsi="宋体" w:eastAsia="宋体" w:cs="宋体"/>
          <w:kern w:val="0"/>
          <w:sz w:val="24"/>
          <w:lang w:bidi="ar"/>
        </w:rPr>
      </w:pPr>
      <w:r>
        <w:rPr>
          <w:rFonts w:hint="eastAsia" w:ascii="宋体" w:hAnsi="宋体" w:eastAsia="宋体" w:cs="宋体"/>
          <w:kern w:val="0"/>
          <w:sz w:val="24"/>
          <w:lang w:bidi="ar"/>
        </w:rPr>
        <w:t>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 本轮记录覆盖28个服务节点、8类核心场景，阶段满意度约为67%，一般问题在12天内完成闭环。</w:t>
      </w:r>
    </w:p>
    <w:p w14:paraId="5157944C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80" w:firstLineChars="200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六、方案调整</w:t>
      </w:r>
    </w:p>
    <w:p w14:paraId="2C8584A1">
      <w:pPr>
        <w:widowControl/>
        <w:spacing w:before="0" w:beforeLines="50" w:after="0" w:line="300" w:lineRule="auto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lang w:bidi="ar"/>
        </w:rPr>
      </w:pPr>
      <w:r>
        <w:rPr>
          <w:rFonts w:hint="eastAsia" w:ascii="宋体" w:hAnsi="宋体" w:eastAsia="宋体" w:cs="宋体"/>
          <w:kern w:val="0"/>
          <w:sz w:val="24"/>
          <w:lang w:bidi="ar"/>
        </w:rPr>
        <w:t>预算安排以运营稳定为先，优先保障人员值守、基础维护、图书更新、数字系统和安全巡检。</w:t>
      </w:r>
    </w:p>
    <w:p w14:paraId="460B5AC5">
      <w:pPr>
        <w:widowControl/>
        <w:spacing w:before="0" w:beforeLines="50" w:after="0" w:line="300" w:lineRule="auto"/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lang w:bidi="ar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 w:bidi="ar"/>
        </w:rPr>
        <w:t>1、空间类型划分：本方案围绕公共书房的连续开放、活动排期、读者服务和空间维护展开，</w:t>
      </w:r>
    </w:p>
    <w:p w14:paraId="464CA834">
      <w:pPr>
        <w:widowControl/>
        <w:spacing w:before="0" w:beforeLines="50" w:after="0" w:line="300" w:lineRule="auto"/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lang w:bidi="ar"/>
        </w:rPr>
      </w:pPr>
      <w:r>
        <w:rPr>
          <w:rFonts w:hint="eastAsia" w:ascii="宋体" w:hAnsi="宋体" w:eastAsia="宋体" w:cs="宋体"/>
          <w:kern w:val="0"/>
          <w:sz w:val="24"/>
          <w:lang w:val="en-US" w:eastAsia="zh-CN" w:bidi="ar"/>
        </w:rPr>
        <w:t>2、样本点选择说明：调研记录显示，读者更关注安静座位、灯光舒适度、图书更新速度、活动预约便利性以及儿童阅读区的安全性。</w:t>
      </w:r>
    </w:p>
    <w:p w14:paraId="4FB210C1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beforeAutospacing="0" w:line="25" w:lineRule="atLeast"/>
        <w:ind w:left="0" w:leftChars="0" w:firstLine="601" w:firstLineChars="0"/>
        <w:jc w:val="left"/>
        <w:textAlignment w:val="auto"/>
        <w:outlineLvl w:val="1"/>
        <w:rPr>
          <w:rFonts w:hint="eastAsia" w:ascii="Calibri" w:hAnsi="Calibri" w:cstheme="minorBidi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ascii="Calibri" w:hAnsi="Calibri" w:cstheme="minorBidi"/>
          <w:b w:val="0"/>
          <w:bCs w:val="0"/>
          <w:kern w:val="2"/>
          <w:sz w:val="28"/>
          <w:szCs w:val="28"/>
          <w:lang w:val="en-US" w:eastAsia="zh-CN" w:bidi="ar-SA"/>
        </w:rPr>
        <w:t>（二）数据收集方式</w:t>
      </w:r>
    </w:p>
    <w:p w14:paraId="29B9B3FC">
      <w:pPr>
        <w:pStyle w:val="4"/>
        <w:pageBreakBefore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64" w:beforeLines="50" w:beforeAutospacing="0" w:line="25" w:lineRule="atLeast"/>
        <w:ind w:left="-2" w:leftChars="0" w:firstLine="400" w:firstLineChars="0"/>
        <w:textAlignment w:val="auto"/>
        <w:rPr>
          <w:rFonts w:hint="eastAsia" w:ascii="宋体" w:hAnsi="宋体" w:eastAsia="宋体" w:cs="宋体"/>
          <w:b/>
          <w:bCs/>
          <w:spacing w:val="-1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pacing w:val="-10"/>
          <w:kern w:val="2"/>
          <w:sz w:val="24"/>
          <w:szCs w:val="24"/>
          <w:lang w:val="en-US" w:eastAsia="zh-CN" w:bidi="ar-SA"/>
        </w:rPr>
        <w:t>1</w:t>
      </w:r>
      <w:r>
        <w:rPr>
          <w:rFonts w:hint="eastAsia" w:ascii="宋体" w:hAnsi="宋体" w:cs="宋体"/>
          <w:b/>
          <w:bCs/>
          <w:spacing w:val="-10"/>
          <w:kern w:val="2"/>
          <w:sz w:val="24"/>
          <w:szCs w:val="24"/>
          <w:lang w:val="en-US" w:eastAsia="zh-CN" w:bidi="ar-SA"/>
        </w:rPr>
        <w:t>.</w:t>
      </w:r>
      <w:r>
        <w:rPr>
          <w:rFonts w:hint="eastAsia" w:ascii="宋体" w:hAnsi="宋体" w:eastAsia="宋体" w:cs="宋体"/>
          <w:b/>
          <w:bCs/>
          <w:spacing w:val="-10"/>
          <w:kern w:val="2"/>
          <w:sz w:val="24"/>
          <w:szCs w:val="24"/>
          <w:lang w:val="en-US" w:eastAsia="zh-CN" w:bidi="ar-SA"/>
        </w:rPr>
        <w:t>运营数据与读者画像</w:t>
      </w:r>
    </w:p>
    <w:p w14:paraId="673D7B2E">
      <w:pPr>
        <w:widowControl/>
        <w:spacing w:before="0" w:beforeLines="50" w:after="0" w:line="300" w:lineRule="auto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空间更新不追求一次性大改造，而采用轻量化迭代方式。优先处理入口识别、书架分区、插座补充、通风照明、导视牌和活动收纳等影响体验的基础环节，再根据客流变化逐步引入夜间阅读、主题书展、邻里讲读和手作课堂等内容。 本轮记录覆盖56个服务节点、4类核心场景，阶段满意度约为79%，一般问题在16天内完成闭环。</w:t>
      </w:r>
    </w:p>
    <w:p w14:paraId="0C3339D8">
      <w:pPr>
        <w:widowControl/>
        <w:spacing w:before="0" w:beforeLines="50" w:after="0" w:line="300" w:lineRule="auto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zh-CN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运营团队将每日开闭馆、借阅登记、场地巡检、活动签到、物资补充和意见反馈纳入同一张工作清单。</w:t>
      </w:r>
    </w:p>
    <w:p w14:paraId="16D53233">
      <w:pPr>
        <w:widowControl/>
        <w:spacing w:before="0" w:beforeLines="50" w:after="0" w:line="300" w:lineRule="auto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数据处理：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</w:t>
      </w:r>
    </w:p>
    <w:p w14:paraId="6BB74A73">
      <w:pPr>
        <w:pStyle w:val="4"/>
        <w:pageBreakBefore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64" w:beforeLines="50" w:beforeAutospacing="0" w:line="25" w:lineRule="atLeast"/>
        <w:ind w:left="-2" w:leftChars="0" w:firstLine="400" w:firstLineChars="0"/>
        <w:textAlignment w:val="auto"/>
        <w:rPr>
          <w:rFonts w:hint="eastAsia" w:ascii="宋体" w:hAnsi="宋体" w:eastAsia="宋体" w:cs="宋体"/>
          <w:b/>
          <w:bCs/>
          <w:spacing w:val="-1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pacing w:val="-10"/>
          <w:kern w:val="2"/>
          <w:sz w:val="24"/>
          <w:szCs w:val="24"/>
          <w:lang w:val="en-US" w:eastAsia="zh-CN" w:bidi="ar-SA"/>
        </w:rPr>
        <w:t>2.一般描述性统计</w:t>
      </w:r>
    </w:p>
    <w:p w14:paraId="52781619">
      <w:pPr>
        <w:pStyle w:val="14"/>
        <w:numPr>
          <w:ilvl w:val="0"/>
          <w:numId w:val="0"/>
        </w:numPr>
        <w:spacing w:before="0" w:beforeLines="50" w:after="0" w:line="300" w:lineRule="auto"/>
        <w:ind w:firstLine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 读者年龄分布特征</w:t>
      </w:r>
    </w:p>
    <w:p w14:paraId="1047B39F">
      <w:pPr>
        <w:widowControl/>
        <w:spacing w:before="0" w:beforeLines="50" w:after="0" w:line="300" w:lineRule="auto"/>
        <w:ind w:firstLine="480" w:firstLineChars="200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为提升服务的真实可达性，方案建议在社区公告栏、学校门口、商街转角和线上小程序同步发布开放时间、活动日历与预约规则。导视信息应使用简洁文字和统一图标，让首次到访者能够快速找到入口、还书点、亲子区和安静阅读区。 本轮记录覆盖77个服务节点、7类核心场景，阶段满意度约为88%，一般问题在8天内完成闭环。预算安排以运营稳定为先，优先保障人员值守、基础维护、图书更新、数字系统和安全巡检。</w:t>
      </w:r>
    </w:p>
    <w:p w14:paraId="4717FF2E">
      <w:pPr>
        <w:pStyle w:val="7"/>
        <w:spacing w:before="0" w:beforeLines="50" w:after="0" w:line="300" w:lineRule="auto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表 1 公共书房运营指标表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SEQ 表 \* ARABIC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tbl>
      <w:tblPr>
        <w:tblStyle w:val="10"/>
        <w:tblW w:w="4998" w:type="pct"/>
        <w:tblInd w:w="0" w:type="dxa"/>
        <w:tblBorders>
          <w:top w:val="single" w:color="000000" w:themeColor="text1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3"/>
        <w:gridCol w:w="1375"/>
        <w:gridCol w:w="1536"/>
        <w:gridCol w:w="1375"/>
        <w:gridCol w:w="1375"/>
        <w:gridCol w:w="1375"/>
      </w:tblGrid>
      <w:tr w14:paraId="19994E41">
        <w:tblPrEx>
          <w:tblBorders>
            <w:top w:val="single" w:color="000000" w:themeColor="text1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8" w:hRule="atLeast"/>
        </w:trPr>
        <w:tc>
          <w:tcPr>
            <w:tcW w:w="886" w:type="pct"/>
            <w:tcBorders>
              <w:top w:val="single" w:color="000000" w:sz="12" w:space="0"/>
              <w:bottom w:val="single" w:color="000000" w:sz="12" w:space="0"/>
            </w:tcBorders>
            <w:vAlign w:val="top"/>
          </w:tcPr>
          <w:p w14:paraId="4467FFC1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W w:w="822" w:type="pct"/>
            <w:tcBorders>
              <w:top w:val="single" w:color="000000" w:sz="12" w:space="0"/>
              <w:bottom w:val="single" w:color="000000" w:sz="12" w:space="0"/>
            </w:tcBorders>
            <w:vAlign w:val="top"/>
          </w:tcPr>
          <w:p w14:paraId="096570AE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服务模块</w:t>
            </w:r>
          </w:p>
        </w:tc>
        <w:tc>
          <w:tcPr>
            <w:tcW w:w="822" w:type="pct"/>
            <w:tcBorders>
              <w:top w:val="single" w:color="000000" w:sz="12" w:space="0"/>
              <w:bottom w:val="single" w:color="000000" w:sz="12" w:space="0"/>
            </w:tcBorders>
            <w:vAlign w:val="top"/>
          </w:tcPr>
          <w:p w14:paraId="405ECE16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时段</w:t>
            </w:r>
          </w:p>
        </w:tc>
        <w:tc>
          <w:tcPr>
            <w:tcW w:w="822" w:type="pct"/>
            <w:tcBorders>
              <w:top w:val="single" w:color="000000" w:sz="12" w:space="0"/>
              <w:bottom w:val="single" w:color="000000" w:sz="12" w:space="0"/>
            </w:tcBorders>
            <w:vAlign w:val="top"/>
          </w:tcPr>
          <w:p w14:paraId="3C941E39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负责人</w:t>
            </w:r>
          </w:p>
        </w:tc>
        <w:tc>
          <w:tcPr>
            <w:tcW w:w="822" w:type="pct"/>
            <w:tcBorders>
              <w:top w:val="single" w:color="000000" w:sz="12" w:space="0"/>
              <w:bottom w:val="single" w:color="000000" w:sz="12" w:space="0"/>
            </w:tcBorders>
            <w:vAlign w:val="top"/>
          </w:tcPr>
          <w:p w14:paraId="7E80BECC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资源配置</w:t>
            </w:r>
          </w:p>
        </w:tc>
        <w:tc>
          <w:tcPr>
            <w:tcW w:w="822" w:type="pct"/>
            <w:tcBorders>
              <w:top w:val="single" w:color="000000" w:sz="12" w:space="0"/>
              <w:bottom w:val="single" w:color="000000" w:sz="12" w:space="0"/>
            </w:tcBorders>
            <w:vAlign w:val="top"/>
          </w:tcPr>
          <w:p w14:paraId="3855D607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验收口径</w:t>
            </w:r>
          </w:p>
        </w:tc>
      </w:tr>
      <w:tr w14:paraId="50DA1B45">
        <w:tblPrEx>
          <w:tblBorders>
            <w:top w:val="single" w:color="000000" w:themeColor="text1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8" w:hRule="atLeast"/>
        </w:trPr>
        <w:tc>
          <w:tcPr>
            <w:tcW w:w="886" w:type="pct"/>
            <w:tcBorders>
              <w:top w:val="single" w:color="000000" w:sz="12" w:space="0"/>
              <w:bottom w:val="single" w:color="000000" w:sz="6" w:space="0"/>
            </w:tcBorders>
            <w:vAlign w:val="top"/>
          </w:tcPr>
          <w:p w14:paraId="253CC8A0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076CE1D4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  <w:p w14:paraId="74A80C25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822" w:type="pct"/>
            <w:tcBorders>
              <w:top w:val="single" w:color="000000" w:sz="12" w:space="0"/>
              <w:bottom w:val="single" w:color="000000" w:sz="6" w:space="0"/>
            </w:tcBorders>
            <w:vAlign w:val="top"/>
          </w:tcPr>
          <w:p w14:paraId="1D5847EE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leftChars="0" w:right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2C19D3DD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leftChars="0" w:right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旧书交换</w:t>
            </w:r>
          </w:p>
        </w:tc>
        <w:tc>
          <w:tcPr>
            <w:tcW w:w="822" w:type="pct"/>
            <w:tcBorders>
              <w:top w:val="single" w:color="000000" w:sz="12" w:space="0"/>
              <w:bottom w:val="single" w:color="000000" w:sz="6" w:space="0"/>
            </w:tcBorders>
            <w:vAlign w:val="top"/>
          </w:tcPr>
          <w:p w14:paraId="42EA24CF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leftChars="0" w:right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7A344A08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leftChars="0" w:right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9:00-12:30</w:t>
            </w:r>
          </w:p>
        </w:tc>
        <w:tc>
          <w:tcPr>
            <w:tcW w:w="822" w:type="pct"/>
            <w:tcBorders>
              <w:top w:val="single" w:color="000000" w:sz="12" w:space="0"/>
              <w:bottom w:val="single" w:color="000000" w:sz="6" w:space="0"/>
            </w:tcBorders>
            <w:vAlign w:val="top"/>
          </w:tcPr>
          <w:p w14:paraId="5BF0D4AA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leftChars="0" w:right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7A0B2C68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leftChars="0" w:right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馆员E组</w:t>
            </w:r>
          </w:p>
        </w:tc>
        <w:tc>
          <w:tcPr>
            <w:tcW w:w="822" w:type="pct"/>
            <w:tcBorders>
              <w:top w:val="single" w:color="000000" w:sz="12" w:space="0"/>
              <w:bottom w:val="single" w:color="000000" w:sz="6" w:space="0"/>
            </w:tcBorders>
            <w:vAlign w:val="top"/>
          </w:tcPr>
          <w:p w14:paraId="18C0BA5F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leftChars="0" w:right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248E1299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leftChars="0" w:right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书册92册；活动材料9套</w:t>
            </w:r>
          </w:p>
        </w:tc>
        <w:tc>
          <w:tcPr>
            <w:tcW w:w="822" w:type="pct"/>
            <w:tcBorders>
              <w:top w:val="single" w:color="000000" w:sz="12" w:space="0"/>
              <w:bottom w:val="single" w:color="000000" w:sz="6" w:space="0"/>
            </w:tcBorders>
            <w:vAlign w:val="top"/>
          </w:tcPr>
          <w:p w14:paraId="76243ACA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leftChars="0" w:right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2B6C4D12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leftChars="0" w:right="0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现场签到、巡检记录、满意度回收</w:t>
            </w:r>
          </w:p>
        </w:tc>
      </w:tr>
      <w:tr w14:paraId="3AF3AEA4">
        <w:tblPrEx>
          <w:tblBorders>
            <w:top w:val="single" w:color="000000" w:themeColor="text1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886" w:type="pct"/>
            <w:tcBorders>
              <w:top w:val="single" w:color="000000" w:sz="6" w:space="0"/>
              <w:bottom w:val="single" w:color="000000" w:sz="12" w:space="0"/>
            </w:tcBorders>
            <w:vAlign w:val="top"/>
          </w:tcPr>
          <w:p w14:paraId="51301C76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822" w:type="pct"/>
            <w:tcBorders>
              <w:top w:val="single" w:color="000000" w:sz="6" w:space="0"/>
              <w:bottom w:val="single" w:color="000000" w:sz="12" w:space="0"/>
            </w:tcBorders>
            <w:vAlign w:val="top"/>
          </w:tcPr>
          <w:p w14:paraId="57058218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主题书展</w:t>
            </w:r>
          </w:p>
        </w:tc>
        <w:tc>
          <w:tcPr>
            <w:tcW w:w="822" w:type="pct"/>
            <w:tcBorders>
              <w:top w:val="single" w:color="000000" w:sz="6" w:space="0"/>
              <w:bottom w:val="single" w:color="000000" w:sz="12" w:space="0"/>
            </w:tcBorders>
            <w:vAlign w:val="top"/>
          </w:tcPr>
          <w:p w14:paraId="4411674B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10:00-13:30</w:t>
            </w:r>
          </w:p>
        </w:tc>
        <w:tc>
          <w:tcPr>
            <w:tcW w:w="822" w:type="pct"/>
            <w:tcBorders>
              <w:top w:val="single" w:color="000000" w:sz="6" w:space="0"/>
              <w:bottom w:val="single" w:color="000000" w:sz="12" w:space="0"/>
            </w:tcBorders>
            <w:vAlign w:val="top"/>
          </w:tcPr>
          <w:p w14:paraId="5523E2EC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馆员F组</w:t>
            </w:r>
          </w:p>
        </w:tc>
        <w:tc>
          <w:tcPr>
            <w:tcW w:w="822" w:type="pct"/>
            <w:tcBorders>
              <w:top w:val="single" w:color="000000" w:sz="6" w:space="0"/>
              <w:bottom w:val="single" w:color="000000" w:sz="12" w:space="0"/>
            </w:tcBorders>
            <w:vAlign w:val="top"/>
          </w:tcPr>
          <w:p w14:paraId="2793F4F7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书册104册；活动材料10套</w:t>
            </w:r>
          </w:p>
        </w:tc>
        <w:tc>
          <w:tcPr>
            <w:tcW w:w="822" w:type="pct"/>
            <w:tcBorders>
              <w:top w:val="single" w:color="000000" w:sz="6" w:space="0"/>
              <w:bottom w:val="single" w:color="000000" w:sz="12" w:space="0"/>
            </w:tcBorders>
            <w:vAlign w:val="top"/>
          </w:tcPr>
          <w:p w14:paraId="4BDB2D9A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现场签到、巡检记录、满意度回收</w:t>
            </w:r>
          </w:p>
        </w:tc>
      </w:tr>
    </w:tbl>
    <w:p w14:paraId="184143DE">
      <w:pPr>
        <w:widowControl/>
        <w:spacing w:before="0" w:beforeLines="50" w:after="0" w:line="300" w:lineRule="auto"/>
        <w:ind w:firstLine="480" w:firstLineChars="200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活动设计应避免单纯追求数量，重点关注读者是否愿意再次参加、是否产生持续阅读行为、是否带动家庭成员共同使用空间。</w:t>
      </w:r>
    </w:p>
    <w:p w14:paraId="429465E4">
      <w:pPr>
        <w:widowControl/>
        <w:spacing w:before="0" w:beforeLines="50" w:after="0" w:line="300" w:lineRule="auto"/>
        <w:jc w:val="left"/>
        <w:rPr>
          <w:rFonts w:hint="eastAsia" w:ascii="宋体" w:hAnsi="宋体" w:eastAsia="宋体" w:cs="宋体"/>
          <w:sz w:val="24"/>
        </w:rPr>
      </w:pPr>
    </w:p>
    <w:p w14:paraId="2C427AE0">
      <w:pPr>
        <w:pStyle w:val="14"/>
        <w:numPr>
          <w:ilvl w:val="0"/>
          <w:numId w:val="2"/>
        </w:numPr>
        <w:spacing w:before="0" w:beforeLines="50" w:after="0" w:line="300" w:lineRule="auto"/>
        <w:ind w:left="0" w:leftChars="0" w:firstLine="42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物资管理采用低库存、快补给原则。常用耗材按周盘点，活动材料按场次核销，</w:t>
      </w:r>
    </w:p>
    <w:p w14:paraId="15DA8D3C">
      <w:pPr>
        <w:widowControl/>
        <w:spacing w:before="0" w:beforeLines="50" w:after="0" w:line="300" w:lineRule="auto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lang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 本轮记录覆盖34个服务节点、2类核心场景，阶段满意度约为69%，一般问题在11天内完成闭环。数据采集坚持必要、适度、可解释的原则，不收集与阅读服务无关的个人信息。</w:t>
      </w:r>
    </w:p>
    <w:p w14:paraId="4EE17301">
      <w:pPr>
        <w:widowControl/>
        <w:spacing w:before="0" w:beforeLines="50" w:after="0" w:line="300" w:lineRule="auto"/>
        <w:ind w:firstLine="480" w:firstLineChars="200"/>
        <w:jc w:val="lef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kern w:val="0"/>
          <w:sz w:val="24"/>
          <w:lang w:bidi="ar"/>
        </w:rPr>
        <w:t>预算安排以运营稳定为先，优先保障人员值守、基础维护、图书更新、数字系统和安全巡检。装饰性投入需要与实际使用频次挂钩，低使用率区域应先通过活动导入和动线调整验证需求，再决定是否投入固定设施。 本轮记录覆盖41个服务节点、3类核心场景，阶段满意度约为72%，一般问题在12天内完成闭环。调研记录显示，读者更关注安静座位、灯光舒适度、图书更新速度、活动预约便利性以及儿童阅读区的安全性。</w:t>
      </w:r>
    </w:p>
    <w:p w14:paraId="00A01736">
      <w:pPr>
        <w:widowControl/>
        <w:spacing w:before="0" w:beforeLines="50" w:after="0" w:line="300" w:lineRule="auto"/>
        <w:jc w:val="center"/>
        <w:rPr>
          <w:rFonts w:hint="eastAsia" w:ascii="宋体" w:hAnsi="宋体" w:eastAsia="宋体" w:cs="宋体"/>
          <w:sz w:val="24"/>
        </w:rPr>
      </w:pPr>
    </w:p>
    <w:p w14:paraId="2F337F57">
      <w:pPr>
        <w:keepNext w:val="0"/>
        <w:keepLines w:val="0"/>
        <w:widowControl/>
        <w:suppressLineNumbers w:val="0"/>
        <w:spacing w:before="0" w:beforeLines="50" w:after="0" w:line="300" w:lineRule="auto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表 2 服务模块成熟度统计表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SEQ 表 \* ARABIC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tbl>
      <w:tblPr>
        <w:tblStyle w:val="10"/>
        <w:tblpPr w:leftFromText="180" w:rightFromText="180" w:vertAnchor="text" w:horzAnchor="page" w:tblpX="1808" w:tblpY="279"/>
        <w:tblOverlap w:val="never"/>
        <w:tblW w:w="4998" w:type="pct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1122"/>
        <w:gridCol w:w="1255"/>
        <w:gridCol w:w="1255"/>
        <w:gridCol w:w="1255"/>
        <w:gridCol w:w="1255"/>
        <w:gridCol w:w="1255"/>
      </w:tblGrid>
      <w:tr w14:paraId="3FA0ED5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8" w:type="pct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008E7916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变量</w:t>
            </w:r>
          </w:p>
        </w:tc>
        <w:tc>
          <w:tcPr>
            <w:tcW w:w="658" w:type="pct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65A7333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</w:rPr>
              <w:t>组别</w:t>
            </w:r>
          </w:p>
        </w:tc>
        <w:tc>
          <w:tcPr>
            <w:tcW w:w="736" w:type="pct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4CFB6D3F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均值差</w:t>
            </w:r>
          </w:p>
        </w:tc>
        <w:tc>
          <w:tcPr>
            <w:tcW w:w="736" w:type="pct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3A829B1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标准误</w:t>
            </w:r>
          </w:p>
        </w:tc>
        <w:tc>
          <w:tcPr>
            <w:tcW w:w="736" w:type="pct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6222611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P值</w:t>
            </w:r>
          </w:p>
        </w:tc>
        <w:tc>
          <w:tcPr>
            <w:tcW w:w="736" w:type="pct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8A7E2B9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效应量</w:t>
            </w:r>
          </w:p>
        </w:tc>
        <w:tc>
          <w:tcPr>
            <w:tcW w:w="736" w:type="pct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4EFB56B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  <w:t>说明</w:t>
            </w:r>
          </w:p>
        </w:tc>
      </w:tr>
      <w:tr w14:paraId="31AB29A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8" w:type="pct"/>
            <w:tcBorders>
              <w:top w:val="single" w:color="auto" w:sz="12" w:space="0"/>
              <w:bottom w:val="single" w:color="auto" w:sz="6" w:space="0"/>
            </w:tcBorders>
            <w:vAlign w:val="top"/>
          </w:tcPr>
          <w:p w14:paraId="055CE597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设备完好率</w:t>
            </w:r>
          </w:p>
          <w:p w14:paraId="5153895C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658" w:type="pct"/>
            <w:tcBorders>
              <w:top w:val="single" w:color="auto" w:sz="12" w:space="0"/>
              <w:bottom w:val="single" w:color="auto" w:sz="6" w:space="0"/>
            </w:tcBorders>
            <w:vAlign w:val="top"/>
          </w:tcPr>
          <w:p w14:paraId="013C5976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</w:rPr>
              <w:t>组3</w:t>
            </w:r>
          </w:p>
        </w:tc>
        <w:tc>
          <w:tcPr>
            <w:tcW w:w="736" w:type="pct"/>
            <w:tcBorders>
              <w:top w:val="single" w:color="auto" w:sz="12" w:space="0"/>
              <w:bottom w:val="single" w:color="auto" w:sz="6" w:space="0"/>
            </w:tcBorders>
            <w:vAlign w:val="top"/>
          </w:tcPr>
          <w:p w14:paraId="2512A2AE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highlight w:val="none"/>
                <w:vertAlign w:val="baseline"/>
                <w:lang w:val="en-US" w:eastAsia="zh-CN"/>
              </w:rPr>
              <w:t>0.113</w:t>
            </w:r>
          </w:p>
        </w:tc>
        <w:tc>
          <w:tcPr>
            <w:tcW w:w="736" w:type="pct"/>
            <w:tcBorders>
              <w:top w:val="single" w:color="auto" w:sz="12" w:space="0"/>
              <w:bottom w:val="single" w:color="auto" w:sz="6" w:space="0"/>
            </w:tcBorders>
            <w:vAlign w:val="top"/>
          </w:tcPr>
          <w:p w14:paraId="537BB291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0.079</w:t>
            </w:r>
          </w:p>
        </w:tc>
        <w:tc>
          <w:tcPr>
            <w:tcW w:w="736" w:type="pct"/>
            <w:tcBorders>
              <w:top w:val="single" w:color="auto" w:sz="12" w:space="0"/>
              <w:bottom w:val="single" w:color="auto" w:sz="6" w:space="0"/>
            </w:tcBorders>
            <w:vAlign w:val="top"/>
          </w:tcPr>
          <w:p w14:paraId="4C8D08BD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0.054</w:t>
            </w:r>
          </w:p>
        </w:tc>
        <w:tc>
          <w:tcPr>
            <w:tcW w:w="736" w:type="pct"/>
            <w:tcBorders>
              <w:top w:val="single" w:color="auto" w:sz="12" w:space="0"/>
              <w:bottom w:val="single" w:color="auto" w:sz="6" w:space="0"/>
            </w:tcBorders>
            <w:vAlign w:val="top"/>
          </w:tcPr>
          <w:p w14:paraId="5C65282B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0.141</w:t>
            </w:r>
          </w:p>
        </w:tc>
        <w:tc>
          <w:tcPr>
            <w:tcW w:w="736" w:type="pct"/>
            <w:tcBorders>
              <w:top w:val="single" w:color="auto" w:sz="12" w:space="0"/>
              <w:bottom w:val="single" w:color="auto" w:sz="6" w:space="0"/>
            </w:tcBorders>
            <w:vAlign w:val="top"/>
          </w:tcPr>
          <w:p w14:paraId="4D71D851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差异较小</w:t>
            </w:r>
          </w:p>
        </w:tc>
      </w:tr>
      <w:tr w14:paraId="48D5A7C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8" w:type="pct"/>
            <w:vMerge w:val="restart"/>
            <w:tcBorders>
              <w:top w:val="single" w:color="auto" w:sz="6" w:space="0"/>
              <w:bottom w:val="single" w:color="auto" w:sz="12" w:space="0"/>
              <w:right w:val="single" w:color="auto" w:sz="12" w:space="0"/>
            </w:tcBorders>
            <w:vAlign w:val="top"/>
          </w:tcPr>
          <w:p w14:paraId="62D00F8F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136DEFDC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21767B13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2B2831AC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读者满意度</w:t>
            </w:r>
          </w:p>
          <w:p w14:paraId="25414543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22D5313F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658" w:type="pct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nil"/>
            </w:tcBorders>
            <w:vAlign w:val="top"/>
          </w:tcPr>
          <w:p w14:paraId="5BA3CAEA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组4</w:t>
            </w:r>
          </w:p>
          <w:p w14:paraId="3DD7C411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736" w:type="pct"/>
            <w:tcBorders>
              <w:top w:val="single" w:color="auto" w:sz="6" w:space="0"/>
              <w:left w:val="nil"/>
              <w:bottom w:val="single" w:color="auto" w:sz="12" w:space="0"/>
              <w:right w:val="nil"/>
            </w:tcBorders>
            <w:vAlign w:val="top"/>
          </w:tcPr>
          <w:p w14:paraId="08217EB6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-0.231</w:t>
            </w:r>
          </w:p>
        </w:tc>
        <w:tc>
          <w:tcPr>
            <w:tcW w:w="736" w:type="pct"/>
            <w:tcBorders>
              <w:top w:val="single" w:color="auto" w:sz="6" w:space="0"/>
              <w:left w:val="nil"/>
              <w:bottom w:val="single" w:color="auto" w:sz="12" w:space="0"/>
              <w:right w:val="nil"/>
            </w:tcBorders>
            <w:vAlign w:val="top"/>
          </w:tcPr>
          <w:p w14:paraId="095205C7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0.142</w:t>
            </w:r>
          </w:p>
        </w:tc>
        <w:tc>
          <w:tcPr>
            <w:tcW w:w="736" w:type="pct"/>
            <w:tcBorders>
              <w:top w:val="single" w:color="auto" w:sz="6" w:space="0"/>
              <w:left w:val="nil"/>
              <w:bottom w:val="single" w:color="auto" w:sz="12" w:space="0"/>
              <w:right w:val="nil"/>
            </w:tcBorders>
            <w:vAlign w:val="top"/>
          </w:tcPr>
          <w:p w14:paraId="4CD8C8C3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0.021</w:t>
            </w:r>
          </w:p>
        </w:tc>
        <w:tc>
          <w:tcPr>
            <w:tcW w:w="736" w:type="pct"/>
            <w:tcBorders>
              <w:top w:val="single" w:color="auto" w:sz="6" w:space="0"/>
              <w:left w:val="nil"/>
              <w:bottom w:val="single" w:color="auto" w:sz="12" w:space="0"/>
              <w:right w:val="nil"/>
            </w:tcBorders>
            <w:vAlign w:val="top"/>
          </w:tcPr>
          <w:p w14:paraId="1E50D8A9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0.144</w:t>
            </w:r>
          </w:p>
        </w:tc>
        <w:tc>
          <w:tcPr>
            <w:tcW w:w="736" w:type="pct"/>
            <w:tcBorders>
              <w:top w:val="single" w:color="auto" w:sz="6" w:space="0"/>
              <w:left w:val="nil"/>
              <w:bottom w:val="single" w:color="auto" w:sz="12" w:space="0"/>
            </w:tcBorders>
            <w:vAlign w:val="top"/>
          </w:tcPr>
          <w:p w14:paraId="562B431B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建议分层运营</w:t>
            </w:r>
          </w:p>
        </w:tc>
      </w:tr>
      <w:tr w14:paraId="718E1DE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8" w:type="pct"/>
            <w:vMerge w:val="continue"/>
            <w:tcBorders>
              <w:top w:val="single" w:color="auto" w:sz="12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vAlign w:val="top"/>
          </w:tcPr>
          <w:p w14:paraId="35EB5096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预约履约率</w:t>
            </w:r>
          </w:p>
        </w:tc>
        <w:tc>
          <w:tcPr>
            <w:tcW w:w="6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nil"/>
            </w:tcBorders>
            <w:vAlign w:val="top"/>
          </w:tcPr>
          <w:p w14:paraId="19113390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组5</w:t>
            </w:r>
          </w:p>
          <w:p w14:paraId="20F720BC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</w:p>
        </w:tc>
        <w:tc>
          <w:tcPr>
            <w:tcW w:w="736" w:type="pct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top"/>
          </w:tcPr>
          <w:p w14:paraId="36EAE3B9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0.243</w:t>
            </w:r>
          </w:p>
        </w:tc>
        <w:tc>
          <w:tcPr>
            <w:tcW w:w="736" w:type="pct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top"/>
          </w:tcPr>
          <w:p w14:paraId="4BDC06A9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0.117</w:t>
            </w:r>
          </w:p>
        </w:tc>
        <w:tc>
          <w:tcPr>
            <w:tcW w:w="736" w:type="pct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top"/>
          </w:tcPr>
          <w:p w14:paraId="3AB57958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0.047</w:t>
            </w:r>
          </w:p>
        </w:tc>
        <w:tc>
          <w:tcPr>
            <w:tcW w:w="736" w:type="pct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top"/>
          </w:tcPr>
          <w:p w14:paraId="0A3DAE02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0.252</w:t>
            </w:r>
          </w:p>
        </w:tc>
        <w:tc>
          <w:tcPr>
            <w:tcW w:w="736" w:type="pct"/>
            <w:tcBorders>
              <w:top w:val="single" w:color="auto" w:sz="12" w:space="0"/>
              <w:left w:val="nil"/>
              <w:bottom w:val="single" w:color="auto" w:sz="12" w:space="0"/>
            </w:tcBorders>
            <w:vAlign w:val="top"/>
          </w:tcPr>
          <w:p w14:paraId="7339394C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差异较小</w:t>
            </w:r>
          </w:p>
        </w:tc>
      </w:tr>
      <w:tr w14:paraId="0843039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8" w:type="pct"/>
            <w:vMerge w:val="continue"/>
            <w:tcBorders>
              <w:top w:val="single" w:color="auto" w:sz="12" w:space="0"/>
              <w:bottom w:val="single" w:color="auto" w:sz="12" w:space="0"/>
              <w:right w:val="single" w:color="auto" w:sz="12" w:space="0"/>
              <w:tl2br w:val="nil"/>
              <w:tr2bl w:val="nil"/>
            </w:tcBorders>
            <w:vAlign w:val="top"/>
          </w:tcPr>
          <w:p w14:paraId="630B9CAA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/>
              </w:rPr>
              <w:t>书目更新率</w:t>
            </w:r>
          </w:p>
        </w:tc>
        <w:tc>
          <w:tcPr>
            <w:tcW w:w="658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nil"/>
            </w:tcBorders>
            <w:vAlign w:val="top"/>
          </w:tcPr>
          <w:p w14:paraId="1E996762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组1</w:t>
            </w:r>
          </w:p>
          <w:p w14:paraId="75CB5292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top"/>
          </w:tcPr>
          <w:p w14:paraId="5CF3AD9F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-0.113</w:t>
            </w:r>
          </w:p>
        </w:tc>
        <w:tc>
          <w:tcPr>
            <w:tcW w:w="736" w:type="pct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top"/>
          </w:tcPr>
          <w:p w14:paraId="65F3AED8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0.124</w:t>
            </w:r>
          </w:p>
        </w:tc>
        <w:tc>
          <w:tcPr>
            <w:tcW w:w="736" w:type="pct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top"/>
          </w:tcPr>
          <w:p w14:paraId="149390C6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0.070</w:t>
            </w:r>
          </w:p>
        </w:tc>
        <w:tc>
          <w:tcPr>
            <w:tcW w:w="736" w:type="pct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top"/>
          </w:tcPr>
          <w:p w14:paraId="53F4F59D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0.114</w:t>
            </w:r>
          </w:p>
        </w:tc>
        <w:tc>
          <w:tcPr>
            <w:tcW w:w="736" w:type="pct"/>
            <w:tcBorders>
              <w:top w:val="single" w:color="auto" w:sz="12" w:space="0"/>
              <w:left w:val="nil"/>
              <w:bottom w:val="single" w:color="auto" w:sz="12" w:space="0"/>
            </w:tcBorders>
            <w:vAlign w:val="top"/>
          </w:tcPr>
          <w:p w14:paraId="69B54E5E">
            <w:pPr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right="0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建议分层运营</w:t>
            </w:r>
          </w:p>
        </w:tc>
      </w:tr>
    </w:tbl>
    <w:p w14:paraId="2C9806FA">
      <w:pPr>
        <w:widowControl/>
        <w:spacing w:before="0" w:beforeLines="50" w:after="0" w:line="300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4"/>
        </w:rPr>
      </w:pPr>
    </w:p>
    <w:p w14:paraId="4755E856">
      <w:pPr>
        <w:widowControl/>
        <w:spacing w:before="0" w:beforeLines="50" w:after="0" w:line="300" w:lineRule="auto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sz w:val="24"/>
        </w:rPr>
        <w:t>本方案围绕公共书房的连续开放、活动排期、读者服务和空间维护展开，重点解决小型文化空间在日常管理中常见的排班不均、设备闲置、活动重复和服务反馈滞后等问题。</w:t>
      </w:r>
    </w:p>
    <w:p w14:paraId="645804CB">
      <w:pPr>
        <w:pStyle w:val="4"/>
        <w:pageBreakBefore w:val="0"/>
        <w:numPr>
          <w:ilvl w:val="2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64" w:beforeLines="50" w:beforeAutospacing="0" w:line="25" w:lineRule="atLeast"/>
        <w:ind w:left="-2" w:leftChars="0" w:firstLine="400" w:firstLineChars="0"/>
        <w:textAlignment w:val="auto"/>
        <w:rPr>
          <w:rFonts w:hint="eastAsia" w:ascii="宋体" w:hAnsi="宋体" w:eastAsia="宋体" w:cs="宋体"/>
          <w:b/>
          <w:bCs/>
          <w:spacing w:val="-1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pacing w:val="-10"/>
          <w:kern w:val="2"/>
          <w:sz w:val="24"/>
          <w:szCs w:val="24"/>
          <w:lang w:val="en-US" w:eastAsia="zh-CN" w:bidi="ar-SA"/>
        </w:rPr>
        <w:t>3. 到馆频次分布特征</w:t>
      </w:r>
    </w:p>
    <w:p w14:paraId="5E8FD22E">
      <w:pPr>
        <w:widowControl/>
        <w:spacing w:before="0" w:beforeLines="50" w:after="0" w:line="300" w:lineRule="auto"/>
        <w:ind w:firstLine="480" w:firstLineChars="200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调研记录显示，读者更关注安静座位、灯光舒适度、图书更新速度、活动预约便利性以及儿童阅读区的安全性。围绕这些高频需求，方案将服务内容拆分为基础阅读、亲子陪伴、社群活动、数字借阅和社区共创五个模块，便于后续按片区进行组合投放。 本轮记录覆盖55个服务节点、5类核心场景，阶段满意度约为78%，一般问题在14天内完成闭环。志愿者参与以轻任务为主，包括书架整理、活动引导、亲子阅读陪伴、旧书交换登记和社区故事收集。</w:t>
      </w:r>
    </w:p>
    <w:p w14:paraId="6BB81E11">
      <w:pPr>
        <w:widowControl/>
        <w:spacing w:before="0" w:beforeLines="50" w:after="0" w:line="300" w:lineRule="auto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bidi="ar"/>
        </w:rPr>
        <w:t>空间更新不追求一次性大改造，而采用轻量化迭代方式。</w:t>
      </w:r>
    </w:p>
    <w:p w14:paraId="7406EFC5">
      <w:pPr>
        <w:pStyle w:val="5"/>
        <w:numPr>
          <w:ilvl w:val="3"/>
          <w:numId w:val="0"/>
        </w:numPr>
        <w:bidi w:val="0"/>
        <w:ind w:left="402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1.访问目的分布特征</w:t>
      </w:r>
      <w:bookmarkEnd w:id="30"/>
    </w:p>
    <w:p w14:paraId="367E504D">
      <w:pPr>
        <w:widowControl/>
        <w:spacing w:before="0" w:beforeLines="50" w:after="0" w:line="300" w:lineRule="auto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lang w:val="en-US" w:eastAsia="zh-CN" w:bidi="ar"/>
        </w:rPr>
      </w:pPr>
      <w:bookmarkStart w:id="31" w:name="_Toc27058"/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 w:bidi="ar"/>
        </w:rPr>
        <w:t>使用场景分布特征</w:t>
      </w:r>
      <w:bookmarkEnd w:id="31"/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 w:bidi="ar"/>
        </w:rPr>
        <w:t>：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 本轮记录覆盖69个服务节点、7类核心场景，阶段满意度约为84%，一般问题在16天内完成闭环。志愿者参与以轻任务为主，包括书架整理、活动引导、亲子阅读陪伴、旧书交换登记和社区故事收集。</w:t>
      </w:r>
    </w:p>
    <w:p w14:paraId="174BD463">
      <w:pPr>
        <w:widowControl/>
        <w:spacing w:before="0" w:beforeLines="50" w:after="0" w:line="300" w:lineRule="auto"/>
        <w:ind w:firstLine="480" w:firstLineChars="200"/>
        <w:jc w:val="left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 w:bidi="ar"/>
        </w:rPr>
        <w:t>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 本轮记录覆盖76个服务节点、8类核心场景，阶段满意度约为87%，一般问题在17天内完成闭环。数据采集坚持必要、适度、可解释的原则，不收集与阅读服务无关的个人信息。</w:t>
      </w:r>
    </w:p>
    <w:p w14:paraId="758042DF">
      <w:pPr>
        <w:pStyle w:val="5"/>
        <w:numPr>
          <w:ilvl w:val="3"/>
          <w:numId w:val="0"/>
        </w:numPr>
        <w:bidi w:val="0"/>
        <w:ind w:left="402" w:leftChars="0"/>
        <w:rPr>
          <w:rFonts w:hint="eastAsia"/>
          <w:lang w:val="en-US" w:eastAsia="zh-CN"/>
        </w:rPr>
      </w:pPr>
      <w:bookmarkStart w:id="32" w:name="_Toc9094"/>
      <w:r>
        <w:rPr>
          <w:rFonts w:hint="eastAsia"/>
          <w:lang w:val="en-US" w:eastAsia="zh-CN"/>
        </w:rPr>
        <w:t>2. 停留时长分布特征</w:t>
      </w:r>
      <w:bookmarkEnd w:id="32"/>
    </w:p>
    <w:p w14:paraId="155F7249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20" w:firstLineChars="0"/>
        <w:rPr>
          <w:b w:val="0"/>
          <w:bCs w:val="0"/>
        </w:rPr>
      </w:pPr>
      <w:r>
        <w:rPr>
          <w:b w:val="0"/>
          <w:bCs w:val="0"/>
        </w:rPr>
        <w:t>为提升服务的真实可达性，方案建议在社区公告栏、学校门口、商街转角和线上小程序同步发布开放时间、活动日历与预约规则。导视信息应使用简洁文字和统一图标，让首次到访者能够快速找到入口、还书点、亲子区和安静阅读区。 本轮记录覆盖19个服务节点、9类核心场景，阶段满意度约为90%，一般问题在7天内完成闭环。</w:t>
      </w:r>
    </w:p>
    <w:p w14:paraId="0E5CF393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20" w:firstLineChars="0"/>
        <w:rPr>
          <w:b w:val="0"/>
          <w:bCs w:val="0"/>
        </w:rPr>
      </w:pPr>
      <w:r>
        <w:rPr>
          <w:b w:val="0"/>
          <w:bCs w:val="0"/>
        </w:rPr>
        <w:t>活动设计应避免单纯追求数量，重点关注读者是否愿意再次参加、是否产生持续阅读行为、是否带动家庭成员共同使用空间。</w:t>
      </w:r>
    </w:p>
    <w:p w14:paraId="66F7DCBB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20" w:firstLineChars="0"/>
        <w:rPr>
          <w:b w:val="0"/>
          <w:bCs w:val="0"/>
        </w:rPr>
      </w:pPr>
      <w:r>
        <w:rPr>
          <w:rStyle w:val="12"/>
          <w:b w:val="0"/>
          <w:bCs w:val="0"/>
        </w:rPr>
        <w:t>物资管理采用低库存、快补给原则。常用耗材按周盘点，活动材料按场次核销，设备维修按紧急程度分为即时处理、三日内处理和月度集中处理三类。</w:t>
      </w:r>
    </w:p>
    <w:p w14:paraId="3CCC091A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20" w:firstLineChars="0"/>
        <w:rPr>
          <w:b w:val="0"/>
          <w:bCs w:val="0"/>
        </w:rPr>
      </w:pPr>
      <w:r>
        <w:rPr>
          <w:rStyle w:val="12"/>
          <w:b w:val="0"/>
          <w:bCs w:val="0"/>
        </w:rPr>
        <w:t>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</w:t>
      </w:r>
    </w:p>
    <w:p w14:paraId="4BBE1C49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20" w:firstLineChars="0"/>
        <w:rPr>
          <w:b w:val="0"/>
          <w:bCs w:val="0"/>
        </w:rPr>
      </w:pPr>
      <w:r>
        <w:rPr>
          <w:rStyle w:val="12"/>
          <w:b w:val="0"/>
          <w:bCs w:val="0"/>
        </w:rPr>
        <w:t>预算安排以运营稳定为先，优先保障人员值守、基础维护、图书更新、数字系统和安全巡检。装饰性投入需要与实际使用频次挂钩，低使用率区域应先通过活动导入和动线调整验证需求，再决定是否投入固定设施。</w:t>
      </w:r>
    </w:p>
    <w:p w14:paraId="64802F2D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20" w:firstLineChars="0"/>
        <w:rPr>
          <w:b w:val="0"/>
          <w:bCs w:val="0"/>
        </w:rPr>
      </w:pPr>
      <w:r>
        <w:rPr>
          <w:rStyle w:val="12"/>
          <w:b w:val="0"/>
          <w:bCs w:val="0"/>
        </w:rPr>
        <w:t>本方案围绕公共书房的连续开放、活动排期、读者服务和空间维护展开，重点解决小型文化空间在日常管理中常见的排班不均、设备闲置、活动重复和服务反馈滞后等问题。通过统一的运营台账、分级服务包和月度复盘机制，各点位可以在保持本地特色的同时，形成可复制的管理标准。</w:t>
      </w:r>
    </w:p>
    <w:p w14:paraId="292427EA">
      <w:pPr>
        <w:pStyle w:val="5"/>
        <w:numPr>
          <w:ilvl w:val="3"/>
          <w:numId w:val="0"/>
        </w:numPr>
        <w:bidi w:val="0"/>
        <w:ind w:left="402" w:leftChars="0"/>
        <w:rPr>
          <w:rFonts w:hint="eastAsia"/>
          <w:lang w:val="en-US" w:eastAsia="zh-CN"/>
        </w:rPr>
      </w:pPr>
      <w:bookmarkStart w:id="33" w:name="_Toc32016"/>
      <w:r>
        <w:rPr>
          <w:rFonts w:hint="eastAsia"/>
          <w:lang w:val="en-US" w:eastAsia="zh-CN"/>
        </w:rPr>
        <w:t>3. 周边居住距离分布特征</w:t>
      </w:r>
      <w:bookmarkEnd w:id="33"/>
    </w:p>
    <w:p w14:paraId="040FCA12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20" w:firstLineChars="0"/>
      </w:pPr>
      <w:r>
        <w:t>调研记录显示，读者更关注安静座位、灯光舒适度、图书更新速度、活动预约便利性以及儿童阅读区的安全性。</w:t>
      </w:r>
    </w:p>
    <w:p w14:paraId="4AA72346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20" w:firstLineChars="0"/>
      </w:pPr>
      <w:r>
        <w:t>空间更新不追求一次性大改造，而采用轻量化迭代方式。优先处理入口识别、书架分区、插座补充、通风照明、导视牌和活动收纳等影响体验的基础环节，再根据客流变化逐步引入夜间阅读、主题书展、邻里讲读和手作课堂等内容。 本轮记录覆盖68个服务节点、8类核心场景，阶段满意度约为83%，一般问题在14天内完成闭环。</w:t>
      </w:r>
    </w:p>
    <w:p w14:paraId="4A5B7B17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20" w:firstLineChars="0"/>
      </w:pPr>
      <w:r>
        <w:t>运营团队将每日开闭馆、借阅登记、场地巡检、活动签到、物资补充和意见反馈纳入同一张工作清单。</w:t>
      </w:r>
    </w:p>
    <w:p w14:paraId="575E5F76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20" w:firstLineChars="0"/>
      </w:pPr>
      <w:r>
        <w:t>数据采集坚持必要、适度、可解释的原则，不收集与阅读服务无关的个人信息。</w:t>
      </w:r>
    </w:p>
    <w:p w14:paraId="12A72927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64" w:beforeLines="50" w:beforeAutospacing="0" w:line="25" w:lineRule="atLeast"/>
        <w:jc w:val="center"/>
        <w:textAlignment w:val="auto"/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  <w:t>第二章 服务体系与空间更新</w:t>
      </w:r>
    </w:p>
    <w:p w14:paraId="15EBFBD0">
      <w:pPr>
        <w:pStyle w:val="8"/>
        <w:keepNext w:val="0"/>
        <w:keepLines w:val="0"/>
        <w:widowControl/>
        <w:suppressLineNumbers w:val="0"/>
        <w:spacing w:before="0" w:beforeLines="50" w:beforeAutospacing="1" w:after="0" w:afterAutospacing="1" w:line="300" w:lineRule="auto"/>
        <w:ind w:left="0" w:right="0" w:firstLine="420" w:firstLineChars="0"/>
        <w:rPr>
          <w:rFonts w:hint="eastAsia"/>
          <w:lang w:val="en-US" w:eastAsia="zh-CN"/>
        </w:rPr>
      </w:pPr>
      <w:r>
        <w:t>为提升服务的真实可达性，方案建议在社区公告栏、学校门口、商街转角和线上小程序同步发布开放时间、活动日历与预约规则。</w:t>
      </w:r>
    </w:p>
    <w:p w14:paraId="3D0E2B32">
      <w:pPr>
        <w:spacing w:before="0" w:beforeLines="50" w:after="0"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34" w:name="_Toc19265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1.地方配套机制</w:t>
      </w:r>
      <w:bookmarkEnd w:id="34"/>
    </w:p>
    <w:p w14:paraId="2C45F24D">
      <w:pPr>
        <w:spacing w:before="0" w:beforeLines="50" w:after="0" w:line="300" w:lineRule="auto"/>
        <w:jc w:val="center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4918075" cy="1706245"/>
            <wp:effectExtent l="0" t="0" r="4445" b="635"/>
            <wp:docPr id="1960956929" name="图表 1" descr="7b0a202020202263686172745265734964223a20223230343736383130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23853191">
      <w:pPr>
        <w:spacing w:before="0" w:beforeLines="50" w:after="0" w:line="300" w:lineRule="auto"/>
        <w:jc w:val="center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图 2 阅读活动组织流程图</w:t>
      </w:r>
    </w:p>
    <w:p w14:paraId="7DF37BEC">
      <w:pPr>
        <w:spacing w:before="0" w:beforeLines="50" w:after="0"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活动设计应避免单纯追求数量，重点关注读者是否愿意再次参加、是否产生持续阅读行为、是否带动家庭成员共同使用空间。每场活动结束后，馆员需记录参与人数、滞留时长、图书借阅转化和现场反馈，形成下一轮策划依据。 本轮记录覆盖32个服务节点、4类核心场景，阶段满意度约为67%，一般问题在7天内完成闭环。活动设计应避免单纯追求数量，重点关注读者是否愿意再次参加、是否产生持续阅读行为、是否带动家庭成员共同使用空间。每场活动结束后，馆员需记录参与人数、滞留时长、图书借阅转化和现场反馈，形成下一轮策划依据。物资管理采用低库存、快补给原则。</w:t>
      </w:r>
    </w:p>
    <w:p w14:paraId="10996D4D">
      <w:pPr>
        <w:spacing w:before="0" w:beforeLines="50" w:after="0"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35" w:name="_Toc3107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309880</wp:posOffset>
            </wp:positionH>
            <wp:positionV relativeFrom="paragraph">
              <wp:posOffset>511175</wp:posOffset>
            </wp:positionV>
            <wp:extent cx="4820920" cy="3380105"/>
            <wp:effectExtent l="186055" t="0" r="403225" b="0"/>
            <wp:wrapNone/>
            <wp:docPr id="1" name="图片 1" descr="手机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3656897&quot;,&quot;origin&quot;:0,&quot;type&quot;:&quot;icons&quot;,&quot;user&quot;:&quot;395891149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手机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920" cy="3380105"/>
                    </a:xfrm>
                    <a:prstGeom prst="rect">
                      <a:avLst/>
                    </a:prstGeom>
                    <a:effectLst>
                      <a:outerShdw blurRad="50800" dist="38100" dir="2700000" sx="103000" sy="103000" algn="tl" rotWithShape="0">
                        <a:prstClr val="black">
                          <a:alpha val="40000"/>
                        </a:prstClr>
                      </a:outerShdw>
                    </a:effectLst>
                    <a:scene3d>
                      <a:camera prst="perspectiveRelaxed">
                        <a:rot lat="17676000" lon="0" rev="0"/>
                      </a:camera>
                      <a:lightRig rig="threePt" dir="t">
                        <a:rot lat="0" lon="0" rev="0"/>
                      </a:lightRig>
                    </a:scene3d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2.协作机构行动</w:t>
      </w:r>
      <w:bookmarkEnd w:id="35"/>
    </w:p>
    <w:p w14:paraId="3A6D8202">
      <w:pPr>
        <w:numPr>
          <w:ilvl w:val="0"/>
          <w:numId w:val="0"/>
        </w:numPr>
        <w:spacing w:before="0" w:beforeLines="50" w:after="0" w:line="300" w:lineRule="auto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4077335" cy="1804670"/>
            <wp:effectExtent l="0" t="0" r="0" b="0"/>
            <wp:docPr id="372826604" name="图表 1" descr="7b0a202020202263686172745265734964223a20223230343737303035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FB4FB81">
      <w:pPr>
        <w:spacing w:before="0" w:beforeLines="50" w:after="0" w:line="300" w:lineRule="auto"/>
        <w:ind w:firstLine="480" w:firstLineChars="200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图 3 书架与座位动线布置图</w:t>
      </w:r>
    </w:p>
    <w:p w14:paraId="4BD3D0B8">
      <w:pPr>
        <w:spacing w:before="0" w:beforeLines="50" w:after="0"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物资管理采用低库存、快补给原则。常用耗材按周盘点，活动材料按场次核销，设备维修按紧急程度分为即时处理、三日内处理和月度集中处理三类。这样既能减少浪费，也能避免因缺少小物件影响活动执行。 本轮记录覆盖39个服务节点、5类核心场景，阶段满意度约为70%，一般问题在8天内完成闭环。志愿者参与以轻任务为主，包括书架整理、活动引导、亲子阅读陪伴、旧书交换登记和社区故事收集。</w:t>
      </w:r>
    </w:p>
    <w:p w14:paraId="7E71DFF9">
      <w:pPr>
        <w:spacing w:before="0" w:beforeLines="50" w:after="0"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36" w:name="_Toc3059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3.同类城市运营概况</w:t>
      </w:r>
      <w:bookmarkEnd w:id="36"/>
    </w:p>
    <w:p w14:paraId="3F4D03E6">
      <w:pPr>
        <w:numPr>
          <w:ilvl w:val="0"/>
          <w:numId w:val="0"/>
        </w:numPr>
        <w:spacing w:before="0" w:beforeLines="50" w:after="0" w:line="300" w:lineRule="auto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4970145" cy="2273300"/>
            <wp:effectExtent l="0" t="0" r="0" b="0"/>
            <wp:docPr id="18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E754070">
      <w:pPr>
        <w:spacing w:before="0" w:beforeLines="50" w:after="0" w:line="300" w:lineRule="auto"/>
        <w:ind w:firstLine="480" w:firstLineChars="200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图 4 夜间开放服务流程图</w:t>
      </w:r>
    </w:p>
    <w:p w14:paraId="11C83395">
      <w:pPr>
        <w:spacing w:before="0" w:beforeLines="50" w:after="0"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</w:t>
      </w:r>
    </w:p>
    <w:p w14:paraId="5C7EF083">
      <w:pPr>
        <w:spacing w:before="0" w:beforeLines="50" w:after="0" w:line="300" w:lineRule="auto"/>
        <w:ind w:firstLine="480" w:firstLineChars="20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37" w:name="_Toc15188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4.核心城区：建立全时段阅读生态</w:t>
      </w:r>
      <w:bookmarkEnd w:id="37"/>
    </w:p>
    <w:p w14:paraId="023AA58B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Lines="50" w:beforeAutospacing="0" w:after="0" w:afterAutospacing="0" w:line="300" w:lineRule="auto"/>
        <w:ind w:right="0" w:rightChars="0" w:firstLine="480" w:firstLineChars="200"/>
        <w:jc w:val="both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预算安排以运营稳定为先，优先保障人员值守、基础维护、图书更新、数字系统和安全巡检。装饰性投入需要与实际使用频次挂钩，低使用率区域应先通过活动导入和动线调整验证需求，再决定是否投入固定设施。 本轮记录覆盖53个服务节点、7类核心场景，阶段满意度约为76%，一般问题在10天内完成闭环。</w:t>
      </w:r>
    </w:p>
    <w:p w14:paraId="7A11DAD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Lines="50" w:beforeAutospacing="0" w:after="0" w:afterAutospacing="0" w:line="300" w:lineRule="auto"/>
        <w:ind w:right="0" w:rightChars="0" w:firstLine="480" w:firstLineChars="200"/>
        <w:jc w:val="center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4897120" cy="2178050"/>
            <wp:effectExtent l="0" t="0" r="0" b="0"/>
            <wp:docPr id="1495487836" name="图表 1" descr="7b0a202020202263686172745265734964223a20223230343736353937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25D880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Lines="50" w:beforeAutospacing="0" w:after="0" w:afterAutospacing="0" w:line="300" w:lineRule="auto"/>
        <w:ind w:right="0" w:rightChars="0" w:firstLine="480" w:firstLineChars="200"/>
        <w:jc w:val="center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图 5 小程序预约路径图</w:t>
      </w:r>
    </w:p>
    <w:p w14:paraId="2D9E3D81">
      <w:pPr>
        <w:spacing w:before="0" w:beforeLines="50" w:after="0"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方案围绕公共书房的连续开放、活动排期、读者服务和空间维护展开，重点解决小型文化空间在日常管理中常见的排班不均、设备闲置、活动重复和服务反馈滞后等问题。通过统一的运营台账、分级服务包和月度复盘机制，各点位可以在保持本地特色的同时，形成可复制的管理标准。 本轮记录覆盖60个服务节点、8类核心场景，阶段满意度约为79%，一般问题在11天内完成闭环。</w:t>
      </w:r>
    </w:p>
    <w:p w14:paraId="6D536B1E">
      <w:pPr>
        <w:spacing w:before="0" w:beforeLines="50" w:after="0"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38" w:name="_Toc26966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5.特色街区：文旅阅读场景融合</w:t>
      </w:r>
      <w:bookmarkEnd w:id="38"/>
    </w:p>
    <w:p w14:paraId="602726A4">
      <w:pPr>
        <w:spacing w:before="0" w:beforeLines="50" w:after="0" w:line="300" w:lineRule="auto"/>
        <w:ind w:firstLine="480" w:firstLineChars="20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5542915" cy="2347595"/>
            <wp:effectExtent l="0" t="0" r="4445" b="14605"/>
            <wp:docPr id="1116985190" name="图表 1" descr="7b0a202020202263686172745265734964223a20223530303539353735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7694F19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Lines="50" w:beforeAutospacing="0" w:after="0" w:afterAutospacing="0" w:line="300" w:lineRule="auto"/>
        <w:ind w:right="0" w:rightChars="0" w:firstLine="480" w:firstLineChars="20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图 6 读者反馈闭环图</w:t>
      </w:r>
    </w:p>
    <w:p w14:paraId="3CFCB65F">
      <w:pPr>
        <w:spacing w:before="0" w:beforeLines="50" w:after="0"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调研记录显示，读者更关注安静座位、灯光舒适度、图书更新速度、活动预约便利性以及儿童阅读区的安全性。围绕这些高频需求，方案将服务内容拆分为基础阅读、亲子陪伴、社群活动、数字借阅和社区共创五个模块，便于后续按片区进行组合投放。 本轮记录覆盖67个服务节点、9类核心场景，阶段满意度约为82%，一般问题在12天内完成闭环。志愿者参与以轻任务为主，包括书架整理、活动引导、亲子阅读陪伴、旧书交换登记和社区故事收集。</w:t>
      </w:r>
    </w:p>
    <w:p w14:paraId="42431DC5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beforeAutospacing="0" w:line="25" w:lineRule="atLeast"/>
        <w:jc w:val="left"/>
        <w:textAlignment w:val="auto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>一、采用轻量化迭代方式</w:t>
      </w:r>
    </w:p>
    <w:p w14:paraId="1FF16F9A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beforeAutospacing="0" w:line="25" w:lineRule="atLeast"/>
        <w:textAlignment w:val="auto"/>
        <w:outlineLvl w:val="1"/>
        <w:rPr>
          <w:rFonts w:hint="eastAsia" w:eastAsia="黑体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（一）青禾</w:t>
      </w:r>
      <w:r>
        <w:rPr>
          <w:rFonts w:hint="eastAsia" w:eastAsia="黑体"/>
          <w:b w:val="0"/>
          <w:bCs w:val="0"/>
          <w:sz w:val="28"/>
          <w:szCs w:val="28"/>
          <w:lang w:val="en-US" w:eastAsia="zh-CN"/>
        </w:rPr>
        <w:t>片区公共书房建设现状</w:t>
      </w:r>
    </w:p>
    <w:p w14:paraId="2440DCB1">
      <w:pPr>
        <w:ind w:firstLine="480" w:firstLineChars="200"/>
        <w:jc w:val="left"/>
        <w:rPr>
          <w:rFonts w:hint="default" w:ascii="宋体" w:hAnsi="宋体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Times New Roman"/>
          <w:kern w:val="0"/>
          <w:sz w:val="24"/>
          <w:szCs w:val="24"/>
          <w:lang w:val="en-US" w:eastAsia="zh-CN"/>
        </w:rPr>
        <w:t>1.已有资源与待补充清单</w:t>
      </w:r>
    </w:p>
    <w:p w14:paraId="733E358E">
      <w:pPr>
        <w:ind w:firstLine="480" w:firstLineChars="200"/>
        <w:jc w:val="left"/>
        <w:rPr>
          <w:rFonts w:hint="eastAsia" w:ascii="宋体" w:hAnsi="宋体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Times New Roman"/>
          <w:kern w:val="0"/>
          <w:sz w:val="24"/>
          <w:szCs w:val="24"/>
          <w:lang w:val="en-US" w:eastAsia="zh-CN"/>
        </w:rPr>
        <w:t>运营团队将每日开闭馆、借阅登记、场地巡检、活动签到、物资补充和意见反馈纳入同一张工作清单。</w:t>
      </w:r>
    </w:p>
    <w:p w14:paraId="699CDD9A">
      <w:pPr>
        <w:ind w:firstLine="480" w:firstLineChars="200"/>
        <w:jc w:val="left"/>
        <w:rPr>
          <w:rFonts w:hint="eastAsia" w:ascii="宋体" w:hAnsi="宋体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Times New Roman"/>
          <w:kern w:val="0"/>
          <w:sz w:val="24"/>
          <w:szCs w:val="24"/>
          <w:lang w:val="en-US" w:eastAsia="zh-CN"/>
        </w:rPr>
        <w:t>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 本轮记录覆盖24个服务节点、4类核心场景，阶段满意度约为91%，一般问题在15天内完成闭环。数据采集坚持必要、适度、可解释的原则，不收集与阅读服务无关的个人信息。</w:t>
      </w:r>
    </w:p>
    <w:p w14:paraId="56E1683E">
      <w:pPr>
        <w:ind w:firstLine="480" w:firstLineChars="200"/>
        <w:jc w:val="left"/>
        <w:rPr>
          <w:rFonts w:hint="default" w:ascii="宋体" w:hAnsi="宋体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Times New Roman"/>
          <w:kern w:val="0"/>
          <w:sz w:val="24"/>
          <w:szCs w:val="24"/>
          <w:lang w:val="en-US" w:eastAsia="zh-CN"/>
        </w:rPr>
        <w:t>2.社区共建参与情况</w:t>
      </w:r>
    </w:p>
    <w:p w14:paraId="75A95471">
      <w:pPr>
        <w:ind w:firstLine="480" w:firstLineChars="200"/>
        <w:jc w:val="left"/>
        <w:rPr>
          <w:rFonts w:hint="eastAsia" w:ascii="宋体" w:hAnsi="宋体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Times New Roman"/>
          <w:kern w:val="0"/>
          <w:sz w:val="24"/>
          <w:szCs w:val="24"/>
          <w:lang w:val="en-US" w:eastAsia="zh-CN"/>
        </w:rPr>
        <w:t>为提升服务的真实可达性，方案建议在社区公告栏、学校门口、商街转角和线上小程序同步发布开放时间、活动日历与预约规则。导视信息应使用简洁文字和统一图标，让首次到访者能够快速找到入口、还书点、亲子区和安静阅读区。 本轮记录覆盖31个服务节点、5类核心场景，阶段满意度约为66%，一般问题在16天内完成闭环。</w:t>
      </w:r>
    </w:p>
    <w:p w14:paraId="3431AED7">
      <w:pPr>
        <w:ind w:firstLine="480" w:firstLineChars="200"/>
        <w:jc w:val="left"/>
        <w:rPr>
          <w:rFonts w:hint="eastAsia" w:ascii="宋体" w:hAnsi="宋体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Times New Roman"/>
          <w:kern w:val="0"/>
          <w:sz w:val="24"/>
          <w:szCs w:val="24"/>
          <w:lang w:val="en-US" w:eastAsia="zh-CN"/>
        </w:rPr>
        <w:t>活动设计应避免单纯追求数量，重点关注读者是否愿意再次参加、是否产生持续阅读行为、是否带动家庭成员共同使用空间。每场活动结束后，馆员需记录参与人数、滞留时长、图书借阅转化和现场反馈，形成下一轮策划依据。 本轮记录覆盖38个服务节点、6类核心场景，阶段满意度约为69%，一般问题在17天内完成闭环。物资管理采用低库存、快补给原则。</w:t>
      </w:r>
    </w:p>
    <w:p w14:paraId="2E186BDE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beforeAutospacing="0" w:line="25" w:lineRule="atLeast"/>
        <w:textAlignment w:val="auto"/>
        <w:outlineLvl w:val="1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（二）公共书房使用情况分析</w:t>
      </w:r>
    </w:p>
    <w:p w14:paraId="33025A80">
      <w:pPr>
        <w:keepNext w:val="0"/>
        <w:keepLines w:val="0"/>
        <w:widowControl/>
        <w:numPr>
          <w:ilvl w:val="0"/>
          <w:numId w:val="0"/>
        </w:numPr>
        <w:suppressLineNumbers w:val="0"/>
        <w:ind w:firstLine="480" w:firstLineChars="200"/>
        <w:jc w:val="left"/>
        <w:rPr>
          <w:rFonts w:hint="eastAsia" w:ascii="宋体" w:hAnsi="宋体" w:eastAsia="宋体" w:cs="Times New Roman"/>
          <w:b w:val="0"/>
          <w:bCs w:val="0"/>
          <w:color w:val="auto"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物资管理采用低库存、快补给原则。常用耗材按周盘点，活动材料按场次核销，设备维修按紧急程度分为即时处理、三日内处理和月度集中处理三类。</w:t>
      </w:r>
    </w:p>
    <w:p w14:paraId="6CC45F02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</w:t>
      </w:r>
    </w:p>
    <w:p w14:paraId="7C85698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INCLUDEPICTURE \d "C:\\Users\\HUAWEI\\Downloads\\1764576382941.png" \* MERGEFORMATINET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2333625" cy="3014980"/>
            <wp:effectExtent l="0" t="0" r="13335" b="254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INCLUDEPICTURE \d "C:\\Users\\HUAWEI\\Downloads\\绘制网约阅读服务员人数折线图 (3).png" \* MERGEFORMATINET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drawing>
          <wp:inline distT="0" distB="0" distL="114300" distR="114300">
            <wp:extent cx="2912745" cy="3193415"/>
            <wp:effectExtent l="0" t="0" r="0" b="6985"/>
            <wp:docPr id="48" name="图片 4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rcRect r="-3156" b="8652"/>
                    <a:stretch>
                      <a:fillRect/>
                    </a:stretch>
                  </pic:blipFill>
                  <pic:spPr>
                    <a:xfrm>
                      <a:off x="0" y="0"/>
                      <a:ext cx="2912745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fldChar w:fldCharType="end"/>
      </w:r>
    </w:p>
    <w:p w14:paraId="430D44C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center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图 7 亲子阅读区安全巡检图</w:t>
      </w:r>
    </w:p>
    <w:p w14:paraId="44BEF74D">
      <w:pPr>
        <w:ind w:firstLine="480" w:firstLineChars="200"/>
        <w:jc w:val="left"/>
        <w:rPr>
          <w:rFonts w:hint="eastAsia" w:ascii="宋体" w:hAnsi="宋体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Times New Roman"/>
          <w:kern w:val="0"/>
          <w:sz w:val="24"/>
          <w:szCs w:val="24"/>
          <w:lang w:val="en-US" w:eastAsia="zh-CN"/>
        </w:rPr>
        <w:t>1.过去一个月内到访公共书房、共享书架、阅读活动点的频率</w:t>
      </w:r>
    </w:p>
    <w:p w14:paraId="4CE5D11B">
      <w:pPr>
        <w:ind w:firstLine="480" w:firstLineChars="200"/>
        <w:jc w:val="left"/>
        <w:rPr>
          <w:rFonts w:hint="eastAsia" w:ascii="宋体" w:hAnsi="宋体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Times New Roman"/>
          <w:kern w:val="0"/>
          <w:sz w:val="24"/>
          <w:szCs w:val="24"/>
          <w:lang w:val="en-US" w:eastAsia="zh-CN"/>
        </w:rPr>
        <w:t>本方案围绕公共书房的连续开放、活动排期、读者服务和空间维护展开，重点解决小型文化空间在日常管理中常见的排班不均、设备闲置、活动重复和服务反馈滞后等问题。通过统一的运营台账、分级服务包和月度复盘机制，各点位可以在保持本地特色的同时，形成可复制的管理标准。 本轮记录覆盖66个服务节点、2类核心场景，阶段满意度约为81%，一般问题在10天内完成闭环。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</w:t>
      </w:r>
    </w:p>
    <w:p w14:paraId="3D7EC943">
      <w:pPr>
        <w:ind w:firstLine="480" w:firstLineChars="200"/>
        <w:jc w:val="left"/>
        <w:rPr>
          <w:rFonts w:hint="eastAsia" w:ascii="宋体" w:hAnsi="宋体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Times New Roman"/>
          <w:kern w:val="0"/>
          <w:sz w:val="24"/>
          <w:szCs w:val="24"/>
          <w:lang w:val="en-US" w:eastAsia="zh-CN"/>
        </w:rPr>
        <w:t>2.主要使用的服务类型</w:t>
      </w:r>
    </w:p>
    <w:p w14:paraId="0B0884E0">
      <w:pPr>
        <w:ind w:firstLine="480" w:firstLineChars="200"/>
        <w:jc w:val="left"/>
        <w:rPr>
          <w:rFonts w:hint="eastAsia" w:ascii="宋体" w:hAnsi="宋体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Times New Roman"/>
          <w:kern w:val="0"/>
          <w:sz w:val="24"/>
          <w:szCs w:val="24"/>
          <w:lang w:val="en-US" w:eastAsia="zh-CN"/>
        </w:rPr>
        <w:t>调研记录显示，读者更关注安静座位、灯光舒适度、图书更新速度、活动预约便利性以及儿童阅读区的安全性。围绕这些高频需求，方案将服务内容拆分为基础阅读、亲子陪伴、社群活动、数字借阅和社区共创五个模块，便于后续按片区进行组合投放。 本轮记录覆盖73个服务节点、3类核心场景，阶段满意度约为84%，一般问题在11天内完成闭环。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</w:t>
      </w:r>
    </w:p>
    <w:p w14:paraId="6DCC608A">
      <w:pPr>
        <w:ind w:firstLine="480" w:firstLineChars="200"/>
        <w:jc w:val="left"/>
        <w:rPr>
          <w:rFonts w:hint="eastAsia" w:ascii="宋体" w:hAnsi="宋体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Times New Roman"/>
          <w:kern w:val="0"/>
          <w:sz w:val="24"/>
          <w:szCs w:val="24"/>
          <w:lang w:val="en-US" w:eastAsia="zh-CN"/>
        </w:rPr>
        <w:t>3.未到访的主要原因</w:t>
      </w:r>
    </w:p>
    <w:p w14:paraId="086CD661">
      <w:pPr>
        <w:ind w:firstLine="480" w:firstLineChars="200"/>
        <w:jc w:val="left"/>
        <w:rPr>
          <w:rFonts w:hint="eastAsia" w:ascii="宋体" w:hAnsi="宋体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Times New Roman"/>
          <w:kern w:val="0"/>
          <w:sz w:val="24"/>
          <w:szCs w:val="24"/>
          <w:lang w:val="en-US" w:eastAsia="zh-CN"/>
        </w:rPr>
        <w:t>空间更新不追求一次性大改造，而采用轻量化迭代方式。优先处理入口识别、书架分区、插座补充、通风照明、导视牌和活动收纳等影响体验的基础环节，再根据客流变化逐步引入夜间阅读、主题书展、邻里讲读和手作课堂等内容。 本轮记录覆盖80个服务节点、4类核心场景，阶段满意度约为87%，一般问题在12天内完成闭环。</w:t>
      </w:r>
    </w:p>
    <w:p w14:paraId="2CB15E07">
      <w:pPr>
        <w:ind w:firstLine="480" w:firstLineChars="200"/>
        <w:jc w:val="left"/>
        <w:rPr>
          <w:rFonts w:hint="eastAsia" w:ascii="宋体" w:hAnsi="宋体" w:eastAsia="宋体" w:cs="Times New Roman"/>
          <w:kern w:val="0"/>
          <w:sz w:val="24"/>
          <w:szCs w:val="24"/>
          <w:lang w:val="en-US" w:eastAsia="zh-CN"/>
        </w:rPr>
      </w:pPr>
    </w:p>
    <w:tbl>
      <w:tblPr>
        <w:tblStyle w:val="10"/>
        <w:tblW w:w="0" w:type="auto"/>
        <w:tblInd w:w="0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3"/>
        <w:gridCol w:w="1140"/>
        <w:gridCol w:w="6349"/>
      </w:tblGrid>
      <w:tr w14:paraId="41A58417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</w:trPr>
        <w:tc>
          <w:tcPr>
            <w:tcW w:w="103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B8D068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leftChars="0" w:right="0" w:firstLine="0" w:firstLineChars="0"/>
              <w:jc w:val="center"/>
              <w:rPr>
                <w:rFonts w:hint="eastAsia"/>
                <w:b/>
                <w:bCs w:val="0"/>
                <w:i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b/>
                <w:bCs w:val="0"/>
                <w:i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类别</w:t>
            </w:r>
          </w:p>
          <w:p w14:paraId="470AF878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leftChars="0" w:right="0" w:firstLine="0" w:firstLineChars="0"/>
              <w:jc w:val="center"/>
              <w:rPr>
                <w:rFonts w:hint="eastAsia" w:eastAsia="宋体"/>
                <w:b/>
                <w:bCs w:val="0"/>
                <w:i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4323B2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leftChars="0" w:right="0" w:firstLine="0" w:firstLineChars="0"/>
              <w:jc w:val="center"/>
              <w:rPr>
                <w:rFonts w:hint="eastAsia" w:eastAsia="宋体"/>
                <w:b/>
                <w:bCs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 w:val="0"/>
                <w:i w:val="0"/>
                <w:color w:val="000000"/>
                <w:vertAlign w:val="baseline"/>
                <w:lang w:val="en-US" w:eastAsia="zh-CN"/>
              </w:rPr>
              <w:t>点位/指标</w:t>
            </w:r>
          </w:p>
        </w:tc>
        <w:tc>
          <w:tcPr>
            <w:tcW w:w="634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5E7A74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right="0"/>
              <w:jc w:val="center"/>
              <w:rPr>
                <w:rFonts w:hint="default"/>
                <w:b/>
                <w:bCs w:val="0"/>
                <w:i w:val="0"/>
                <w:color w:val="000000"/>
                <w:vertAlign w:val="baseline"/>
              </w:rPr>
            </w:pPr>
            <w:r>
              <w:rPr>
                <w:rFonts w:hint="eastAsia" w:eastAsia="宋体"/>
                <w:b/>
                <w:bCs w:val="0"/>
                <w:i w:val="0"/>
                <w:color w:val="000000"/>
                <w:vertAlign w:val="baseline"/>
              </w:rPr>
              <w:t>执行要点</w:t>
            </w:r>
          </w:p>
        </w:tc>
      </w:tr>
      <w:tr w14:paraId="272ADECD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E4746B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leftChars="0" w:right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b/>
                <w:bCs w:val="0"/>
                <w:i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 w:val="0"/>
                <w:i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银杏书舍</w:t>
            </w:r>
          </w:p>
          <w:p w14:paraId="5E36A02A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leftChars="0" w:right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b/>
                <w:bCs w:val="0"/>
                <w:i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EFA333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leftChars="0" w:right="0" w:firstLine="0" w:firstLineChars="0"/>
              <w:jc w:val="center"/>
              <w:rPr>
                <w:rFonts w:hint="eastAsia" w:ascii="黑体" w:hAnsi="黑体" w:eastAsia="黑体" w:cs="黑体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宋体" w:cs="黑体"/>
                <w:b w:val="0"/>
                <w:i w:val="0"/>
                <w:color w:val="000000"/>
                <w:vertAlign w:val="baseline"/>
                <w:lang w:val="en-US" w:eastAsia="zh-CN"/>
              </w:rPr>
              <w:t>手作课堂</w:t>
            </w:r>
          </w:p>
        </w:tc>
        <w:tc>
          <w:tcPr>
            <w:tcW w:w="634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D9ACE7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leftChars="0" w:right="0" w:firstLine="0" w:firstLineChars="0"/>
              <w:jc w:val="center"/>
              <w:rPr>
                <w:rFonts w:hint="eastAsia" w:ascii="黑体" w:hAnsi="黑体" w:eastAsia="黑体" w:cs="黑体"/>
                <w:b w:val="0"/>
                <w:i w:val="0"/>
                <w:color w:val="000000"/>
                <w:vertAlign w:val="baseline"/>
              </w:rPr>
            </w:pPr>
            <w:r>
              <w:rPr>
                <w:rFonts w:hint="eastAsia" w:ascii="黑体" w:hAnsi="黑体" w:eastAsia="宋体" w:cs="黑体"/>
                <w:b w:val="0"/>
                <w:i w:val="0"/>
                <w:color w:val="000000"/>
                <w:vertAlign w:val="baseline"/>
              </w:rPr>
              <w:t>配置21个座位，月均活动5场，问题闭环率84%。</w:t>
            </w:r>
          </w:p>
        </w:tc>
      </w:tr>
      <w:tr w14:paraId="20D395A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69B429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b/>
                <w:bCs w:val="0"/>
                <w:i w:val="0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</w:rPr>
              <w:t>灯塔共享厅</w:t>
            </w:r>
          </w:p>
        </w:tc>
        <w:tc>
          <w:tcPr>
            <w:tcW w:w="11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62C145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leftChars="0" w:right="0" w:firstLine="0" w:firstLineChars="0"/>
              <w:jc w:val="center"/>
              <w:rPr>
                <w:rFonts w:hint="eastAsia" w:ascii="黑体" w:hAnsi="黑体" w:eastAsia="黑体" w:cs="黑体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宋体" w:cs="黑体"/>
                <w:b w:val="0"/>
                <w:i w:val="0"/>
                <w:color w:val="000000"/>
                <w:vertAlign w:val="baseline"/>
                <w:lang w:val="en-US" w:eastAsia="zh-CN"/>
              </w:rPr>
              <w:t>数字借阅</w:t>
            </w:r>
          </w:p>
          <w:p w14:paraId="67BF75E3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leftChars="0" w:right="0" w:firstLine="0" w:firstLineChars="0"/>
              <w:jc w:val="center"/>
              <w:rPr>
                <w:rFonts w:hint="eastAsia" w:ascii="黑体" w:hAnsi="黑体" w:eastAsia="黑体" w:cs="黑体"/>
                <w:b w:val="0"/>
                <w:i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634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31588F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leftChars="0" w:right="0" w:firstLine="0" w:firstLineChars="0"/>
              <w:jc w:val="center"/>
              <w:rPr>
                <w:rFonts w:hint="eastAsia" w:ascii="黑体" w:hAnsi="黑体" w:eastAsia="黑体" w:cs="黑体"/>
                <w:b w:val="0"/>
                <w:i w:val="0"/>
                <w:color w:val="000000"/>
                <w:vertAlign w:val="baseline"/>
              </w:rPr>
            </w:pPr>
            <w:r>
              <w:rPr>
                <w:rFonts w:hint="eastAsia" w:ascii="黑体" w:hAnsi="黑体" w:eastAsia="宋体" w:cs="黑体"/>
                <w:b w:val="0"/>
                <w:i w:val="0"/>
                <w:color w:val="000000"/>
                <w:vertAlign w:val="baseline"/>
              </w:rPr>
              <w:t>配置24个座位，月均活动6场，问题闭环率86%。</w:t>
            </w:r>
          </w:p>
        </w:tc>
      </w:tr>
      <w:tr w14:paraId="7978E5D8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232ED8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b/>
                <w:bCs w:val="0"/>
                <w:i w:val="0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</w:rPr>
              <w:t>栖岸书廊</w:t>
            </w:r>
          </w:p>
        </w:tc>
        <w:tc>
          <w:tcPr>
            <w:tcW w:w="11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7B4236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leftChars="0" w:right="0" w:firstLine="0" w:firstLineChars="0"/>
              <w:jc w:val="center"/>
              <w:rPr>
                <w:rFonts w:hint="eastAsia" w:ascii="黑体" w:hAnsi="黑体" w:eastAsia="黑体" w:cs="黑体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宋体" w:cs="黑体"/>
                <w:b w:val="0"/>
                <w:i w:val="0"/>
                <w:color w:val="000000"/>
                <w:vertAlign w:val="baseline"/>
                <w:lang w:val="en-US" w:eastAsia="zh-CN"/>
              </w:rPr>
              <w:t>社区讲读</w:t>
            </w:r>
          </w:p>
          <w:p w14:paraId="702BC910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leftChars="0" w:right="0" w:firstLine="0" w:firstLineChars="0"/>
              <w:jc w:val="center"/>
              <w:rPr>
                <w:rFonts w:hint="eastAsia" w:ascii="黑体" w:hAnsi="黑体" w:eastAsia="黑体" w:cs="黑体"/>
                <w:b w:val="0"/>
                <w:i w:val="0"/>
                <w:color w:val="000000"/>
                <w:vertAlign w:val="baseline"/>
                <w:lang w:val="en-US" w:eastAsia="zh-CN"/>
              </w:rPr>
            </w:pPr>
          </w:p>
        </w:tc>
        <w:tc>
          <w:tcPr>
            <w:tcW w:w="634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333C31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leftChars="0" w:right="0" w:firstLine="0" w:firstLineChars="0"/>
              <w:jc w:val="center"/>
              <w:rPr>
                <w:rFonts w:hint="eastAsia" w:ascii="黑体" w:hAnsi="黑体" w:eastAsia="黑体" w:cs="黑体"/>
                <w:b w:val="0"/>
                <w:i w:val="0"/>
                <w:color w:val="000000"/>
                <w:vertAlign w:val="baseline"/>
              </w:rPr>
            </w:pPr>
            <w:r>
              <w:rPr>
                <w:rFonts w:hint="eastAsia" w:ascii="黑体" w:hAnsi="黑体" w:eastAsia="宋体" w:cs="黑体"/>
                <w:b w:val="0"/>
                <w:i w:val="0"/>
                <w:color w:val="000000"/>
                <w:vertAlign w:val="baseline"/>
              </w:rPr>
              <w:t>配置27个座位，月均活动7场，问题闭环率88%。</w:t>
            </w:r>
          </w:p>
        </w:tc>
      </w:tr>
      <w:tr w14:paraId="6E9A1B3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4872BD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leftChars="0" w:right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b/>
                <w:bCs w:val="0"/>
                <w:i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0C64C923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leftChars="0" w:right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b/>
                <w:bCs w:val="0"/>
                <w:i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7095FA6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leftChars="0" w:right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b/>
                <w:bCs w:val="0"/>
                <w:i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 w:val="0"/>
                <w:i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花径活动室</w:t>
            </w:r>
          </w:p>
        </w:tc>
        <w:tc>
          <w:tcPr>
            <w:tcW w:w="11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852474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leftChars="0" w:right="0" w:firstLine="0" w:firstLineChars="0"/>
              <w:jc w:val="center"/>
              <w:rPr>
                <w:rFonts w:hint="eastAsia" w:ascii="黑体" w:hAnsi="黑体" w:eastAsia="黑体" w:cs="黑体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宋体" w:cs="黑体"/>
                <w:b w:val="0"/>
                <w:i w:val="0"/>
                <w:color w:val="000000"/>
                <w:vertAlign w:val="baseline"/>
                <w:lang w:val="en-US" w:eastAsia="zh-CN"/>
              </w:rPr>
              <w:t>安静办公</w:t>
            </w:r>
          </w:p>
        </w:tc>
        <w:tc>
          <w:tcPr>
            <w:tcW w:w="634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031AC9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leftChars="0" w:right="0" w:firstLine="0" w:firstLineChars="0"/>
              <w:jc w:val="center"/>
              <w:rPr>
                <w:rFonts w:hint="eastAsia" w:ascii="黑体" w:hAnsi="黑体" w:eastAsia="黑体" w:cs="黑体"/>
                <w:b w:val="0"/>
                <w:i w:val="0"/>
                <w:color w:val="000000"/>
                <w:vertAlign w:val="baseline"/>
              </w:rPr>
            </w:pPr>
            <w:r>
              <w:rPr>
                <w:rFonts w:hint="eastAsia" w:ascii="黑体" w:hAnsi="黑体" w:eastAsia="宋体" w:cs="黑体"/>
                <w:b w:val="0"/>
                <w:i w:val="0"/>
                <w:color w:val="000000"/>
                <w:vertAlign w:val="baseline"/>
              </w:rPr>
              <w:t>配置30个座位，月均活动8场，问题闭环率90%。</w:t>
            </w:r>
          </w:p>
        </w:tc>
      </w:tr>
      <w:tr w14:paraId="4B0D65F0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CD38F8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b/>
                <w:bCs w:val="0"/>
                <w:i w:val="0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</w:rPr>
              <w:t>海风书房</w:t>
            </w:r>
          </w:p>
        </w:tc>
        <w:tc>
          <w:tcPr>
            <w:tcW w:w="11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6D8064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leftChars="0" w:right="0" w:firstLine="0" w:firstLineChars="0"/>
              <w:jc w:val="center"/>
              <w:rPr>
                <w:rFonts w:hint="eastAsia" w:ascii="黑体" w:hAnsi="黑体" w:eastAsia="宋体" w:cs="黑体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宋体" w:cs="黑体"/>
                <w:b w:val="0"/>
                <w:i w:val="0"/>
                <w:color w:val="000000"/>
                <w:vertAlign w:val="baseline"/>
                <w:lang w:val="en-US" w:eastAsia="zh-CN"/>
              </w:rPr>
              <w:t>周末沙龙</w:t>
            </w:r>
          </w:p>
        </w:tc>
        <w:tc>
          <w:tcPr>
            <w:tcW w:w="634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F2E49D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leftChars="0" w:right="0" w:firstLine="0" w:firstLineChars="0"/>
              <w:jc w:val="center"/>
              <w:rPr>
                <w:rFonts w:hint="eastAsia" w:ascii="黑体" w:hAnsi="黑体" w:eastAsia="宋体" w:cs="黑体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宋体" w:cs="黑体"/>
                <w:b w:val="0"/>
                <w:i w:val="0"/>
                <w:color w:val="000000"/>
                <w:vertAlign w:val="baseline"/>
                <w:lang w:val="en-US" w:eastAsia="zh-CN"/>
              </w:rPr>
              <w:t>配置33个座位，月均活动9场，问题闭环率92%。</w:t>
            </w:r>
          </w:p>
        </w:tc>
      </w:tr>
      <w:tr w14:paraId="2C2A9A59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7" w:hRule="atLeast"/>
        </w:trPr>
        <w:tc>
          <w:tcPr>
            <w:tcW w:w="1033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9D9FE4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right="0"/>
              <w:jc w:val="center"/>
              <w:rPr>
                <w:rFonts w:hint="eastAsia" w:asciiTheme="majorEastAsia" w:hAnsiTheme="majorEastAsia" w:eastAsiaTheme="majorEastAsia" w:cstheme="majorEastAsia"/>
                <w:b/>
                <w:bCs w:val="0"/>
                <w:i w:val="0"/>
                <w:color w:val="000000" w:themeColor="text1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</w:rPr>
              <w:t>松石书屋</w:t>
            </w:r>
          </w:p>
        </w:tc>
        <w:tc>
          <w:tcPr>
            <w:tcW w:w="11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9B7C79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leftChars="0" w:right="0" w:firstLine="0" w:firstLineChars="0"/>
              <w:jc w:val="center"/>
              <w:rPr>
                <w:rFonts w:hint="eastAsia" w:ascii="黑体" w:hAnsi="黑体" w:eastAsia="宋体" w:cs="黑体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宋体" w:cs="黑体"/>
                <w:b w:val="0"/>
                <w:i w:val="0"/>
                <w:color w:val="000000"/>
                <w:vertAlign w:val="baseline"/>
                <w:lang w:val="en-US" w:eastAsia="zh-CN"/>
              </w:rPr>
              <w:t>晨间自习</w:t>
            </w:r>
          </w:p>
        </w:tc>
        <w:tc>
          <w:tcPr>
            <w:tcW w:w="634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tbl>
            <w:tblPr>
              <w:tblStyle w:val="9"/>
              <w:tblW w:w="7488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7488"/>
            </w:tblGrid>
            <w:tr w14:paraId="470882B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752" w:hRule="atLeast"/>
                <w:jc w:val="center"/>
              </w:trPr>
              <w:tc>
                <w:tcPr>
                  <w:tcW w:w="7488" w:type="dxa"/>
                  <w:shd w:val="clear" w:color="auto" w:fill="FFFFFF"/>
                  <w:tcMar>
                    <w:top w:w="120" w:type="dxa"/>
                    <w:left w:w="192" w:type="dxa"/>
                    <w:bottom w:w="120" w:type="dxa"/>
                    <w:right w:w="0" w:type="dxa"/>
                  </w:tcMar>
                  <w:vAlign w:val="center"/>
                </w:tcPr>
                <w:p w14:paraId="6F82E2AF">
                  <w:pPr>
                    <w:keepNext w:val="0"/>
                    <w:keepLines w:val="0"/>
                    <w:suppressLineNumbers w:val="0"/>
                    <w:spacing w:before="60" w:beforeAutospacing="0" w:after="60" w:afterAutospacing="0" w:line="240" w:lineRule="auto"/>
                    <w:ind w:left="0" w:leftChars="0" w:right="0" w:firstLine="1260" w:firstLineChars="600"/>
                    <w:jc w:val="both"/>
                    <w:rPr>
                      <w:rFonts w:hint="eastAsia" w:ascii="黑体" w:hAnsi="黑体" w:eastAsia="宋体" w:cs="黑体"/>
                      <w:b w:val="0"/>
                      <w:i w:val="0"/>
                      <w:color w:val="00000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宋体" w:cs="黑体"/>
                      <w:b w:val="0"/>
                      <w:i w:val="0"/>
                      <w:color w:val="000000"/>
                      <w:vertAlign w:val="baseline"/>
                      <w:lang w:val="en-US" w:eastAsia="zh-CN"/>
                    </w:rPr>
                    <w:t>配置50个座位，月均活动15场，问题闭环率92%。</w:t>
                  </w:r>
                </w:p>
              </w:tc>
            </w:tr>
          </w:tbl>
          <w:p w14:paraId="644FB908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leftChars="0" w:right="0" w:firstLine="0" w:firstLineChars="0"/>
              <w:jc w:val="center"/>
              <w:rPr>
                <w:rFonts w:hint="eastAsia" w:ascii="黑体" w:hAnsi="黑体" w:eastAsia="宋体" w:cs="黑体"/>
                <w:b w:val="0"/>
                <w:i w:val="0"/>
                <w:color w:val="000000"/>
                <w:vertAlign w:val="baseline"/>
                <w:lang w:val="en-US" w:eastAsia="zh-CN"/>
              </w:rPr>
            </w:pPr>
          </w:p>
        </w:tc>
      </w:tr>
      <w:tr w14:paraId="07C58A7C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8" w:hRule="atLeast"/>
        </w:trPr>
        <w:tc>
          <w:tcPr>
            <w:tcW w:w="1033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F8313F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leftChars="0" w:right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b/>
                <w:bCs w:val="0"/>
                <w:i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 w:val="0"/>
                <w:i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云汀阅读角</w:t>
            </w:r>
          </w:p>
          <w:p w14:paraId="62E13754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leftChars="0" w:right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b/>
                <w:bCs w:val="0"/>
                <w:i w:val="0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1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AE366B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leftChars="0" w:right="0" w:firstLine="0" w:firstLineChars="0"/>
              <w:jc w:val="center"/>
              <w:rPr>
                <w:rFonts w:hint="eastAsia" w:ascii="黑体" w:hAnsi="黑体" w:eastAsia="黑体" w:cs="黑体"/>
                <w:b w:val="0"/>
                <w:i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宋体" w:cs="黑体"/>
                <w:b w:val="0"/>
                <w:i w:val="0"/>
                <w:color w:val="000000"/>
                <w:vertAlign w:val="baseline"/>
                <w:lang w:val="en-US" w:eastAsia="zh-CN"/>
              </w:rPr>
              <w:t>亲子共读</w:t>
            </w:r>
          </w:p>
        </w:tc>
        <w:tc>
          <w:tcPr>
            <w:tcW w:w="634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3FC721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leftChars="0" w:right="0" w:firstLine="0" w:firstLineChars="0"/>
              <w:jc w:val="center"/>
              <w:rPr>
                <w:rFonts w:hint="eastAsia" w:ascii="黑体" w:hAnsi="黑体" w:eastAsia="黑体" w:cs="黑体"/>
                <w:b w:val="0"/>
                <w:i w:val="0"/>
                <w:color w:val="000000"/>
                <w:vertAlign w:val="baseline"/>
              </w:rPr>
            </w:pPr>
            <w:r>
              <w:rPr>
                <w:rFonts w:hint="eastAsia" w:ascii="黑体" w:hAnsi="黑体" w:eastAsia="宋体" w:cs="黑体"/>
                <w:b w:val="0"/>
                <w:i w:val="0"/>
                <w:color w:val="000000"/>
                <w:vertAlign w:val="baseline"/>
              </w:rPr>
              <w:t>配置39个座位，月均活动5场，问题闭环率96%。</w:t>
            </w:r>
          </w:p>
        </w:tc>
      </w:tr>
      <w:tr w14:paraId="54AD47AB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vMerge w:val="continue"/>
            <w:tcBorders>
              <w:tl2br w:val="nil"/>
              <w:tr2bl w:val="nil"/>
            </w:tcBorders>
            <w:shd w:val="clear" w:color="auto" w:fill="auto"/>
          </w:tcPr>
          <w:p w14:paraId="53C6E0A0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right="0"/>
              <w:jc w:val="center"/>
              <w:rPr>
                <w:rFonts w:hint="eastAsia" w:ascii="黑体" w:hAnsi="黑体" w:eastAsia="黑体" w:cs="黑体"/>
                <w:b/>
                <w:i w:val="0"/>
                <w:color w:val="FFFFFF"/>
                <w:vertAlign w:val="baseline"/>
              </w:rPr>
            </w:pPr>
            <w:r>
              <w:rPr>
                <w:rFonts w:hint="default"/>
              </w:rPr>
              <w:t>蓝湾文化站</w:t>
            </w:r>
          </w:p>
        </w:tc>
        <w:tc>
          <w:tcPr>
            <w:tcW w:w="11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191ABE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leftChars="0" w:right="0" w:firstLine="0" w:firstLineChars="0"/>
              <w:jc w:val="center"/>
              <w:rPr>
                <w:rFonts w:hint="eastAsia" w:ascii="黑体" w:hAnsi="黑体" w:eastAsia="黑体" w:cs="黑体"/>
                <w:b w:val="0"/>
                <w:i w:val="0"/>
                <w:color w:val="000000"/>
                <w:vertAlign w:val="baseline"/>
              </w:rPr>
            </w:pPr>
            <w:r>
              <w:rPr>
                <w:rFonts w:hint="eastAsia" w:ascii="黑体" w:hAnsi="黑体" w:eastAsia="宋体" w:cs="黑体"/>
                <w:b w:val="0"/>
                <w:i w:val="0"/>
                <w:color w:val="000000"/>
                <w:vertAlign w:val="baseline"/>
              </w:rPr>
              <w:t>旧书交换</w:t>
            </w:r>
          </w:p>
        </w:tc>
        <w:tc>
          <w:tcPr>
            <w:tcW w:w="634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6BCCD2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leftChars="0" w:right="0" w:firstLine="0" w:firstLineChars="0"/>
              <w:jc w:val="center"/>
              <w:rPr>
                <w:rFonts w:hint="eastAsia" w:ascii="黑体" w:hAnsi="黑体" w:eastAsia="黑体" w:cs="黑体"/>
                <w:b w:val="0"/>
                <w:i w:val="0"/>
                <w:color w:val="000000"/>
                <w:vertAlign w:val="baseline"/>
              </w:rPr>
            </w:pPr>
            <w:r>
              <w:rPr>
                <w:rFonts w:hint="eastAsia" w:ascii="黑体" w:hAnsi="黑体" w:eastAsia="宋体" w:cs="黑体"/>
                <w:b w:val="0"/>
                <w:i w:val="0"/>
                <w:color w:val="000000"/>
                <w:vertAlign w:val="baseline"/>
              </w:rPr>
              <w:t>配置42个座位，月均活动6场，问题闭环率82%。</w:t>
            </w:r>
          </w:p>
        </w:tc>
      </w:tr>
      <w:tr w14:paraId="3ED6CFFB">
        <w:tblPrEx>
          <w:tblBorders>
            <w:top w:val="single" w:color="000000" w:themeColor="text1" w:sz="6" w:space="0"/>
            <w:left w:val="single" w:color="000000" w:themeColor="text1" w:sz="6" w:space="0"/>
            <w:bottom w:val="single" w:color="000000" w:themeColor="text1" w:sz="6" w:space="0"/>
            <w:right w:val="single" w:color="000000" w:themeColor="text1" w:sz="6" w:space="0"/>
            <w:insideH w:val="single" w:color="000000" w:themeColor="text1" w:sz="6" w:space="0"/>
            <w:insideV w:val="single" w:color="000000" w:themeColor="text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3" w:type="dxa"/>
            <w:vMerge w:val="continue"/>
            <w:tcBorders>
              <w:tl2br w:val="nil"/>
              <w:tr2bl w:val="nil"/>
            </w:tcBorders>
            <w:shd w:val="clear" w:color="auto" w:fill="auto"/>
          </w:tcPr>
          <w:p w14:paraId="66EF1A0F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right="0"/>
              <w:jc w:val="center"/>
              <w:rPr>
                <w:rFonts w:hint="eastAsia" w:ascii="黑体" w:hAnsi="黑体" w:eastAsia="黑体" w:cs="黑体"/>
                <w:b/>
                <w:i w:val="0"/>
                <w:color w:val="FFFFFF"/>
                <w:vertAlign w:val="baseline"/>
              </w:rPr>
            </w:pPr>
            <w:r>
              <w:rPr>
                <w:rFonts w:hint="default"/>
              </w:rPr>
              <w:t>银杏书舍</w:t>
            </w:r>
          </w:p>
        </w:tc>
        <w:tc>
          <w:tcPr>
            <w:tcW w:w="114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3A2C57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leftChars="0" w:right="0" w:firstLine="0" w:firstLineChars="0"/>
              <w:jc w:val="center"/>
              <w:rPr>
                <w:rFonts w:hint="eastAsia" w:ascii="黑体" w:hAnsi="黑体" w:eastAsia="黑体" w:cs="黑体"/>
                <w:b w:val="0"/>
                <w:i w:val="0"/>
                <w:color w:val="000000"/>
                <w:vertAlign w:val="baseline"/>
              </w:rPr>
            </w:pPr>
            <w:r>
              <w:rPr>
                <w:rFonts w:hint="eastAsia" w:ascii="黑体" w:hAnsi="黑体" w:eastAsia="宋体" w:cs="黑体"/>
                <w:b w:val="0"/>
                <w:i w:val="0"/>
                <w:color w:val="000000"/>
                <w:vertAlign w:val="baseline"/>
              </w:rPr>
              <w:t>主题书展</w:t>
            </w:r>
          </w:p>
        </w:tc>
        <w:tc>
          <w:tcPr>
            <w:tcW w:w="634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CE36A2">
            <w:pPr>
              <w:keepNext w:val="0"/>
              <w:keepLines w:val="0"/>
              <w:suppressLineNumbers w:val="0"/>
              <w:spacing w:before="60" w:beforeAutospacing="0" w:after="60" w:afterAutospacing="0" w:line="240" w:lineRule="auto"/>
              <w:ind w:left="0" w:leftChars="0" w:right="0" w:firstLine="0" w:firstLineChars="0"/>
              <w:jc w:val="center"/>
              <w:rPr>
                <w:rFonts w:hint="eastAsia" w:ascii="黑体" w:hAnsi="黑体" w:eastAsia="黑体" w:cs="黑体"/>
                <w:b w:val="0"/>
                <w:i w:val="0"/>
                <w:color w:val="000000"/>
                <w:vertAlign w:val="baseline"/>
              </w:rPr>
            </w:pPr>
            <w:r>
              <w:rPr>
                <w:rFonts w:hint="eastAsia" w:ascii="黑体" w:hAnsi="黑体" w:eastAsia="宋体" w:cs="黑体"/>
                <w:b w:val="0"/>
                <w:i w:val="0"/>
                <w:color w:val="000000"/>
                <w:vertAlign w:val="baseline"/>
              </w:rPr>
              <w:t>配置45个座位，月均活动7场，问题闭环率84%。</w:t>
            </w:r>
          </w:p>
        </w:tc>
      </w:tr>
    </w:tbl>
    <w:p w14:paraId="29F3C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textAlignment w:val="auto"/>
        <w:rPr>
          <w:rFonts w:hint="eastAsia"/>
        </w:rPr>
      </w:pPr>
    </w:p>
    <w:p w14:paraId="26EC2448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beforeAutospacing="0" w:line="25" w:lineRule="atLeast"/>
        <w:jc w:val="left"/>
        <w:textAlignment w:val="auto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>二、服务覆盖与可达性分析</w:t>
      </w:r>
    </w:p>
    <w:p w14:paraId="1DA2C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 本轮记录覆盖23个服务节点、5类核心场景，阶段满意度约为90%，一般问题在13天内完成闭环。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活动设计应避免单纯追求数量，重点关注读者是否愿意再次参加、是否产生持续阅读行为、是否带动家庭成员共同使用空间。每场活动结束后，馆员需记录参与人数、滞留时长、图书借阅转化和现场反馈，形成下一轮策划依据。</w:t>
      </w:r>
    </w:p>
    <w:p w14:paraId="62689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 本轮记录覆盖30个服务节点、6类核心场景，阶段满意度约为65%，一般问题在14天内完成闭环。数据采集坚持必要、适度、可解释的原则，不收集与阅读服务无关的个人信息。</w:t>
      </w:r>
    </w:p>
    <w:p w14:paraId="1ED993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为提升服务的真实可达性，方案建议在社区公告栏、学校门口、商街转角和线上小程序同步发布开放时间、活动日历与预约规则。导视信息应使用简洁文字和统一图标，让首次到访者能够快速找到入口、还书点、亲子区和安静阅读区。</w:t>
      </w:r>
    </w:p>
    <w:p w14:paraId="3E512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活动设计应避免单纯追求数量，重点关注读者是否愿意再次参加、是否产生持续阅读行为、是否带动家庭成员共同使用空间。物资管理采用低库存、快补给原则。常用耗材按周盘点，活动材料按场次核销。</w:t>
      </w:r>
    </w:p>
    <w:p w14:paraId="2DDD30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1、覆盖度分析</w:t>
      </w:r>
    </w:p>
    <w:p w14:paraId="4B09D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ind w:firstLine="480" w:firstLineChars="200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志愿者参与以轻任务为主，包括书架整理、活动引导、亲子阅读陪伴、旧书交换登记和社区故事收集。</w:t>
      </w:r>
    </w:p>
    <w:p w14:paraId="57D5BF02">
      <w:pPr>
        <w:ind w:firstLine="560" w:firstLineChars="200"/>
        <w:rPr>
          <w:rFonts w:hint="eastAsia"/>
        </w:rPr>
      </w:pPr>
      <w:r>
        <w:rPr>
          <w:sz w:val="28"/>
          <w:szCs w:val="36"/>
        </w:rPr>
        <w:drawing>
          <wp:inline distT="0" distB="0" distL="114300" distR="114300">
            <wp:extent cx="2413000" cy="1897380"/>
            <wp:effectExtent l="0" t="0" r="6350" b="7620"/>
            <wp:docPr id="50" name="图片 12" descr="e821a5a69f36492e21b1e1479acf5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2" descr="e821a5a69f36492e21b1e1479acf57c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36"/>
        </w:rPr>
        <w:t xml:space="preserve">      </w:t>
      </w:r>
    </w:p>
    <w:p w14:paraId="55EE61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1800" w:firstLineChars="1000"/>
        <w:jc w:val="both"/>
        <w:textAlignment w:val="auto"/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图 8 社区共创活动场景图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instrText xml:space="preserve"> SEQ 图 \* ARABIC </w:instrText>
      </w: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fldChar w:fldCharType="end"/>
      </w:r>
    </w:p>
    <w:p w14:paraId="34D94C02">
      <w:pPr>
        <w:pStyle w:val="7"/>
        <w:jc w:val="center"/>
        <w:rPr>
          <w:rFonts w:hint="eastAsia"/>
        </w:rPr>
      </w:pPr>
      <w:r>
        <w:rPr>
          <w:rFonts w:hint="eastAsia"/>
        </w:rPr>
        <w:t xml:space="preserve">      </w:t>
      </w:r>
    </w:p>
    <w:p w14:paraId="70654D26">
      <w:pPr>
        <w:keepNext/>
        <w:jc w:val="both"/>
      </w:pPr>
      <w:r>
        <w:rPr>
          <w:rFonts w:hint="eastAsia"/>
          <w:sz w:val="28"/>
          <w:szCs w:val="36"/>
        </w:rPr>
        <w:drawing>
          <wp:inline distT="0" distB="0" distL="114300" distR="114300">
            <wp:extent cx="2574925" cy="1891665"/>
            <wp:effectExtent l="0" t="0" r="15875" b="13335"/>
            <wp:docPr id="52" name="图片 52" descr="51951b4bc47bd80b8e85aee775039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51951b4bc47bd80b8e85aee775039e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4925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09B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900" w:firstLineChars="500"/>
        <w:jc w:val="both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图 9 公共书房功能分区关系图</w:t>
      </w:r>
    </w:p>
    <w:p w14:paraId="7DA16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3AC4F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5" w:lineRule="atLeast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2、可达性分析</w:t>
      </w:r>
    </w:p>
    <w:p w14:paraId="28FC8E53">
      <w:pPr>
        <w:keepNext/>
        <w:widowControl w:val="0"/>
        <w:ind w:firstLine="480" w:firstLineChars="20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调研记录显示，读者更关注安静座位、灯光舒适度、图书更新速度、活动预约便利性以及儿童阅读区的安全性。围绕这些高频需求，方案将服务内容拆分为基础阅读、亲子陪伴、社群活动、数字借阅和社区共创五个模块，便于后续按片区进行组合投放。</w:t>
      </w:r>
    </w:p>
    <w:p w14:paraId="54BC7A95">
      <w:pPr>
        <w:keepNext/>
        <w:widowControl w:val="0"/>
        <w:ind w:firstLine="480" w:firstLineChars="20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空间更新不追求一次性大改造，而采用轻量化迭代方式。优先处理入口识别、书架分区、插座补充、通风照明、导视牌和活动收纳等影响体验的基础环节，再根据客流变化逐步引入夜间阅读、主题书展、邻里讲读和手作课堂等内容。 本轮记录覆盖22个服务节点、6类核心场景，阶段满意度约为89%，一般问题在11天内完成闭环。预算安排以运营稳定为先，优先保障人员值守、基础维护、图书更新、数字系统和安全巡检。装饰性投入需要与实际使用频次挂钩，低使用率区域应先通过活动导入和动线调整验证需求，再决定是否投入固定设施。</w:t>
      </w:r>
    </w:p>
    <w:p w14:paraId="7E062F24">
      <w:pPr>
        <w:keepNext/>
        <w:widowControl w:val="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运营团队将每日开闭馆、借阅登记、场地巡检、活动签到、物资补充和意见反馈纳入同一张工作清单。</w:t>
      </w:r>
    </w:p>
    <w:p w14:paraId="1F1501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36" w:lineRule="atLeast"/>
        <w:ind w:right="0"/>
        <w:jc w:val="left"/>
        <w:textAlignment w:val="auto"/>
      </w:pPr>
    </w:p>
    <w:p w14:paraId="0CDD44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center"/>
        <w:textAlignment w:val="auto"/>
        <w:rPr>
          <w:rFonts w:hint="default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1397000</wp:posOffset>
            </wp:positionH>
            <wp:positionV relativeFrom="paragraph">
              <wp:posOffset>635</wp:posOffset>
            </wp:positionV>
            <wp:extent cx="2456180" cy="1652270"/>
            <wp:effectExtent l="0" t="0" r="1270" b="5080"/>
            <wp:wrapTopAndBottom/>
            <wp:docPr id="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56180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图 10 阅读活动组织流程图</w:t>
      </w:r>
    </w:p>
    <w:p w14:paraId="72490C59">
      <w:pPr>
        <w:tabs>
          <w:tab w:val="left" w:pos="5267"/>
        </w:tabs>
        <w:bidi w:val="0"/>
        <w:jc w:val="left"/>
        <w:rPr>
          <w:rFonts w:hint="default"/>
          <w:lang w:val="en-US" w:eastAsia="zh-CN"/>
        </w:rPr>
      </w:pPr>
    </w:p>
    <w:p w14:paraId="1225D2C3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64" w:beforeLines="50" w:beforeAutospacing="0" w:line="25" w:lineRule="atLeast"/>
        <w:jc w:val="center"/>
        <w:textAlignment w:val="auto"/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  <w:t>第三章、数据采集原则</w:t>
      </w:r>
    </w:p>
    <w:p w14:paraId="22EFC0E2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beforeAutospacing="0" w:line="25" w:lineRule="atLeast"/>
        <w:jc w:val="left"/>
        <w:textAlignment w:val="auto"/>
        <w:rPr>
          <w:rFonts w:hint="default"/>
          <w:b w:val="0"/>
          <w:bCs w:val="0"/>
          <w:sz w:val="30"/>
          <w:szCs w:val="30"/>
          <w:lang w:val="en-US" w:eastAsia="zh-CN"/>
        </w:rPr>
      </w:pPr>
      <w:bookmarkStart w:id="39" w:name="_Toc19977"/>
      <w:r>
        <w:rPr>
          <w:rFonts w:hint="eastAsia"/>
          <w:b w:val="0"/>
          <w:bCs w:val="0"/>
          <w:sz w:val="30"/>
          <w:szCs w:val="30"/>
          <w:lang w:val="en-US" w:eastAsia="zh-CN"/>
        </w:rPr>
        <w:t>一、</w:t>
      </w:r>
      <w:bookmarkEnd w:id="39"/>
      <w:r>
        <w:rPr>
          <w:rFonts w:hint="eastAsia"/>
          <w:b w:val="0"/>
          <w:bCs w:val="0"/>
          <w:sz w:val="30"/>
          <w:szCs w:val="30"/>
          <w:lang w:val="en-US" w:eastAsia="zh-CN"/>
        </w:rPr>
        <w:t>采集情况分析</w:t>
      </w:r>
    </w:p>
    <w:p w14:paraId="51C555FA">
      <w:pPr>
        <w:spacing w:before="0" w:beforeLines="50" w:after="0"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40" w:name="_Toc10638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1.社区共建参与情况分析</w:t>
      </w:r>
      <w:bookmarkEnd w:id="40"/>
    </w:p>
    <w:p w14:paraId="14469145">
      <w:pPr>
        <w:numPr>
          <w:ilvl w:val="0"/>
          <w:numId w:val="0"/>
        </w:numPr>
        <w:spacing w:before="0" w:beforeLines="50" w:after="0" w:line="300" w:lineRule="auto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4752975" cy="2371725"/>
            <wp:effectExtent l="0" t="0" r="1905" b="36195"/>
            <wp:docPr id="631121314" name="图表 1" descr="7b0a202020202263686172745265734964223a20223230343736393437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1C3DCF0C">
      <w:pPr>
        <w:numPr>
          <w:ilvl w:val="0"/>
          <w:numId w:val="0"/>
        </w:numPr>
        <w:spacing w:before="0" w:beforeLines="50" w:after="0" w:line="300" w:lineRule="auto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图 11 书架与座位动线布置图</w:t>
      </w:r>
    </w:p>
    <w:p w14:paraId="5E385113">
      <w:pPr>
        <w:spacing w:before="0" w:beforeLines="50" w:after="0"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活动设计应避免单纯追求数量，重点关注读者是否愿意再次参加、是否产生持续阅读行为、是否带动家庭成员共同使用空间。每场活动结束后，馆员需记录参与人数、滞留时长、图书借阅转化和现场反馈，形成下一轮策划依据。 本轮记录覆盖50个服务节点、2类核心场景，阶段满意度约为73%，一般问题在15天内完成闭环。物资管理采用低库存、快补给原则。常用耗材按周盘点，活动材料按场次核销，设备维修按紧急程度分为即时处理、三日内处理和月度集中处理三类。</w:t>
      </w:r>
      <w:bookmarkStart w:id="41" w:name="_Toc6484"/>
    </w:p>
    <w:p w14:paraId="1992A462">
      <w:pPr>
        <w:spacing w:before="0" w:beforeLines="50" w:after="0" w:line="300" w:lineRule="auto"/>
        <w:ind w:firstLine="480" w:firstLineChars="200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物资管理采用低库存、快补给原则。常用耗材按周盘点，活动材料按场次核销</w:t>
      </w:r>
      <w:bookmarkEnd w:id="41"/>
    </w:p>
    <w:p w14:paraId="7E4B06EB">
      <w:pPr>
        <w:numPr>
          <w:ilvl w:val="0"/>
          <w:numId w:val="0"/>
        </w:numPr>
        <w:spacing w:before="0" w:beforeLines="50" w:after="0" w:line="30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481955" cy="2157730"/>
            <wp:effectExtent l="0" t="0" r="4445" b="6350"/>
            <wp:docPr id="24" name="图表 24" descr="7b0a202020202263686172745265734964223a20223230303135383135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073AC65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Lines="50" w:beforeAutospacing="0" w:after="0" w:afterAutospacing="0" w:line="300" w:lineRule="auto"/>
        <w:ind w:right="0" w:rightChars="0" w:firstLine="480" w:firstLineChars="20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图 12 夜间开放服务流程图</w:t>
      </w:r>
    </w:p>
    <w:p w14:paraId="44DF8CC0">
      <w:pPr>
        <w:numPr>
          <w:ilvl w:val="0"/>
          <w:numId w:val="0"/>
        </w:numPr>
        <w:spacing w:before="0" w:beforeLines="50" w:after="0"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 本轮记录覆盖64个服务节点、4类核心场景，阶段满意度约为79%，一般问题在17天内完成闭环。数据采集坚持必要、适度、可解释的原则，不收集与阅读服务无关的个人信息。</w:t>
      </w:r>
    </w:p>
    <w:p w14:paraId="5FF12DB5">
      <w:pPr>
        <w:numPr>
          <w:ilvl w:val="0"/>
          <w:numId w:val="0"/>
        </w:numPr>
        <w:spacing w:before="0" w:beforeLines="50" w:after="0"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42" w:name="_Toc9586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2.读者参与共建的认同情况</w:t>
      </w:r>
      <w:bookmarkEnd w:id="42"/>
    </w:p>
    <w:p w14:paraId="7908CE19">
      <w:pPr>
        <w:numPr>
          <w:ilvl w:val="0"/>
          <w:numId w:val="0"/>
        </w:numPr>
        <w:spacing w:before="0" w:beforeLines="50" w:after="0" w:line="300" w:lineRule="auto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4788535" cy="2626995"/>
            <wp:effectExtent l="0" t="0" r="12065" b="9525"/>
            <wp:docPr id="149546792" name="图表 1" descr="7b0a202020202263686172745265734964223a20223230343736393431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0DC0862B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Lines="50" w:beforeAutospacing="0" w:after="0" w:afterAutospacing="0" w:line="300" w:lineRule="auto"/>
        <w:ind w:right="0" w:rightChars="0" w:firstLine="480" w:firstLineChars="200"/>
        <w:jc w:val="center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图 13 小程序预约路径图</w:t>
      </w:r>
    </w:p>
    <w:p w14:paraId="77535C04">
      <w:pPr>
        <w:spacing w:before="0" w:beforeLines="50" w:after="0"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预算安排以运营稳定为先，优先保障人员值守、基础维护、图书更新、数字系统和安全巡检。装饰性投入需要与实际使用频次挂钩，低使用率区域应先通过活动导入和动线调整验证需求，再决定是否投入固定设施。</w:t>
      </w:r>
    </w:p>
    <w:p w14:paraId="09565B7E">
      <w:pPr>
        <w:spacing w:before="0" w:beforeLines="50" w:after="0"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本方案围绕公共书房的连续开放、活动排期、读者服务和空间维护展开，重点解决小型文化空间在日常管理中常见的排班不均、设备闲置、活动重复和服务反馈滞后等问题。通过统一的运营台账、分级服务包和月度复盘机制，各点位可以在保持本地特色的同时，形成可复制的管理标准。</w:t>
      </w:r>
    </w:p>
    <w:p w14:paraId="38463968">
      <w:pPr>
        <w:numPr>
          <w:ilvl w:val="0"/>
          <w:numId w:val="0"/>
        </w:numPr>
        <w:spacing w:before="0" w:beforeLines="50" w:after="0"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43" w:name="_Toc17441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3.读者参与共建的意愿调查</w:t>
      </w:r>
      <w:bookmarkEnd w:id="43"/>
    </w:p>
    <w:p w14:paraId="6497511F">
      <w:pPr>
        <w:numPr>
          <w:ilvl w:val="0"/>
          <w:numId w:val="0"/>
        </w:numPr>
        <w:spacing w:before="0" w:beforeLines="50" w:after="0" w:line="30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56530" cy="2988310"/>
            <wp:effectExtent l="0" t="0" r="1270" b="13970"/>
            <wp:docPr id="23" name="图表 23" descr="7b0a202020202263686172745265734964223a20223230343736393933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67CE12EE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Lines="50" w:beforeAutospacing="0" w:after="0" w:afterAutospacing="0" w:line="300" w:lineRule="auto"/>
        <w:ind w:right="0" w:rightChars="0" w:firstLine="480" w:firstLineChars="200"/>
        <w:jc w:val="center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图 14 读者反馈闭环图</w:t>
      </w:r>
    </w:p>
    <w:p w14:paraId="05BF551D">
      <w:pPr>
        <w:numPr>
          <w:ilvl w:val="0"/>
          <w:numId w:val="0"/>
        </w:numPr>
        <w:spacing w:before="0" w:beforeLines="50" w:after="0"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空间更新不追求一次性大改造，而采用轻量化迭代方式。优先处理入口识别、书架分区、插座补充、通风照明、导视牌和活动收纳等影响体验的基础环节，再根据客流变化逐步引入夜间阅读、主题书展、邻里讲读和手作课堂等内容。 本轮记录覆盖28个服务节点、8类核心场景，阶段满意度约为91%，一般问题在10天内完成闭环。预算安排以运营稳定为先，优先保障人员值守、基础维护、图书更新、数字系统和安全巡检。装饰性投入需要与实际使用频次挂钩，低使用率区域应先通过活动导入和动线调整验证需求，再决定是否投入固定设施。数据采集坚持必要、适度、可解释的原则，不收集与阅读服务无关的个人信息。</w:t>
      </w:r>
    </w:p>
    <w:p w14:paraId="0E536836">
      <w:pPr>
        <w:spacing w:before="0" w:beforeLines="50" w:after="0"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44" w:name="_Toc17434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4.参与社区阅读服务的经历分析</w:t>
      </w:r>
      <w:bookmarkEnd w:id="44"/>
    </w:p>
    <w:p w14:paraId="3F8A26F9">
      <w:pPr>
        <w:spacing w:before="0" w:beforeLines="50" w:after="0" w:line="300" w:lineRule="auto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796280" cy="3051810"/>
            <wp:effectExtent l="0" t="0" r="7620" b="8890"/>
            <wp:docPr id="21" name="图表 21" descr="7b0a202020202263686172745265734964223a20223230343736303336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66F7BCE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Lines="50" w:beforeAutospacing="0" w:after="0" w:afterAutospacing="0" w:line="300" w:lineRule="auto"/>
        <w:ind w:right="0" w:rightChars="0" w:firstLine="480" w:firstLineChars="200"/>
        <w:jc w:val="center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图 15 亲子阅读区安全巡检图</w:t>
      </w:r>
    </w:p>
    <w:p w14:paraId="4DDA13C7">
      <w:pPr>
        <w:spacing w:before="0" w:beforeLines="50" w:after="0" w:line="300" w:lineRule="auto"/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 本轮记录覆盖35个服务节点、9类核心场景，阶段满意度约为66%，一般问题在11天内完成闭环。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活动设计应避免单纯追求数量，重点关注读者是否愿意再次参加、是否产生持续阅读行为、是否带动家庭成员共同使用空间。每场活动结束后，馆员需记录参与人数、滞留时长、图书借阅转化和现场反馈，形成下一轮策划依据。物资管理采用低库存、快补给原则。</w:t>
      </w:r>
    </w:p>
    <w:p w14:paraId="3DF0D37E">
      <w:pPr>
        <w:spacing w:before="0" w:beforeLines="50" w:after="0" w:line="300" w:lineRule="auto"/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</w:p>
    <w:p w14:paraId="323389B8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beforeAutospacing="0" w:line="25" w:lineRule="atLeast"/>
        <w:jc w:val="left"/>
        <w:textAlignment w:val="auto"/>
        <w:rPr>
          <w:rFonts w:hint="default"/>
          <w:b w:val="0"/>
          <w:bCs w:val="0"/>
          <w:sz w:val="30"/>
          <w:szCs w:val="30"/>
          <w:lang w:val="en-US" w:eastAsia="zh-CN"/>
        </w:rPr>
      </w:pPr>
      <w:bookmarkStart w:id="45" w:name="_Toc18399"/>
      <w:r>
        <w:rPr>
          <w:rFonts w:hint="eastAsia"/>
          <w:b w:val="0"/>
          <w:bCs w:val="0"/>
          <w:sz w:val="30"/>
          <w:szCs w:val="30"/>
          <w:lang w:val="en-US" w:eastAsia="zh-CN"/>
        </w:rPr>
        <w:t>二、</w:t>
      </w:r>
      <w:bookmarkEnd w:id="45"/>
      <w:r>
        <w:rPr>
          <w:rFonts w:hint="eastAsia"/>
          <w:b w:val="0"/>
          <w:bCs w:val="0"/>
          <w:sz w:val="30"/>
          <w:szCs w:val="30"/>
          <w:lang w:val="en-US" w:eastAsia="zh-CN"/>
        </w:rPr>
        <w:t>数据采集失败分析</w:t>
      </w:r>
    </w:p>
    <w:p w14:paraId="7E798163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beforeAutospacing="0" w:line="25" w:lineRule="atLeast"/>
        <w:textAlignment w:val="auto"/>
        <w:outlineLvl w:val="1"/>
        <w:rPr>
          <w:rFonts w:hint="eastAsia"/>
          <w:b w:val="0"/>
          <w:bCs w:val="0"/>
          <w:sz w:val="28"/>
          <w:szCs w:val="28"/>
          <w:lang w:val="en-US" w:eastAsia="zh-CN"/>
        </w:rPr>
      </w:pPr>
      <w:bookmarkStart w:id="46" w:name="_Toc303"/>
      <w:r>
        <w:rPr>
          <w:rFonts w:hint="eastAsia"/>
          <w:b w:val="0"/>
          <w:bCs w:val="0"/>
          <w:sz w:val="28"/>
          <w:szCs w:val="28"/>
          <w:lang w:val="en-US" w:eastAsia="zh-CN"/>
        </w:rPr>
        <w:t>（一）未参与社区阅读服务的原因分析</w:t>
      </w:r>
      <w:bookmarkEnd w:id="46"/>
    </w:p>
    <w:p w14:paraId="2BA967B1">
      <w:pPr>
        <w:numPr>
          <w:ilvl w:val="0"/>
          <w:numId w:val="0"/>
        </w:numPr>
        <w:spacing w:before="0" w:beforeLines="50" w:after="0" w:line="300" w:lineRule="auto"/>
        <w:jc w:val="center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4766310" cy="2647950"/>
            <wp:effectExtent l="0" t="0" r="3810" b="34290"/>
            <wp:docPr id="22" name="图表 22" descr="7b0a202020202263686172745265734964223a20223230343732323235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2EB9D07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Lines="50" w:beforeAutospacing="0" w:after="0" w:afterAutospacing="0" w:line="300" w:lineRule="auto"/>
        <w:ind w:right="0" w:rightChars="0" w:firstLine="480" w:firstLineChars="200"/>
        <w:jc w:val="center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图 16 社区共创活动场景图</w:t>
      </w:r>
    </w:p>
    <w:p w14:paraId="5BE244F1">
      <w:pPr>
        <w:spacing w:before="0" w:beforeLines="50" w:after="0" w:line="300" w:lineRule="auto"/>
        <w:ind w:firstLine="720" w:firstLineChars="3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提升服务的真实可达性，方案建议在社区公告栏、学校门口、商街转角和线上小程序同步发布开放时间、活动日历与预约规则。导视信息应使用简洁文字和统一图标，让首次到访者能够快速找到入口、还书点、亲子区和安静阅读区。 本轮记录覆盖49个服务节点、3类核心场景，阶段满意度约为72%，一般问题在13天内完成闭环。</w:t>
      </w:r>
    </w:p>
    <w:p w14:paraId="44107E0D">
      <w:pPr>
        <w:spacing w:before="0" w:beforeLines="50" w:after="0" w:line="300" w:lineRule="auto"/>
        <w:ind w:firstLine="720" w:firstLineChars="3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1.活动设计应避免单纯追求数量，重点关注读者是否愿意再次参加</w:t>
      </w:r>
    </w:p>
    <w:p w14:paraId="2D865143">
      <w:pPr>
        <w:numPr>
          <w:ilvl w:val="0"/>
          <w:numId w:val="0"/>
        </w:numPr>
        <w:spacing w:before="0" w:beforeLines="50" w:after="0" w:line="300" w:lineRule="auto"/>
        <w:jc w:val="center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4842510" cy="3050540"/>
            <wp:effectExtent l="0" t="0" r="3810" b="12700"/>
            <wp:docPr id="25" name="图表 25" descr="7b0a202020202263686172745265734964223a20223230343736383032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3357808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Lines="50" w:beforeAutospacing="0" w:after="0" w:afterAutospacing="0" w:line="300" w:lineRule="auto"/>
        <w:ind w:right="0" w:rightChars="0" w:firstLine="480" w:firstLineChars="200"/>
        <w:jc w:val="center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图 17 公共书房功能分区关系图</w:t>
      </w:r>
    </w:p>
    <w:p w14:paraId="73F328B5">
      <w:pPr>
        <w:spacing w:before="0" w:beforeLines="50" w:after="0" w:line="300" w:lineRule="auto"/>
        <w:ind w:firstLine="720" w:firstLineChars="3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物资管理采用低库存、快补给原则。常用耗材按周盘点，活动材料按场次核销，设备维修按紧急程度分为即时处理、三日内处理和月度集中处理三类。这样既能减少浪费，也能避免因缺少小物件影响活动执行。 本轮记录覆盖63个服务节点、5类核心场景，阶段满意度约为78%，一般问题在15天内完成闭环。预算安排以运营稳定为先，优先保障人员值守、基础维护、图书更新、数字系统和安全巡检。装饰性投入需要与实际使用频次挂钩，低使用率区域应先通过活动导入和动线调整验证需求，再决定是否投入固定设施。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</w:t>
      </w:r>
    </w:p>
    <w:p w14:paraId="00D4F3C9">
      <w:pPr>
        <w:spacing w:before="0" w:beforeLines="50" w:after="0" w:line="300" w:lineRule="auto"/>
        <w:ind w:firstLine="720" w:firstLineChars="3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47" w:name="_Toc2261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1.服务升级偏好</w:t>
      </w:r>
      <w:bookmarkEnd w:id="47"/>
    </w:p>
    <w:p w14:paraId="3DD553F9">
      <w:pPr>
        <w:numPr>
          <w:ilvl w:val="0"/>
          <w:numId w:val="0"/>
        </w:numPr>
        <w:spacing w:before="0" w:beforeLines="50" w:after="0" w:line="300" w:lineRule="auto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4585970" cy="2626995"/>
            <wp:effectExtent l="0" t="0" r="1270" b="40005"/>
            <wp:docPr id="464103777" name="图表 1" descr="7b0a202020202263686172745265734964223a20223230343737303034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21581B0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Lines="50" w:beforeAutospacing="0" w:after="0" w:afterAutospacing="0" w:line="300" w:lineRule="auto"/>
        <w:ind w:right="0" w:rightChars="0" w:firstLine="480" w:firstLineChars="200"/>
        <w:jc w:val="center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图 18 阅读活动组织流程图</w:t>
      </w:r>
    </w:p>
    <w:p w14:paraId="2BE6615E">
      <w:pPr>
        <w:numPr>
          <w:ilvl w:val="0"/>
          <w:numId w:val="0"/>
        </w:numPr>
        <w:spacing w:before="0" w:beforeLines="50" w:after="0"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 本轮记录覆盖70个服务节点、6类核心场景，阶段满意度约为81%，一般问题在16天内完成闭环。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空间更新不追求一次性大改造，而采用轻量化迭代方式。优先处理入口识别、书架分区、插座补充、通风照明、导视牌和活动收纳等影响体验的基础环节，再根据客流变化逐步引入夜间阅读、主题书展、邻里讲读和手作课堂等内容。为提升服务的真实可达性，方案建议在社区公告栏、学校门口、商街转角和线上小程序同步发布开放时间、活动日历与预约规则。</w:t>
      </w:r>
    </w:p>
    <w:p w14:paraId="3122F29E">
      <w:pPr>
        <w:numPr>
          <w:ilvl w:val="0"/>
          <w:numId w:val="0"/>
        </w:numPr>
        <w:spacing w:before="0" w:beforeLines="50" w:after="0" w:line="30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7B3F5916">
      <w:pPr>
        <w:spacing w:before="0" w:beforeLines="50" w:after="0" w:line="300" w:lineRule="auto"/>
        <w:ind w:firstLine="720" w:firstLineChars="3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48" w:name="_Toc5861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2.空间升级——布局偏好分析</w:t>
      </w:r>
      <w:bookmarkEnd w:id="48"/>
    </w:p>
    <w:p w14:paraId="60F77FE2">
      <w:pPr>
        <w:numPr>
          <w:ilvl w:val="0"/>
          <w:numId w:val="0"/>
        </w:numPr>
        <w:spacing w:before="0" w:beforeLines="50" w:after="0" w:line="300" w:lineRule="auto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4956810" cy="2863215"/>
            <wp:effectExtent l="0" t="0" r="0" b="0"/>
            <wp:docPr id="680989705" name="图表 1" descr="7b0a202020202263686172745265734964223a20223230343736323736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742AC0C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Lines="50" w:beforeAutospacing="0" w:after="0" w:afterAutospacing="0" w:line="300" w:lineRule="auto"/>
        <w:ind w:right="0" w:rightChars="0" w:firstLine="480" w:firstLineChars="200"/>
        <w:jc w:val="center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图 19 书架与座位动线布置图</w:t>
      </w:r>
    </w:p>
    <w:p w14:paraId="664E2F9D">
      <w:pPr>
        <w:numPr>
          <w:ilvl w:val="0"/>
          <w:numId w:val="0"/>
        </w:numPr>
        <w:spacing w:before="0" w:beforeLines="50" w:after="0"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预算安排以运营稳定为先，优先保障人员值守、基础维护、图书更新、数字系统和安全巡检。装饰性投入需要与实际使用频次挂钩，低使用率区域应先通过活动导入和动线调整验证需求，再决定是否投入固定设施。 本轮记录覆盖77个服务节点、7类核心场景，阶段满意度约为84%，一般问题在17天内完成闭环。调研记录显示，读者更关注安静座位、灯光舒适度、图书更新速度、活动预约便利性以及儿童阅读区的安全性。围绕这些高频需求，方案将服务内容拆分为基础阅读、亲子陪伴、社群活动、数字借阅和社区共创五个模块，便于后续按片区进行组合投放。</w:t>
      </w:r>
    </w:p>
    <w:p w14:paraId="582B5AD2">
      <w:pPr>
        <w:numPr>
          <w:ilvl w:val="0"/>
          <w:numId w:val="0"/>
        </w:numPr>
        <w:spacing w:before="0" w:beforeLines="50" w:after="0"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方案围绕公共书房的连续开放、活动排期、读者服务和空间维护展开，重点解决小型文化空间在日常管理中常见的排班不均、设备闲置、活动重复和服务反馈滞后等问题。通过统一的运营台账、分级服务包和月度复盘机制，各点位可以在保持本地特色的同时，形成可复制的管理标准。 本轮记录覆盖20个服务节点、8类核心场景，阶段满意度约为87%，一般问题在7天内完成闭环。</w:t>
      </w:r>
    </w:p>
    <w:p w14:paraId="5C7BB9FB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beforeAutospacing="0" w:line="25" w:lineRule="atLeast"/>
        <w:textAlignment w:val="auto"/>
        <w:outlineLvl w:val="1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（二）空间升级——完善服务偏好分析</w:t>
      </w:r>
    </w:p>
    <w:p w14:paraId="6C6243A2">
      <w:pPr>
        <w:numPr>
          <w:ilvl w:val="0"/>
          <w:numId w:val="0"/>
        </w:numPr>
        <w:spacing w:before="0" w:beforeLines="50" w:after="0"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1.综合服务小程序——核心功能需求分析</w:t>
      </w:r>
    </w:p>
    <w:p w14:paraId="087DEE2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4788535" cy="2626995"/>
            <wp:effectExtent l="0" t="0" r="12065" b="9525"/>
            <wp:docPr id="894654881" name="图表 1" descr="7b0a202020202263686172745265734964223a20223230343736383334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7AF62329"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调研记录显示，读者更关注安静座位、灯光舒适度、图书更新速度、活动预约便利性以及儿童阅读区的安全性。围绕这些高频需求，方案将服务内容拆分为基础阅读、亲子陪伴、社群活动、数字借阅和社区共创五个模块，便于后续按片区进行组合投放。 本轮记录覆盖27个服务节点、9类核心场景，阶段满意度约为90%，一般问题在8天内完成闭环。物资管理采用低库存、快补给原则。</w:t>
      </w:r>
    </w:p>
    <w:p w14:paraId="6B6F2A8E"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空间更新不追求一次性大改造，而采用轻量化迭代方式。优先处理入口识别、书架分区、插座补充、通风照明、导视牌和活动收纳等影响体验的基础环节，再根据客流变化逐步引入夜间阅读、主题书展、邻里讲读和手作课堂等内容。 本轮记录覆盖34个服务节点、2类核心场景，阶段满意度约为65%，一般问题在9天内完成闭环。</w:t>
      </w:r>
    </w:p>
    <w:p w14:paraId="2E8270DA">
      <w:pPr>
        <w:numPr>
          <w:ilvl w:val="0"/>
          <w:numId w:val="0"/>
        </w:numPr>
        <w:spacing w:before="0" w:beforeLines="50" w:after="0"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2.社区共建——积分入口偏好分析</w:t>
      </w:r>
    </w:p>
    <w:p w14:paraId="567BA07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4788535" cy="2626995"/>
            <wp:effectExtent l="0" t="0" r="12065" b="40005"/>
            <wp:docPr id="1124746036" name="图表 1" descr="7b0a202020202263686172745265734964223a20223530303539353639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14:paraId="69A12DDF"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 本轮记录覆盖41个服务节点、3类核心场景，阶段满意度约为68%，一般问题在10天内完成闭环。志愿者参与以轻任务为主，包括书架整理、活动引导、亲子阅读陪伴、旧书交换登记和社区故事收集。</w:t>
      </w:r>
    </w:p>
    <w:p w14:paraId="6AF2E456"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 本轮记录覆盖48个服务节点、4类核心场景，阶段满意度约为71%，一般问题在11天内完成闭环。数据采集坚持必要、适度、可解释的原则，不收集与阅读服务无关的个人信息。</w:t>
      </w:r>
    </w:p>
    <w:p w14:paraId="11D4260C">
      <w:pPr>
        <w:numPr>
          <w:ilvl w:val="0"/>
          <w:numId w:val="0"/>
        </w:numPr>
        <w:spacing w:before="0" w:beforeLines="50" w:after="0" w:line="30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3.社区共建——积分兑换福利偏好分析</w:t>
      </w:r>
    </w:p>
    <w:p w14:paraId="3619EDC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5106035" cy="2606675"/>
            <wp:effectExtent l="0" t="0" r="14605" b="14605"/>
            <wp:docPr id="316916921" name="图表 1" descr="7b0a202020202263686172745265734964223a20223230343731383038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 w14:paraId="601B54F1"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提升服务的真实可达性，方案建议在社区公告栏、学校门口、商街转角和线上小程序同步发布开放时间、活动日历与预约规则。导视信息应使用简洁文字和统一图标，让首次到访者能够快速找到入口、还书点、亲子区和安静阅读区。 本轮记录覆盖55个服务节点、5类核心场景，阶段满意度约为74%，一般问题在12天内完成闭环。本方案围绕公共书房的连续开放、活动排期、读者服务和空间维护展开，重点解决小型文化空间在日常管理中常见的排班不均、设备闲置、活动重复和服务反馈滞后等问题。通过统一的运营台账、分级服务包和月度复盘机制，各点位可以在保持本地特色的同时，形成可复制的管理标准。</w:t>
      </w:r>
    </w:p>
    <w:p w14:paraId="6BB46D7C"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活动设计应避免单纯追求数量，重点关注读者是否愿意再次参加、是否产生持续阅读行为、是否带动家庭成员共同使用空间。每场活动结束后，馆员需记录参与人数、滞留时长、图书借阅转化和现场反馈，形成下一轮策划依据。 本轮记录覆盖62个服务节点、6类核心场景，阶段满意度约为77%，一般问题在13天内完成闭环。物资管理采用低库存、快补给原则。常用耗材按周盘点，活动材料按场次核销，设备维修按紧急程度分为即时处理、三日内处理和月度集中处理三类。这样既能减少浪费，也能避免因缺少小物件影响活动执行。</w:t>
      </w:r>
    </w:p>
    <w:p w14:paraId="71E65E62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64" w:beforeLines="50" w:beforeAutospacing="0" w:line="25" w:lineRule="atLeast"/>
        <w:jc w:val="center"/>
        <w:textAlignment w:val="auto"/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  <w:t>第四章 运营模型与效益测算</w:t>
      </w:r>
    </w:p>
    <w:p w14:paraId="2AAD2A7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0" distR="0">
            <wp:extent cx="4788535" cy="2626995"/>
            <wp:effectExtent l="0" t="0" r="12065" b="40005"/>
            <wp:docPr id="2135519333" name="图表 1" descr="7b0a202020202263686172745265734964223a20223230343736393433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</w:p>
    <w:p w14:paraId="3AE8EE3B"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物资管理采用低库存、快补给原则。常用耗材按周盘点，活动材料按场次核销，设备维修按紧急程度分为即时处理、三日内处理和月度集中处理三类。这样既能减少浪费，也能避免因缺少小物件影响活动执行。 本轮记录覆盖69个服务节点、7类核心场景，阶段满意度约为80%，一般问题在14天内完成闭环。</w:t>
      </w:r>
    </w:p>
    <w:p w14:paraId="572F7FEF"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 本轮记录覆盖76个服务节点、8类核心场景，阶段满意度约为83%，一般问题在15天内完成闭环。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空间更新不追求一次性大改造，而采用轻量化迭代方式。</w:t>
      </w:r>
    </w:p>
    <w:p w14:paraId="7EACEB09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beforeAutospacing="0" w:line="25" w:lineRule="atLeast"/>
        <w:textAlignment w:val="auto"/>
        <w:outlineLvl w:val="1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（一）运营模型介绍</w:t>
      </w:r>
    </w:p>
    <w:p w14:paraId="5FFD792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105400" cy="2785745"/>
            <wp:effectExtent l="9525" t="9525" r="9525" b="24130"/>
            <wp:docPr id="14" name="图表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表 1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785745"/>
                    </a:xfrm>
                    <a:prstGeom prst="rect">
                      <a:avLst/>
                    </a:prstGeom>
                    <a:ln>
                      <a:solidFill>
                        <a:srgbClr val="D9D9D9"/>
                      </a:solidFill>
                    </a:ln>
                    <a:extLst>
                      <a:ext uri="{8CAD56D8-0F58-4FB8-B24C-77498146470C}">
                        <wpswe:webExtensionRef xmlns:wpswe="http://www.wps.cn/officeDocument/2018/webExtension" r:id="rId30"/>
                      </a:ext>
                      <wpswe:webExtensionRef xmlns:wpswe="http://www.wps.cn/officeDocument/2018/webExtension" r:id="rId30"/>
                    </a:extLst>
                  </pic:spPr>
                </pic:pic>
              </a:graphicData>
            </a:graphic>
          </wp:inline>
        </w:drawing>
      </w:r>
    </w:p>
    <w:p w14:paraId="021E7604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69A8E07"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预算安排以运营稳定为先，优先保障人员值守、基础维护、图书更新、数字系统和安全巡检。装饰性投入需要与实际使用频次挂钩，低使用率区域应先通过活动导入和动线调整验证需求，再决定是否投入固定设施。 本轮记录覆盖19个服务节点、9类核心场景，阶段满意度约为86%，一般问题在16天内完成闭环。调研记录显示，读者更关注安静座位、灯光舒适度、图书更新速度、活动预约便利性以及儿童阅读区的安全性。围绕这些高频需求，方案将服务内容拆分为基础阅读、亲子陪伴、社群活动、数字借阅和社区共创五个模块，便于后续按片区进行组合投放。运营团队将每日开闭馆、借阅登记、场地巡检、活动签到、物资补充和意见反馈纳入同一张工作清单。</w:t>
      </w:r>
    </w:p>
    <w:p w14:paraId="6D9E9020">
      <w:pPr>
        <w:numPr>
          <w:ilvl w:val="0"/>
          <w:numId w:val="0"/>
        </w:numPr>
        <w:ind w:firstLine="480" w:firstLineChars="200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本方案围绕公共书房的连续开放、活动排期、读者服务和空间维护展开，重点解决小型文化空间在日常管理中常见的排班不均、设备闲置、活动重复和服务反馈滞后等问题。通过统一的运营台账、分级服务包和月度复盘机制，各点位可以在保持本地特色的同时，形成可复制的管理标准。 本轮记录覆盖26个服务节点、2类核心场景，阶段满意度约为89%，一般问题在17天内完成闭环。运营团队将每日开闭馆、借阅登记、场地巡检、活动签到、物资补充和意见反馈纳入同一张工作清单。</w:t>
      </w:r>
    </w:p>
    <w:p w14:paraId="13BCEE83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beforeAutospacing="0" w:line="25" w:lineRule="atLeast"/>
        <w:textAlignment w:val="auto"/>
        <w:outlineLvl w:val="1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（二）关键变量确定</w:t>
      </w:r>
    </w:p>
    <w:p w14:paraId="42532EA8"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服务需求（N）</w:t>
      </w:r>
    </w:p>
    <w:p w14:paraId="0583C2DA">
      <w:pPr>
        <w:keepNext w:val="0"/>
        <w:keepLines w:val="0"/>
        <w:widowControl w:val="0"/>
        <w:suppressLineNumbers w:val="0"/>
        <w:spacing w:before="163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调研记录显示，读者更关注安静座位、灯光舒适度、图书更新速度、活动预约便利性以及儿童阅读区的安全性。</w:t>
      </w:r>
    </w:p>
    <w:p w14:paraId="7894EF5E">
      <w:pPr>
        <w:keepNext w:val="0"/>
        <w:keepLines w:val="0"/>
        <w:widowControl w:val="0"/>
        <w:suppressLineNumbers w:val="0"/>
        <w:spacing w:before="163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2.空间服务供给（S）</w:t>
      </w:r>
    </w:p>
    <w:p w14:paraId="10C22533"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空间更新不追求一次性大改造，而采用轻量化迭代方式。</w:t>
      </w:r>
    </w:p>
    <w:p w14:paraId="6A587B96">
      <w:pPr>
        <w:keepNext w:val="0"/>
        <w:keepLines w:val="0"/>
        <w:widowControl w:val="0"/>
        <w:suppressLineNumbers w:val="0"/>
        <w:spacing w:before="163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3.阅读体验改善（O）</w:t>
      </w:r>
    </w:p>
    <w:p w14:paraId="5EAFFBE7"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运营团队将每日开闭馆、借阅登记、场地巡检、活动签到、物资补充和意见反馈纳入同一张工作清单。</w:t>
      </w:r>
    </w:p>
    <w:p w14:paraId="6EBE4130">
      <w:pPr>
        <w:keepNext w:val="0"/>
        <w:keepLines w:val="0"/>
        <w:widowControl w:val="0"/>
        <w:suppressLineNumbers w:val="0"/>
        <w:spacing w:before="163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4.社区共建参与（R）</w:t>
      </w:r>
    </w:p>
    <w:p w14:paraId="7B1A64C9"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</w:t>
      </w:r>
    </w:p>
    <w:p w14:paraId="45993D22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beforeAutospacing="0" w:line="25" w:lineRule="atLeast"/>
        <w:textAlignment w:val="auto"/>
        <w:outlineLvl w:val="1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（三）工作假设</w:t>
      </w:r>
    </w:p>
    <w:p w14:paraId="27BDB70F">
      <w:pPr>
        <w:keepNext w:val="0"/>
        <w:keepLines w:val="0"/>
        <w:widowControl w:val="0"/>
        <w:suppressLineNumbers w:val="0"/>
        <w:spacing w:before="163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为提升服务的真实可达性，方案建议在社区公告栏、学校门口、商街转角和线上小程序同步发布开放时间、活动日历与预约规则。导视信息应使用简洁文字和统一图标，让首次到访者能够快速找到入口、还书点、亲子区和安静阅读区。</w:t>
      </w:r>
    </w:p>
    <w:p w14:paraId="61DD2118">
      <w:pPr>
        <w:keepNext w:val="0"/>
        <w:keepLines w:val="0"/>
        <w:widowControl w:val="0"/>
        <w:suppressLineNumbers w:val="0"/>
        <w:spacing w:before="163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活动设计应避免单纯追求数量，重点关注读者是否愿意再次参加、是否产生持续阅读行为、是否带动家庭成员共同使用空间。每场活动结束后，馆员需记录参与人数、滞留时长、图书借阅转化和现场反馈，形成下一轮策划依据。 本轮记录覆盖68个服务节点、8类核心场景，阶段满意度约为79%，一般问题在12天内完成闭环。物资管理采用低库存、快补给原则。</w:t>
      </w:r>
    </w:p>
    <w:p w14:paraId="61350960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beforeAutospacing="0" w:line="25" w:lineRule="atLeast"/>
        <w:textAlignment w:val="auto"/>
        <w:outlineLvl w:val="1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（四）模型建立</w:t>
      </w:r>
    </w:p>
    <w:p w14:paraId="487892A0">
      <w:pPr>
        <w:keepNext w:val="0"/>
        <w:keepLines w:val="0"/>
        <w:widowControl w:val="0"/>
        <w:suppressLineNumbers w:val="0"/>
        <w:spacing w:before="163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物资管理采用低库存、快补给原则。常用耗材按周盘点，活动材料按场次核销，设备维修按紧急程度分为即时处理、三日内处理和月度集中处理三类。这样既能减少浪费，也能避免因缺少小物件影响活动执行。</w:t>
      </w:r>
    </w:p>
    <w:tbl>
      <w:tblPr>
        <w:tblStyle w:val="15"/>
        <w:tblW w:w="5000" w:type="pct"/>
        <w:jc w:val="center"/>
        <w:tblBorders>
          <w:top w:val="none" w:color="auto" w:sz="6" w:space="0"/>
          <w:left w:val="none" w:color="auto" w:sz="6" w:space="0"/>
          <w:bottom w:val="single" w:color="auto" w:sz="12" w:space="0"/>
          <w:right w:val="none" w:color="auto" w:sz="6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2"/>
        <w:gridCol w:w="7100"/>
      </w:tblGrid>
      <w:tr w14:paraId="0FF6E778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4D718B6F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4165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27B359C1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运营说明</w:t>
            </w:r>
          </w:p>
        </w:tc>
      </w:tr>
      <w:tr w14:paraId="353DA0D4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92203A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数字借阅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137A7A3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栖岸书廊设置3项服务动作，包含书架整理、活动签到、灯光检查和读者反馈登记，按周复盘。</w:t>
            </w:r>
          </w:p>
        </w:tc>
      </w:tr>
      <w:tr w14:paraId="2DF85E88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8BDC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社区讲读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FFEA7ED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花径活动室设置4项服务动作，包含书架整理、活动签到、灯光检查和读者反馈登记，按周复盘。</w:t>
            </w:r>
          </w:p>
        </w:tc>
      </w:tr>
      <w:tr w14:paraId="60612351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4941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安静办公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8A9CB73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海风书房设置5项服务动作，包含书架整理、活动签到、灯光检查和读者反馈登记，按周复盘。</w:t>
            </w:r>
          </w:p>
        </w:tc>
      </w:tr>
      <w:tr w14:paraId="6E88D1DC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8F430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周末沙龙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D98E5F1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松石书屋设置6项服务动作，包含书架整理、活动签到、灯光检查和读者反馈登记，按周复盘。</w:t>
            </w:r>
          </w:p>
        </w:tc>
      </w:tr>
      <w:tr w14:paraId="602BD894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E854B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晨间自习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90B29F4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云汀阅读角设置2项服务动作，包含书架整理、活动签到、灯光检查和读者反馈登记，按周复盘。</w:t>
            </w:r>
          </w:p>
        </w:tc>
      </w:tr>
      <w:tr w14:paraId="42352DAA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1EC0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亲子共读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51451CB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蓝湾文化站设置3项服务动作，包含书架整理、活动签到、灯光检查和读者反馈登记，按周复盘。</w:t>
            </w:r>
          </w:p>
        </w:tc>
      </w:tr>
      <w:tr w14:paraId="402517AA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9BC5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旧书交换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150D86F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银杏书舍设置4项服务动作，包含书架整理、活动签到、灯光检查和读者反馈登记，按周复盘。</w:t>
            </w:r>
          </w:p>
        </w:tc>
      </w:tr>
      <w:tr w14:paraId="09CF9432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EC79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主题书展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DA88F81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灯塔共享厅设置5项服务动作，包含书架整理、活动签到、灯光检查和读者反馈登记，按周复盘。</w:t>
            </w:r>
          </w:p>
        </w:tc>
      </w:tr>
      <w:tr w14:paraId="1CE0A2E7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8D9F6F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夜间阅览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2C49893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栖岸书廊设置6项服务动作，包含书架整理、活动签到、灯光检查和读者反馈登记，按周复盘。</w:t>
            </w:r>
          </w:p>
        </w:tc>
      </w:tr>
      <w:tr w14:paraId="6911BB4D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0EEE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手作课堂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1D9FD6C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花径活动室设置2项服务动作，包含书架整理、活动签到、灯光检查和读者反馈登记，按周复盘。</w:t>
            </w:r>
          </w:p>
        </w:tc>
      </w:tr>
      <w:tr w14:paraId="373A86AD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1EFF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数字借阅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9C5BF12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海风书房设置3项服务动作，包含书架整理、活动签到、灯光检查和读者反馈登记，按周复盘。</w:t>
            </w:r>
          </w:p>
        </w:tc>
      </w:tr>
      <w:tr w14:paraId="3DC032E4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E0DF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社区讲读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781524E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松石书屋设置4项服务动作，包含书架整理、活动签到、灯光检查和读者反馈登记，按周复盘。</w:t>
            </w:r>
          </w:p>
        </w:tc>
      </w:tr>
      <w:tr w14:paraId="30BF3CF9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809F0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安静办公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0F66B80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云汀阅读角设置5项服务动作，包含书架整理、活动签到、灯光检查和读者反馈登记，按周复盘。</w:t>
            </w:r>
          </w:p>
        </w:tc>
      </w:tr>
      <w:tr w14:paraId="49237CF9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A13E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周末沙龙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A21DE3D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蓝湾文化站设置6项服务动作，包含书架整理、活动签到、灯光检查和读者反馈登记，按周复盘。</w:t>
            </w:r>
          </w:p>
        </w:tc>
      </w:tr>
      <w:tr w14:paraId="5CBC5930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8389A2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晨间自习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28001C5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银杏书舍设置2项服务动作，包含书架整理、活动签到、灯光检查和读者反馈登记，按周复盘。</w:t>
            </w:r>
          </w:p>
        </w:tc>
      </w:tr>
      <w:tr w14:paraId="1ECBA831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CEBD4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亲子共读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5116FA1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灯塔共享厅设置3项服务动作，包含书架整理、活动签到、灯光检查和读者反馈登记，按周复盘。</w:t>
            </w:r>
          </w:p>
        </w:tc>
      </w:tr>
      <w:tr w14:paraId="2436E46C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5065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旧书交换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0D21EF6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栖岸书廊设置4项服务动作，包含书架整理、活动签到、灯光检查和读者反馈登记，按周复盘。</w:t>
            </w:r>
          </w:p>
        </w:tc>
      </w:tr>
      <w:tr w14:paraId="35F7DD66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857D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主题书展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E417D8C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花径活动室设置5项服务动作，包含书架整理、活动签到、灯光检查和读者反馈登记，按周复盘。</w:t>
            </w:r>
          </w:p>
        </w:tc>
      </w:tr>
      <w:tr w14:paraId="3AB9EB97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46F96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夜间阅览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367693C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海风书房设置6项服务动作，包含书架整理、活动签到、灯光检查和读者反馈登记，按周复盘。</w:t>
            </w:r>
          </w:p>
        </w:tc>
      </w:tr>
      <w:tr w14:paraId="30C62EFE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0CD4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手作课堂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379CEAA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松石书屋设置2项服务动作，包含书架整理、活动签到、灯光检查和读者反馈登记，按周复盘。</w:t>
            </w:r>
          </w:p>
        </w:tc>
      </w:tr>
      <w:tr w14:paraId="4CB41E0B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E022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数字借阅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D7C1163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云汀阅读角设置3项服务动作，包含书架整理、活动签到、灯光检查和读者反馈登记，按周复盘。</w:t>
            </w:r>
          </w:p>
        </w:tc>
      </w:tr>
      <w:tr w14:paraId="3B9CBC89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6A42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社区讲读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C1672D5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蓝湾文化站设置4项服务动作，包含书架整理、活动签到、灯光检查和读者反馈登记，按周复盘。</w:t>
            </w:r>
          </w:p>
        </w:tc>
      </w:tr>
      <w:tr w14:paraId="0A30E8EF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pct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72EC7F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安静办公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727CE25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银杏书舍设置5项服务动作，包含书架整理、活动签到、灯光检查和读者反馈登记，按周复盘。</w:t>
            </w:r>
          </w:p>
        </w:tc>
      </w:tr>
      <w:tr w14:paraId="3ED35AED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32B3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周末沙龙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65B2028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灯塔共享厅设置6项服务动作，包含书架整理、活动签到、灯光检查和读者反馈登记，按周复盘。</w:t>
            </w:r>
          </w:p>
        </w:tc>
      </w:tr>
      <w:tr w14:paraId="18BFF0A0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01C6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晨间自习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BA6A4C8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栖岸书廊设置2项服务动作，包含书架整理、活动签到、灯光检查和读者反馈登记，按周复盘。</w:t>
            </w:r>
          </w:p>
        </w:tc>
      </w:tr>
      <w:tr w14:paraId="24017C70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70A1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亲子共读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9D87921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花径活动室设置3项服务动作，包含书架整理、活动签到、灯光检查和读者反馈登记，按周复盘。</w:t>
            </w:r>
          </w:p>
        </w:tc>
      </w:tr>
      <w:tr w14:paraId="79CC87C2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89B3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旧书交换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8FCC3B4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海风书房设置4项服务动作，包含书架整理、活动签到、灯光检查和读者反馈登记，按周复盘。</w:t>
            </w:r>
          </w:p>
        </w:tc>
      </w:tr>
      <w:tr w14:paraId="0A576E9A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4" w:type="pct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7B1B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主题书展</w:t>
            </w:r>
          </w:p>
        </w:tc>
        <w:tc>
          <w:tcPr>
            <w:tcW w:w="4165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2BF0748A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松石书屋设置5项服务动作，包含书架整理、活动签到、灯光检查和读者反馈登记，按周复盘。</w:t>
            </w:r>
          </w:p>
        </w:tc>
      </w:tr>
    </w:tbl>
    <w:p w14:paraId="3C4EEE63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beforeAutospacing="0" w:line="25" w:lineRule="atLeast"/>
        <w:textAlignment w:val="auto"/>
        <w:outlineLvl w:val="1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（五）模型校准</w:t>
      </w:r>
    </w:p>
    <w:p w14:paraId="441D3FC9">
      <w:pPr>
        <w:keepNext w:val="0"/>
        <w:keepLines w:val="0"/>
        <w:widowControl w:val="0"/>
        <w:suppressLineNumbers w:val="0"/>
        <w:spacing w:before="163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志愿者参与以轻任务为主，包括书架整理、活动引导、亲子阅读陪伴、旧书交换登记和社区故事收集。</w:t>
      </w:r>
    </w:p>
    <w:tbl>
      <w:tblPr>
        <w:tblStyle w:val="15"/>
        <w:tblW w:w="5000" w:type="pct"/>
        <w:jc w:val="center"/>
        <w:tblBorders>
          <w:top w:val="none" w:color="auto" w:sz="6" w:space="0"/>
          <w:left w:val="none" w:color="auto" w:sz="6" w:space="0"/>
          <w:bottom w:val="single" w:color="auto" w:sz="12" w:space="0"/>
          <w:right w:val="none" w:color="auto" w:sz="6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6"/>
        <w:gridCol w:w="6236"/>
      </w:tblGrid>
      <w:tr w14:paraId="5FDCFAA7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1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16BA0877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3659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6486E422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482" w:firstLineChars="20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运营说明</w:t>
            </w:r>
          </w:p>
        </w:tc>
      </w:tr>
      <w:tr w14:paraId="2024CA5B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67A40E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社区讲读</w:t>
            </w:r>
          </w:p>
        </w:tc>
        <w:tc>
          <w:tcPr>
            <w:tcW w:w="36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68A777C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480" w:firstLineChars="200"/>
              <w:contextualSpacing w:val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花径活动室设置3项服务动作，包含书架整理、活动签到、灯光检查和读者反馈登记，按周复盘。</w:t>
            </w:r>
          </w:p>
        </w:tc>
      </w:tr>
      <w:tr w14:paraId="0E578930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A46F27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安静办公</w:t>
            </w:r>
          </w:p>
        </w:tc>
        <w:tc>
          <w:tcPr>
            <w:tcW w:w="36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90DDBF0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海风书房设置4项服务动作，包含书架整理、活动签到、灯光检查和读者反馈登记，按周复盘。</w:t>
            </w:r>
          </w:p>
        </w:tc>
      </w:tr>
      <w:tr w14:paraId="06925DED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2DAB8E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周末沙龙</w:t>
            </w:r>
          </w:p>
        </w:tc>
        <w:tc>
          <w:tcPr>
            <w:tcW w:w="36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98A04C5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松石书屋设置5项服务动作，包含书架整理、活动签到、灯光检查和读者反馈登记，按周复盘。</w:t>
            </w:r>
          </w:p>
        </w:tc>
      </w:tr>
      <w:tr w14:paraId="1C3296ED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1" w:type="pct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8EB8481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晨间自习</w:t>
            </w:r>
          </w:p>
        </w:tc>
        <w:tc>
          <w:tcPr>
            <w:tcW w:w="3659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79AB7001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云汀阅读角设置6项服务动作，包含书架整理、活动签到、灯光检查和读者反馈登记，按周复盘。</w:t>
            </w:r>
          </w:p>
        </w:tc>
      </w:tr>
    </w:tbl>
    <w:p w14:paraId="0E3BFA8C">
      <w:pPr>
        <w:keepNext w:val="0"/>
        <w:keepLines w:val="0"/>
        <w:widowControl w:val="0"/>
        <w:suppressLineNumbers w:val="0"/>
        <w:spacing w:before="163" w:beforeLines="50" w:beforeAutospacing="0" w:after="0" w:afterAutospacing="1" w:line="300" w:lineRule="auto"/>
        <w:ind w:left="0" w:right="0" w:firstLine="0" w:firstLineChars="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等线" w:hAnsi="等线" w:eastAsia="宋体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23C0A590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beforeAutospacing="0" w:line="25" w:lineRule="atLeast"/>
        <w:textAlignment w:val="auto"/>
        <w:outlineLvl w:val="1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（六）进一步分析——不同到访频次的机制差异</w:t>
      </w:r>
    </w:p>
    <w:p w14:paraId="3944BEE7">
      <w:pPr>
        <w:keepNext w:val="0"/>
        <w:keepLines w:val="0"/>
        <w:widowControl w:val="0"/>
        <w:suppressLineNumbers w:val="0"/>
        <w:spacing w:before="163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预算安排以运营稳定为先，优先保障人员值守、基础维护、图书更新、数字系统和安全巡检。</w:t>
      </w:r>
    </w:p>
    <w:p w14:paraId="4C372878">
      <w:pPr>
        <w:pStyle w:val="8"/>
        <w:keepNext w:val="0"/>
        <w:keepLines w:val="0"/>
        <w:widowControl w:val="0"/>
        <w:suppressLineNumbers w:val="0"/>
        <w:spacing w:before="163" w:beforeLines="50" w:beforeAutospacing="0" w:after="0" w:afterAutospacing="1" w:line="300" w:lineRule="auto"/>
        <w:ind w:right="0"/>
        <w:contextualSpacing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等线" w:hAnsi="等线" w:eastAsia="宋体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329555" cy="3867150"/>
            <wp:effectExtent l="0" t="0" r="4445" b="3810"/>
            <wp:docPr id="2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29555" cy="3867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A63106">
      <w:pPr>
        <w:keepNext w:val="0"/>
        <w:keepLines w:val="0"/>
        <w:widowControl w:val="0"/>
        <w:suppressLineNumbers w:val="0"/>
        <w:spacing w:before="163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本方案围绕公共书房的连续开放、活动排期、读者服务和空间维护展开，</w:t>
      </w:r>
    </w:p>
    <w:tbl>
      <w:tblPr>
        <w:tblStyle w:val="15"/>
        <w:tblW w:w="5000" w:type="pct"/>
        <w:jc w:val="center"/>
        <w:tblBorders>
          <w:top w:val="none" w:color="auto" w:sz="6" w:space="0"/>
          <w:left w:val="none" w:color="auto" w:sz="6" w:space="0"/>
          <w:bottom w:val="single" w:color="auto" w:sz="12" w:space="0"/>
          <w:right w:val="none" w:color="auto" w:sz="6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"/>
        <w:gridCol w:w="1063"/>
        <w:gridCol w:w="816"/>
        <w:gridCol w:w="816"/>
        <w:gridCol w:w="821"/>
        <w:gridCol w:w="816"/>
        <w:gridCol w:w="816"/>
        <w:gridCol w:w="816"/>
        <w:gridCol w:w="817"/>
        <w:gridCol w:w="817"/>
      </w:tblGrid>
      <w:tr w14:paraId="5659C0B7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5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03B6B996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拟合指标</w:t>
            </w:r>
          </w:p>
        </w:tc>
        <w:tc>
          <w:tcPr>
            <w:tcW w:w="636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7191A193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CMIN/DF</w:t>
            </w:r>
          </w:p>
        </w:tc>
        <w:tc>
          <w:tcPr>
            <w:tcW w:w="424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1B9448AE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GFI</w:t>
            </w:r>
          </w:p>
        </w:tc>
        <w:tc>
          <w:tcPr>
            <w:tcW w:w="424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1C338AA8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AGFI</w:t>
            </w:r>
          </w:p>
        </w:tc>
        <w:tc>
          <w:tcPr>
            <w:tcW w:w="521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51381887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RMSEA</w:t>
            </w:r>
          </w:p>
        </w:tc>
        <w:tc>
          <w:tcPr>
            <w:tcW w:w="424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6CFFC089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RMR</w:t>
            </w:r>
          </w:p>
        </w:tc>
        <w:tc>
          <w:tcPr>
            <w:tcW w:w="424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6DEB2E78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CFI</w:t>
            </w:r>
          </w:p>
        </w:tc>
        <w:tc>
          <w:tcPr>
            <w:tcW w:w="424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6A4B1FDA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NFI</w:t>
            </w:r>
          </w:p>
        </w:tc>
        <w:tc>
          <w:tcPr>
            <w:tcW w:w="424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6E97CC08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TLI</w:t>
            </w:r>
          </w:p>
        </w:tc>
        <w:tc>
          <w:tcPr>
            <w:tcW w:w="491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607CBF21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IFI</w:t>
            </w:r>
          </w:p>
        </w:tc>
      </w:tr>
      <w:tr w14:paraId="2767D06F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0BDDDB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建议范围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1C9A15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&lt;3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E61174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&gt;0.90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180A43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&gt;0.85</w:t>
            </w:r>
          </w:p>
        </w:tc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70244D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&lt;0.08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1F9F68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&lt;0.05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068693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&gt;0.90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B95D41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&gt;0.90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2CC66F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&gt;0.90</w:t>
            </w:r>
          </w:p>
        </w:tc>
        <w:tc>
          <w:tcPr>
            <w:tcW w:w="4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0621C53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&gt;0.90</w:t>
            </w:r>
          </w:p>
        </w:tc>
      </w:tr>
      <w:tr w14:paraId="0A790EDE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5" w:type="pct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714A644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活动到场率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90B28F2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0.866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07ABF0A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0.680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42B30D9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0.724</w:t>
            </w:r>
          </w:p>
        </w:tc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D21329B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0.910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2338DE3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0.715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3D455E2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0.880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598A3E1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0.746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F10BCAB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0.787</w:t>
            </w:r>
          </w:p>
        </w:tc>
        <w:tc>
          <w:tcPr>
            <w:tcW w:w="491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5F377F8E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0.737</w:t>
            </w:r>
          </w:p>
        </w:tc>
      </w:tr>
    </w:tbl>
    <w:p w14:paraId="5D28164F">
      <w:pPr>
        <w:keepNext w:val="0"/>
        <w:keepLines w:val="0"/>
        <w:widowControl w:val="0"/>
        <w:suppressLineNumbers w:val="0"/>
        <w:spacing w:before="163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调研记录显示，读者更关注安静座位、灯光舒适度、图书更新速度、活动预约便利性以及儿童阅读区的安全性。围绕这些高频需求，方案将服务内容拆分为基础阅读、亲子陪伴、社群活动、数字借阅和社区共创五个模块，便于后续按片区进行组合投放。</w:t>
      </w:r>
    </w:p>
    <w:p w14:paraId="67313B49">
      <w:pPr>
        <w:keepNext w:val="0"/>
        <w:keepLines w:val="0"/>
        <w:widowControl w:val="0"/>
        <w:suppressLineNumbers w:val="0"/>
        <w:spacing w:before="163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空间更新不追求一次性大改造，而采用轻量化迭代方式。</w:t>
      </w:r>
    </w:p>
    <w:tbl>
      <w:tblPr>
        <w:tblStyle w:val="15"/>
        <w:tblW w:w="0" w:type="auto"/>
        <w:jc w:val="center"/>
        <w:tblBorders>
          <w:top w:val="none" w:color="auto" w:sz="6" w:space="0"/>
          <w:left w:val="none" w:color="auto" w:sz="6" w:space="0"/>
          <w:bottom w:val="single" w:color="auto" w:sz="12" w:space="0"/>
          <w:right w:val="none" w:color="auto" w:sz="6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"/>
        <w:gridCol w:w="879"/>
        <w:gridCol w:w="1536"/>
        <w:gridCol w:w="876"/>
        <w:gridCol w:w="2166"/>
        <w:gridCol w:w="2516"/>
      </w:tblGrid>
      <w:tr w14:paraId="6EDBC199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71D39668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36126B7A">
            <w:pPr>
              <w:keepNext w:val="0"/>
              <w:keepLines w:val="0"/>
              <w:widowControl w:val="0"/>
              <w:suppressLineNumbers w:val="0"/>
              <w:spacing w:before="163" w:beforeLines="5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服务模块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5E340DDD">
            <w:pPr>
              <w:keepNext w:val="0"/>
              <w:keepLines w:val="0"/>
              <w:widowControl w:val="0"/>
              <w:suppressLineNumbers w:val="0"/>
              <w:spacing w:before="163" w:beforeLines="5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时段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3C55D1D4">
            <w:pPr>
              <w:keepNext w:val="0"/>
              <w:keepLines w:val="0"/>
              <w:widowControl w:val="0"/>
              <w:suppressLineNumbers w:val="0"/>
              <w:spacing w:before="163" w:beforeLines="5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负责人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0F5C6E3E">
            <w:pPr>
              <w:keepNext w:val="0"/>
              <w:keepLines w:val="0"/>
              <w:widowControl w:val="0"/>
              <w:suppressLineNumbers w:val="0"/>
              <w:spacing w:before="163" w:beforeLines="5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资源配置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102A6DF9">
            <w:pPr>
              <w:pStyle w:val="8"/>
              <w:keepNext w:val="0"/>
              <w:keepLines w:val="0"/>
              <w:widowControl w:val="0"/>
              <w:suppressLineNumbers w:val="0"/>
              <w:spacing w:before="163" w:beforeLines="50" w:beforeAutospacing="0" w:after="0" w:afterAutospacing="1" w:line="300" w:lineRule="auto"/>
              <w:ind w:left="0" w:right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验收口径</w:t>
            </w:r>
          </w:p>
        </w:tc>
      </w:tr>
      <w:tr w14:paraId="0F933210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0A88AF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B7F8E6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周末沙龙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6E999E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9:00-12:30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19D44F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馆员E组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363164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书册92册；活动材料9套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10212ED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现场签到、巡检记录、满意度回收</w:t>
            </w:r>
          </w:p>
        </w:tc>
      </w:tr>
      <w:tr w14:paraId="24DB5BDE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79379F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D99301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晨间自习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45EBDE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10:00-13:30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32240D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馆员F组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0E11B8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书册104册；活动材料10套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86CDE41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现场签到、巡检记录、满意度回收</w:t>
            </w:r>
          </w:p>
        </w:tc>
      </w:tr>
      <w:tr w14:paraId="429159D8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C38E66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FCC74A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亲子共读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A73A29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11:00-14:30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E0E0E5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馆员A组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715031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书册116册；活动材料11套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44BF213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现场签到、巡检记录、满意度回收</w:t>
            </w:r>
          </w:p>
        </w:tc>
      </w:tr>
      <w:tr w14:paraId="7F84EB70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BB05076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67FC1CE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旧书交换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CEB0957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12:00-15:30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89454CD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馆员B组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4ABD376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书册128册；活动材料12套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3334583C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现场签到、巡检记录、满意度回收</w:t>
            </w:r>
          </w:p>
        </w:tc>
      </w:tr>
    </w:tbl>
    <w:p w14:paraId="5907D10B">
      <w:pPr>
        <w:keepNext w:val="0"/>
        <w:keepLines w:val="0"/>
        <w:widowControl w:val="0"/>
        <w:suppressLineNumbers w:val="0"/>
        <w:spacing w:before="163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表 3 活动资源配置对照表</w:t>
      </w:r>
    </w:p>
    <w:p w14:paraId="7CC82808">
      <w:pPr>
        <w:keepNext w:val="0"/>
        <w:keepLines w:val="0"/>
        <w:widowControl w:val="0"/>
        <w:suppressLineNumbers w:val="0"/>
        <w:spacing w:before="163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 本轮记录覆盖53个服务节点、7类核心场景，阶段满意度约为72%，一般问题在8天内完成闭环。</w:t>
      </w:r>
    </w:p>
    <w:p w14:paraId="454D015C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beforeAutospacing="0" w:line="25" w:lineRule="atLeast"/>
        <w:textAlignment w:val="auto"/>
        <w:outlineLvl w:val="1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（七）模型结论</w:t>
      </w:r>
    </w:p>
    <w:p w14:paraId="251CDAEE">
      <w:pPr>
        <w:keepNext w:val="0"/>
        <w:keepLines w:val="0"/>
        <w:widowControl w:val="0"/>
        <w:suppressLineNumbers w:val="0"/>
        <w:spacing w:before="163" w:beforeLines="50" w:beforeAutospacing="0" w:after="0" w:afterAutospacing="1" w:line="300" w:lineRule="auto"/>
        <w:ind w:left="0" w:right="0" w:firstLine="482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"/>
        </w:rPr>
        <w:t>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</w:t>
      </w:r>
    </w:p>
    <w:p w14:paraId="473CECFE">
      <w:pPr>
        <w:pStyle w:val="8"/>
        <w:keepNext w:val="0"/>
        <w:keepLines w:val="0"/>
        <w:widowControl w:val="0"/>
        <w:suppressLineNumbers w:val="0"/>
        <w:spacing w:before="163" w:beforeLines="50" w:beforeAutospacing="0" w:after="0" w:afterAutospacing="1" w:line="300" w:lineRule="auto"/>
        <w:ind w:right="0"/>
        <w:contextualSpacing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等线" w:hAnsi="等线" w:eastAsia="宋体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4933950" cy="3495675"/>
            <wp:effectExtent l="0" t="0" r="3810" b="9525"/>
            <wp:docPr id="27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 descr="IMG_25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495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宋体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51F02CEF">
      <w:pPr>
        <w:pStyle w:val="8"/>
        <w:keepNext w:val="0"/>
        <w:keepLines w:val="0"/>
        <w:widowControl w:val="0"/>
        <w:suppressLineNumbers w:val="0"/>
        <w:spacing w:before="163" w:beforeLines="50" w:beforeAutospacing="0" w:after="0" w:afterAutospacing="1" w:line="300" w:lineRule="auto"/>
        <w:ind w:left="442" w:right="0" w:firstLine="480" w:firstLineChars="200"/>
        <w:contextualSpacing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为提升服务的真实可达性，方案建议在社区公告栏、学校门口、</w:t>
      </w:r>
    </w:p>
    <w:tbl>
      <w:tblPr>
        <w:tblStyle w:val="15"/>
        <w:tblW w:w="5000" w:type="pct"/>
        <w:jc w:val="center"/>
        <w:tblBorders>
          <w:top w:val="none" w:color="auto" w:sz="6" w:space="0"/>
          <w:left w:val="none" w:color="auto" w:sz="6" w:space="0"/>
          <w:bottom w:val="single" w:color="auto" w:sz="12" w:space="0"/>
          <w:right w:val="none" w:color="auto" w:sz="6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"/>
        <w:gridCol w:w="1063"/>
        <w:gridCol w:w="816"/>
        <w:gridCol w:w="816"/>
        <w:gridCol w:w="821"/>
        <w:gridCol w:w="816"/>
        <w:gridCol w:w="816"/>
        <w:gridCol w:w="816"/>
        <w:gridCol w:w="817"/>
        <w:gridCol w:w="817"/>
      </w:tblGrid>
      <w:tr w14:paraId="627DEDAB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5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26C9DAC0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拟合指标</w:t>
            </w:r>
          </w:p>
        </w:tc>
        <w:tc>
          <w:tcPr>
            <w:tcW w:w="636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6E1F3FC2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CMIN/DF</w:t>
            </w:r>
          </w:p>
        </w:tc>
        <w:tc>
          <w:tcPr>
            <w:tcW w:w="424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37713717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GFI</w:t>
            </w:r>
          </w:p>
        </w:tc>
        <w:tc>
          <w:tcPr>
            <w:tcW w:w="424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5C5DDA82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AGFI</w:t>
            </w:r>
          </w:p>
        </w:tc>
        <w:tc>
          <w:tcPr>
            <w:tcW w:w="521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234470A9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RMSEA</w:t>
            </w:r>
          </w:p>
        </w:tc>
        <w:tc>
          <w:tcPr>
            <w:tcW w:w="424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563B22D1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RMR</w:t>
            </w:r>
          </w:p>
        </w:tc>
        <w:tc>
          <w:tcPr>
            <w:tcW w:w="424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340A354B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CFI</w:t>
            </w:r>
          </w:p>
        </w:tc>
        <w:tc>
          <w:tcPr>
            <w:tcW w:w="424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10F7294C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NFI</w:t>
            </w:r>
          </w:p>
        </w:tc>
        <w:tc>
          <w:tcPr>
            <w:tcW w:w="424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5B404DFD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TLI</w:t>
            </w:r>
          </w:p>
        </w:tc>
        <w:tc>
          <w:tcPr>
            <w:tcW w:w="491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28FF486B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IFI</w:t>
            </w:r>
          </w:p>
        </w:tc>
      </w:tr>
      <w:tr w14:paraId="633DE76E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F36AAB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建议范围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159AB3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&lt;3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C2AEA9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&gt;0.90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455084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&gt;0.85</w:t>
            </w:r>
          </w:p>
        </w:tc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B7518F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&lt;0.08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2F5664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&lt;0.05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777EFB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&gt;0.90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A5E884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&gt;0.90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6585FE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&gt;0.90</w:t>
            </w:r>
          </w:p>
        </w:tc>
        <w:tc>
          <w:tcPr>
            <w:tcW w:w="4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3242FD9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&gt;0.90</w:t>
            </w:r>
          </w:p>
        </w:tc>
      </w:tr>
      <w:tr w14:paraId="0117B592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05" w:type="pct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6FC3C3D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设备完好率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B6E35CB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0.653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A7AE2D3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0.808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DE01F3E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0.965</w:t>
            </w:r>
          </w:p>
        </w:tc>
        <w:tc>
          <w:tcPr>
            <w:tcW w:w="521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C5644CB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0.893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7A28476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0.777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6AB87B2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0.689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616B944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0.811</w:t>
            </w:r>
          </w:p>
        </w:tc>
        <w:tc>
          <w:tcPr>
            <w:tcW w:w="424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4B1841C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0.659</w:t>
            </w:r>
          </w:p>
        </w:tc>
        <w:tc>
          <w:tcPr>
            <w:tcW w:w="491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7F916995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0.955</w:t>
            </w:r>
          </w:p>
        </w:tc>
      </w:tr>
    </w:tbl>
    <w:p w14:paraId="15FA2486">
      <w:pPr>
        <w:keepNext w:val="0"/>
        <w:keepLines w:val="0"/>
        <w:widowControl w:val="0"/>
        <w:suppressLineNumbers w:val="0"/>
        <w:spacing w:before="163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活动设计应避免单纯追求数量，重点关注读者是否愿意再次参加、是否产生持续阅读行为、是否带动家庭成员共同使用空间。每场活动结束后，馆员需记录参与人数、滞留时长、图书借阅转化和现场反馈，形成下一轮策划依据。</w:t>
      </w:r>
    </w:p>
    <w:p w14:paraId="6B1C1490">
      <w:pPr>
        <w:keepNext w:val="0"/>
        <w:keepLines w:val="0"/>
        <w:widowControl w:val="0"/>
        <w:suppressLineNumbers w:val="0"/>
        <w:spacing w:before="163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物资管理采用低库存、快补给原则。常用耗材按周盘点，活动材料按场次核销，设备维修按紧急程度分为即时处理、三日内处理和月度集中处理三类。这样既能减少浪费，也能避免因缺少小物件影响活动执行。</w:t>
      </w:r>
    </w:p>
    <w:p w14:paraId="36C01FBF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64" w:beforeLines="50" w:beforeAutospacing="0" w:line="25" w:lineRule="atLeast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  <w:t>第五章、各方面影响分析</w:t>
      </w:r>
    </w:p>
    <w:p w14:paraId="0A27A2BE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beforeAutospacing="0" w:line="25" w:lineRule="atLeast"/>
        <w:textAlignment w:val="auto"/>
        <w:outlineLvl w:val="1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（一）服务需求对空间服务供给的影响</w:t>
      </w:r>
    </w:p>
    <w:p w14:paraId="39BB9DCD">
      <w:pPr>
        <w:keepNext w:val="0"/>
        <w:keepLines w:val="0"/>
        <w:widowControl w:val="0"/>
        <w:suppressLineNumbers w:val="0"/>
        <w:spacing w:before="163" w:beforeLines="50" w:beforeAutospacing="0" w:after="0" w:afterAutospacing="1" w:line="300" w:lineRule="auto"/>
        <w:ind w:left="0" w:right="0" w:firstLine="482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2"/>
          <w:sz w:val="24"/>
          <w:szCs w:val="24"/>
          <w:lang w:val="en-US" w:eastAsia="zh-CN" w:bidi="ar"/>
        </w:rPr>
        <w:t>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 本轮记录覆盖24个服务节点、4类核心场景，阶段满意度约为87%，一般问题在13天内完成闭环。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</w:t>
      </w:r>
    </w:p>
    <w:p w14:paraId="45426153">
      <w:pPr>
        <w:keepNext w:val="0"/>
        <w:keepLines w:val="0"/>
        <w:widowControl w:val="0"/>
        <w:suppressLineNumbers w:val="0"/>
        <w:spacing w:before="163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预算安排以运营稳定为先，优先保障人员值守、基础维护、图书更新、数字系统和安全巡检。</w:t>
      </w:r>
    </w:p>
    <w:tbl>
      <w:tblPr>
        <w:tblStyle w:val="15"/>
        <w:tblW w:w="5000" w:type="pct"/>
        <w:jc w:val="center"/>
        <w:tblBorders>
          <w:top w:val="none" w:color="auto" w:sz="6" w:space="0"/>
          <w:left w:val="none" w:color="auto" w:sz="6" w:space="0"/>
          <w:bottom w:val="single" w:color="auto" w:sz="12" w:space="0"/>
          <w:right w:val="none" w:color="auto" w:sz="6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6"/>
        <w:gridCol w:w="2152"/>
        <w:gridCol w:w="3824"/>
      </w:tblGrid>
      <w:tr w14:paraId="6AAE1274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3B364AB3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1262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339A9462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点位/指标</w:t>
            </w:r>
          </w:p>
        </w:tc>
        <w:tc>
          <w:tcPr>
            <w:tcW w:w="2243" w:type="pct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shd w:val="clear" w:color="auto" w:fill="auto"/>
            <w:vAlign w:val="center"/>
          </w:tcPr>
          <w:p w14:paraId="478FD804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执行要点</w:t>
            </w:r>
          </w:p>
        </w:tc>
      </w:tr>
      <w:tr w14:paraId="272D8481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18709E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蓝湾文化站</w:t>
            </w:r>
          </w:p>
        </w:tc>
        <w:tc>
          <w:tcPr>
            <w:tcW w:w="12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EDBA6C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旧书交换</w:t>
            </w:r>
          </w:p>
        </w:tc>
        <w:tc>
          <w:tcPr>
            <w:tcW w:w="22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81ACDB8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配置21个座位，月均活动5场，问题闭环率84%。</w:t>
            </w:r>
          </w:p>
        </w:tc>
      </w:tr>
      <w:tr w14:paraId="2712CDBB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8D01CA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银杏书舍</w:t>
            </w:r>
          </w:p>
        </w:tc>
        <w:tc>
          <w:tcPr>
            <w:tcW w:w="12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A1DD75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主题书展</w:t>
            </w:r>
          </w:p>
        </w:tc>
        <w:tc>
          <w:tcPr>
            <w:tcW w:w="22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722E586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配置24个座位，月均活动6场，问题闭环率86%。</w:t>
            </w:r>
          </w:p>
        </w:tc>
      </w:tr>
      <w:tr w14:paraId="43A04AA1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5CEA9F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灯塔共享厅</w:t>
            </w:r>
          </w:p>
        </w:tc>
        <w:tc>
          <w:tcPr>
            <w:tcW w:w="12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AAC864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夜间阅览</w:t>
            </w:r>
          </w:p>
        </w:tc>
        <w:tc>
          <w:tcPr>
            <w:tcW w:w="22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C2ECA13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配置27个座位，月均活动7场，问题闭环率88%。</w:t>
            </w:r>
          </w:p>
        </w:tc>
      </w:tr>
      <w:tr w14:paraId="28E17CC3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1CBCF9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栖岸书廊</w:t>
            </w:r>
          </w:p>
        </w:tc>
        <w:tc>
          <w:tcPr>
            <w:tcW w:w="12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C16963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手作课堂</w:t>
            </w:r>
          </w:p>
        </w:tc>
        <w:tc>
          <w:tcPr>
            <w:tcW w:w="22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6FD77A0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配置30个座位，月均活动8场，问题闭环率90%。</w:t>
            </w:r>
          </w:p>
        </w:tc>
      </w:tr>
      <w:tr w14:paraId="6C9C9006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5EE676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花径活动室</w:t>
            </w:r>
          </w:p>
        </w:tc>
        <w:tc>
          <w:tcPr>
            <w:tcW w:w="12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807099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数字借阅</w:t>
            </w:r>
          </w:p>
        </w:tc>
        <w:tc>
          <w:tcPr>
            <w:tcW w:w="22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658A6DE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配置33个座位，月均活动9场，问题闭环率92%。</w:t>
            </w:r>
          </w:p>
        </w:tc>
      </w:tr>
      <w:tr w14:paraId="16E8B7A3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9005F8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海风书房</w:t>
            </w:r>
          </w:p>
        </w:tc>
        <w:tc>
          <w:tcPr>
            <w:tcW w:w="126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4FD916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社区讲读</w:t>
            </w:r>
          </w:p>
        </w:tc>
        <w:tc>
          <w:tcPr>
            <w:tcW w:w="22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FE46B66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配置36个座位，月均活动4场，问题闭环率94%。</w:t>
            </w:r>
          </w:p>
        </w:tc>
      </w:tr>
      <w:tr w14:paraId="358D6451">
        <w:tblPrEx>
          <w:tblBorders>
            <w:top w:val="none" w:color="auto" w:sz="6" w:space="0"/>
            <w:left w:val="none" w:color="auto" w:sz="6" w:space="0"/>
            <w:bottom w:val="single" w:color="auto" w:sz="12" w:space="0"/>
            <w:right w:val="none" w:color="auto" w:sz="6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93" w:type="pct"/>
            <w:tcBorders>
              <w:top w:val="single" w:color="auto" w:sz="4" w:space="0"/>
              <w:left w:val="nil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130B6EA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松石书屋</w:t>
            </w:r>
          </w:p>
        </w:tc>
        <w:tc>
          <w:tcPr>
            <w:tcW w:w="1262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ED8B89D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安静办公</w:t>
            </w:r>
          </w:p>
        </w:tc>
        <w:tc>
          <w:tcPr>
            <w:tcW w:w="2243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324497FA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0" w:beforeAutospacing="0" w:after="0" w:afterAutospacing="1" w:line="300" w:lineRule="auto"/>
              <w:ind w:left="0" w:right="0" w:firstLine="0" w:firstLineChars="0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配置39个座位，月均活动5场，问题闭环率96%。</w:t>
            </w:r>
          </w:p>
        </w:tc>
      </w:tr>
    </w:tbl>
    <w:p w14:paraId="07177CE1">
      <w:pPr>
        <w:keepNext w:val="0"/>
        <w:keepLines w:val="0"/>
        <w:widowControl w:val="0"/>
        <w:suppressLineNumbers w:val="0"/>
        <w:spacing w:before="163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本方案围绕公共书房的连续开放、活动排期、读者服务和空间维护展开，重点解决小型文化空间在日常管理中常见的排班不均、设备闲置、活动重复和服务反馈滞后等问题。</w:t>
      </w:r>
    </w:p>
    <w:p w14:paraId="7C86BDD8">
      <w:pPr>
        <w:keepNext w:val="0"/>
        <w:keepLines w:val="0"/>
        <w:widowControl w:val="0"/>
        <w:suppressLineNumbers w:val="0"/>
        <w:spacing w:before="163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调研记录显示，读者更关注安静座位、灯光舒适度、图书更新速度、活动预约便利性以及儿童阅读区的安全性。围绕这些高频需求，方案将服务内容拆分为基础阅读、亲子陪伴、社群活动、数字借阅和社区共创五个模块，便于后续按片区进行组合投放。 本轮记录覆盖45个服务节点、7类核心场景，阶段满意度约为68%，一般问题在16天内完成闭环。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活动设计应避免单纯追求数量，重点关注读者是否愿意再次参加、是否产生持续阅读行为、是否带动家庭成员共同使用空间。</w:t>
      </w:r>
    </w:p>
    <w:p w14:paraId="5C817189">
      <w:pPr>
        <w:keepNext w:val="0"/>
        <w:keepLines w:val="0"/>
        <w:widowControl w:val="0"/>
        <w:suppressLineNumbers w:val="0"/>
        <w:spacing w:before="163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空间更新不追求一次性大改造，而采用轻量化迭代方式。优先处理入口识别、书架分区、插座补充、通风照明、导视牌和活动收纳等影响体验的基础环节，再根据客流变化逐步引入夜间阅读、主题书展、邻里讲读和手作课堂等内容。</w:t>
      </w:r>
    </w:p>
    <w:p w14:paraId="2389F8A6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beforeAutospacing="0" w:line="25" w:lineRule="atLeast"/>
        <w:textAlignment w:val="auto"/>
        <w:outlineLvl w:val="1"/>
        <w:rPr>
          <w:rFonts w:hint="eastAsia" w:ascii="等线 Light" w:hAnsi="等线 Light" w:eastAsia="黑体" w:cs="Times New Roman"/>
          <w:b w:val="0"/>
          <w:bCs w:val="0"/>
          <w:color w:val="000000"/>
          <w:kern w:val="2"/>
          <w:sz w:val="30"/>
          <w:szCs w:val="30"/>
        </w:rPr>
      </w:pPr>
      <w:r>
        <w:rPr>
          <w:rFonts w:hint="eastAsia" w:ascii="黑体" w:hAnsi="宋体" w:cs="黑体"/>
          <w:b w:val="0"/>
          <w:bCs w:val="0"/>
          <w:color w:val="000000"/>
          <w:kern w:val="2"/>
          <w:sz w:val="30"/>
          <w:szCs w:val="30"/>
          <w:lang w:eastAsia="zh-CN"/>
        </w:rPr>
        <w:t>（</w:t>
      </w:r>
      <w:r>
        <w:rPr>
          <w:rFonts w:hint="eastAsia" w:ascii="黑体" w:hAnsi="宋体" w:cs="黑体"/>
          <w:b w:val="0"/>
          <w:bCs w:val="0"/>
          <w:color w:val="000000"/>
          <w:kern w:val="2"/>
          <w:sz w:val="30"/>
          <w:szCs w:val="30"/>
          <w:lang w:val="en-US" w:eastAsia="zh-CN"/>
        </w:rPr>
        <w:t>二</w:t>
      </w:r>
      <w:r>
        <w:rPr>
          <w:rFonts w:hint="eastAsia" w:ascii="黑体" w:hAnsi="宋体" w:cs="黑体"/>
          <w:b w:val="0"/>
          <w:bCs w:val="0"/>
          <w:color w:val="000000"/>
          <w:kern w:val="2"/>
          <w:sz w:val="30"/>
          <w:szCs w:val="30"/>
          <w:lang w:eastAsia="zh-CN"/>
        </w:rPr>
        <w:t>）</w:t>
      </w:r>
      <w:r>
        <w:rPr>
          <w:rFonts w:hint="eastAsia" w:ascii="黑体" w:hAnsi="宋体" w:eastAsia="黑体" w:cs="黑体"/>
          <w:b w:val="0"/>
          <w:bCs w:val="0"/>
          <w:color w:val="000000"/>
          <w:kern w:val="2"/>
          <w:sz w:val="30"/>
          <w:szCs w:val="30"/>
        </w:rPr>
        <w:t>空间服务供给对阅读体验改善的影响</w:t>
      </w:r>
    </w:p>
    <w:p w14:paraId="39FD3418">
      <w:pPr>
        <w:keepNext w:val="0"/>
        <w:keepLines w:val="0"/>
        <w:widowControl w:val="0"/>
        <w:suppressLineNumbers w:val="0"/>
        <w:spacing w:before="163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1.阅读体验改善对社区共建参与的影响</w:t>
      </w:r>
    </w:p>
    <w:p w14:paraId="7B6ECA6E">
      <w:pPr>
        <w:keepNext w:val="0"/>
        <w:keepLines w:val="0"/>
        <w:widowControl w:val="0"/>
        <w:suppressLineNumbers w:val="0"/>
        <w:spacing w:before="163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</w:t>
      </w:r>
    </w:p>
    <w:p w14:paraId="24C3D759">
      <w:pPr>
        <w:keepNext w:val="0"/>
        <w:keepLines w:val="0"/>
        <w:widowControl w:val="0"/>
        <w:suppressLineNumbers w:val="0"/>
        <w:spacing w:before="163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2.空间服务供给对社区共建参与的影响</w:t>
      </w:r>
    </w:p>
    <w:p w14:paraId="268AB220">
      <w:pPr>
        <w:keepNext w:val="0"/>
        <w:keepLines w:val="0"/>
        <w:widowControl w:val="0"/>
        <w:suppressLineNumbers w:val="0"/>
        <w:spacing w:before="163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 本轮记录覆盖66个服务节点、2类核心场景，阶段满意度约为77%，一般问题在8天内完成闭环。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</w:t>
      </w:r>
    </w:p>
    <w:p w14:paraId="2DCBF1BD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beforeAutospacing="0" w:line="25" w:lineRule="atLeast"/>
        <w:textAlignment w:val="auto"/>
        <w:outlineLvl w:val="1"/>
        <w:rPr>
          <w:rFonts w:hint="eastAsia" w:ascii="黑体" w:hAnsi="宋体" w:cs="黑体"/>
          <w:b w:val="0"/>
          <w:bCs w:val="0"/>
          <w:color w:val="000000"/>
          <w:kern w:val="2"/>
          <w:sz w:val="30"/>
          <w:szCs w:val="30"/>
          <w:lang w:eastAsia="zh-CN"/>
        </w:rPr>
      </w:pPr>
      <w:r>
        <w:rPr>
          <w:rFonts w:hint="eastAsia" w:ascii="黑体" w:hAnsi="宋体" w:cs="黑体"/>
          <w:b w:val="0"/>
          <w:bCs w:val="0"/>
          <w:color w:val="000000"/>
          <w:kern w:val="2"/>
          <w:sz w:val="30"/>
          <w:szCs w:val="30"/>
          <w:lang w:eastAsia="zh-CN"/>
        </w:rPr>
        <w:t>（</w:t>
      </w:r>
      <w:r>
        <w:rPr>
          <w:rFonts w:hint="eastAsia" w:ascii="黑体" w:hAnsi="宋体" w:cs="黑体"/>
          <w:b w:val="0"/>
          <w:bCs w:val="0"/>
          <w:color w:val="000000"/>
          <w:kern w:val="2"/>
          <w:sz w:val="30"/>
          <w:szCs w:val="30"/>
          <w:lang w:val="en-US" w:eastAsia="zh-CN"/>
        </w:rPr>
        <w:t>三</w:t>
      </w:r>
      <w:r>
        <w:rPr>
          <w:rFonts w:hint="eastAsia" w:ascii="黑体" w:hAnsi="宋体" w:cs="黑体"/>
          <w:b w:val="0"/>
          <w:bCs w:val="0"/>
          <w:color w:val="000000"/>
          <w:kern w:val="2"/>
          <w:sz w:val="30"/>
          <w:szCs w:val="30"/>
          <w:lang w:eastAsia="zh-CN"/>
        </w:rPr>
        <w:t>）中介效应</w:t>
      </w:r>
    </w:p>
    <w:p w14:paraId="37F4B242">
      <w:pPr>
        <w:keepNext w:val="0"/>
        <w:keepLines w:val="0"/>
        <w:widowControl w:val="0"/>
        <w:suppressLineNumbers w:val="0"/>
        <w:spacing w:before="163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为提升服务的真实可达性，方案建议在社区公告栏、学校门口、商街转角和线上小程序同步发布开放时间、活动日历与预约规则。导视信息应使用简洁文字和统一图标，让首次到访者能够快速找到入口、还书点、亲子区和安静阅读区。 本轮记录覆盖73个服务节点、3类核心场景，阶段满意度约为80%，一般问题在9天内完成闭环。预算安排以运营稳定为先，优先保障人员值守、基础维护、图书更新、数字系统和安全巡检。装饰性投入需要与实际使用频次挂钩，低使用率区域应先通过活动导入和动线调整验证需求，再决定是否投入固定设施。</w:t>
      </w:r>
    </w:p>
    <w:p w14:paraId="2AE5AA4C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64" w:beforeLines="50" w:beforeAutospacing="0" w:line="25" w:lineRule="atLeast"/>
        <w:jc w:val="center"/>
        <w:textAlignment w:val="auto"/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  <w:t>第六章 分组检验与落地计划</w:t>
      </w:r>
    </w:p>
    <w:p w14:paraId="16C96B06">
      <w:pPr>
        <w:keepNext w:val="0"/>
        <w:keepLines w:val="0"/>
        <w:widowControl w:val="0"/>
        <w:suppressLineNumbers w:val="0"/>
        <w:spacing w:before="163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活动设计应避免单纯追求数量，重点关注读者是否愿意再次参加、是否产生持续阅读行为、是否带动家庭成员共同使用空间。每场活动结束后，馆员需记录参与人数、滞留时长、图书借阅转化和现场反馈，形成下一轮策划依据。 本轮记录覆盖80个服务节点、4类核心场景，阶段满意度约为83%，一般问题在10天内完成闭环。物资管理采用低库存、快补给原则。</w:t>
      </w:r>
    </w:p>
    <w:p w14:paraId="6C7841AF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beforeAutospacing="0" w:line="25" w:lineRule="atLeast"/>
        <w:textAlignment w:val="auto"/>
        <w:outlineLvl w:val="1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（一）基于读者年龄的组别间检验</w:t>
      </w:r>
    </w:p>
    <w:tbl>
      <w:tblPr>
        <w:tblStyle w:val="9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05"/>
        <w:gridCol w:w="605"/>
        <w:gridCol w:w="672"/>
        <w:gridCol w:w="672"/>
        <w:gridCol w:w="743"/>
        <w:gridCol w:w="743"/>
        <w:gridCol w:w="743"/>
        <w:gridCol w:w="881"/>
        <w:gridCol w:w="656"/>
        <w:gridCol w:w="899"/>
      </w:tblGrid>
      <w:tr w14:paraId="01A28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10" w:type="dxa"/>
            <w:gridSpan w:val="10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ACB1AA8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指标</w:t>
            </w:r>
          </w:p>
        </w:tc>
      </w:tr>
      <w:tr w14:paraId="6D2A2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6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D80D3C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default"/>
              </w:rPr>
              <w:t>建议范围</w:t>
            </w:r>
          </w:p>
        </w:tc>
        <w:tc>
          <w:tcPr>
            <w:tcW w:w="50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2E8CB2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&lt;3</w:t>
            </w:r>
          </w:p>
        </w:tc>
        <w:tc>
          <w:tcPr>
            <w:tcW w:w="67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5D4138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&gt;0.90</w:t>
            </w:r>
          </w:p>
        </w:tc>
        <w:tc>
          <w:tcPr>
            <w:tcW w:w="67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BE2E09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&gt;0.85</w:t>
            </w:r>
          </w:p>
        </w:tc>
        <w:tc>
          <w:tcPr>
            <w:tcW w:w="7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157AA8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&lt;0.08</w:t>
            </w:r>
          </w:p>
        </w:tc>
        <w:tc>
          <w:tcPr>
            <w:tcW w:w="7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D6989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&lt;0.05</w:t>
            </w:r>
          </w:p>
        </w:tc>
        <w:tc>
          <w:tcPr>
            <w:tcW w:w="891" w:type="dxa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17AC5B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&gt;0.90</w:t>
            </w:r>
          </w:p>
        </w:tc>
        <w:tc>
          <w:tcPr>
            <w:tcW w:w="910" w:type="dxa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8884EB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&gt;0.90</w:t>
            </w:r>
          </w:p>
        </w:tc>
      </w:tr>
      <w:tr w14:paraId="538D6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65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5B2F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/>
              </w:rPr>
              <w:t>预约履约率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C41688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0.903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43C6A7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0.691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3149AC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0.972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1DE959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0.852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4BA841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0.854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6563D3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0.877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C2998D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0.837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D5101C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0.764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02AE4C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0.930</w:t>
            </w:r>
          </w:p>
        </w:tc>
      </w:tr>
      <w:tr w14:paraId="67873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0F627B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书目更新率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32CF93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0.913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D1B7E8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0.633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E16F49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0.907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7E1922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0.718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E7481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0.645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A3EE52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0.624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C23EE8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0.693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4A4727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0.943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20D90E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0.877</w:t>
            </w:r>
          </w:p>
        </w:tc>
      </w:tr>
      <w:tr w14:paraId="397C5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F0C118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意见响应率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920E4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0.730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FFF8C7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0.968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F93081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0.698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80EA9E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0.792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EA041E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0.716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B16AEA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0.892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5194A2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0.674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5CDF59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0.854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33767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0.692</w:t>
            </w:r>
          </w:p>
        </w:tc>
      </w:tr>
      <w:tr w14:paraId="474FE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4E3A9B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座位周转率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1E699A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0.897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429529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0.874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EE23DE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0.682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4A8AEF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0.903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68A789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0.885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14FF71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0.735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57E3F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0.751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27CC2D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0.736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036674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0.873</w:t>
            </w:r>
          </w:p>
        </w:tc>
      </w:tr>
      <w:tr w14:paraId="5A40B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32E9B5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活动到场率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EC5D07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0.802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CE774B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0.899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DB45CF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0.627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83FAB2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0.744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9B1107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0.726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8EACC0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0.897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98287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0.629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21F3C1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0.657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82307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0.961</w:t>
            </w:r>
          </w:p>
        </w:tc>
      </w:tr>
      <w:tr w14:paraId="74470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668DAE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借阅转化率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EE7E5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0.906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A5AF2B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0.691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B1E9ED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0.719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0CC42D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0.758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8FBC59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0.885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AEF961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0.725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4C4A3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0.792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3ACDA1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0.949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CA96A4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0.696</w:t>
            </w:r>
          </w:p>
        </w:tc>
      </w:tr>
      <w:tr w14:paraId="584D3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7E30FD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设备完好率</w:t>
            </w: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6505E9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0.800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03607A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0.823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EA4C6B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0.808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03D6EB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0.818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2FE775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0.648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242FD2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0.672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F8BD84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0.697</w:t>
            </w:r>
          </w:p>
        </w:tc>
        <w:tc>
          <w:tcPr>
            <w:tcW w:w="6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9349EC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0.926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D59981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0.879</w:t>
            </w:r>
          </w:p>
        </w:tc>
      </w:tr>
      <w:tr w14:paraId="35A34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6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2C9BCB4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"/>
              </w:rPr>
              <w:t>读者满意度</w:t>
            </w:r>
          </w:p>
        </w:tc>
        <w:tc>
          <w:tcPr>
            <w:tcW w:w="50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45E73C2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  <w:lang w:val="en-US" w:eastAsia="zh-CN" w:bidi="ar"/>
              </w:rPr>
              <w:t>0.742</w:t>
            </w:r>
          </w:p>
        </w:tc>
        <w:tc>
          <w:tcPr>
            <w:tcW w:w="67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F4BE419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/>
              </w:rPr>
              <w:t>0.706</w:t>
            </w:r>
          </w:p>
        </w:tc>
        <w:tc>
          <w:tcPr>
            <w:tcW w:w="67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4218276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/>
              </w:rPr>
              <w:t>0.826</w:t>
            </w:r>
          </w:p>
        </w:tc>
        <w:tc>
          <w:tcPr>
            <w:tcW w:w="7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D75E08B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/>
              </w:rPr>
              <w:t>0.909</w:t>
            </w:r>
          </w:p>
        </w:tc>
        <w:tc>
          <w:tcPr>
            <w:tcW w:w="7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1B46DBA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/>
              </w:rPr>
              <w:t>0.647</w:t>
            </w:r>
          </w:p>
        </w:tc>
        <w:tc>
          <w:tcPr>
            <w:tcW w:w="7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1425ACE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/>
              </w:rPr>
              <w:t>0.669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F81E773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/>
              </w:rPr>
              <w:t>0.652</w:t>
            </w:r>
          </w:p>
        </w:tc>
        <w:tc>
          <w:tcPr>
            <w:tcW w:w="65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B651702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/>
              </w:rPr>
              <w:t>0.678</w:t>
            </w:r>
          </w:p>
        </w:tc>
        <w:tc>
          <w:tcPr>
            <w:tcW w:w="91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950D12E">
            <w:pPr>
              <w:keepNext w:val="0"/>
              <w:keepLines w:val="0"/>
              <w:widowControl w:val="0"/>
              <w:suppressLineNumbers w:val="0"/>
              <w:autoSpaceDE w:val="0"/>
              <w:autoSpaceDN/>
              <w:snapToGrid w:val="0"/>
              <w:spacing w:before="50" w:beforeLines="0" w:beforeAutospacing="0" w:after="0" w:afterLines="0" w:afterAutospacing="0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/>
              </w:rPr>
              <w:t>0.907</w:t>
            </w:r>
          </w:p>
        </w:tc>
      </w:tr>
    </w:tbl>
    <w:p w14:paraId="22618FD3">
      <w:pPr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right="0" w:firstLine="420" w:firstLineChars="200"/>
        <w:jc w:val="both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 本轮记录覆盖30个服务节点、6类核心场景，阶段满意度约为89%，一般问题在12天内完成闭环。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空间更新不追求一次性大改造，而采用轻量化迭代方式。优先处理入口识别、书架分区、插座补充、通风照明、导视牌和活动收纳等影响体验的基础环节，再根据客流变化逐步引入夜间阅读、主题书展、邻里讲读和手作课堂等内容。为提升服务的真实可达性，方案建议在社区公告栏、学校门口、商街转角和线上小程序同步发布开放时间、活动日历与预约规则。</w:t>
      </w:r>
    </w:p>
    <w:p w14:paraId="07069901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beforeAutospacing="0" w:line="25" w:lineRule="atLeast"/>
        <w:textAlignment w:val="auto"/>
        <w:outlineLvl w:val="1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（二）基于到访频次的组别间检验</w:t>
      </w:r>
    </w:p>
    <w:p w14:paraId="1D05ACE2">
      <w:pPr>
        <w:pStyle w:val="5"/>
        <w:numPr>
          <w:ilvl w:val="3"/>
          <w:numId w:val="0"/>
        </w:numPr>
        <w:bidi w:val="0"/>
        <w:ind w:left="402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1.基于访问类型的组别间检验</w:t>
      </w:r>
    </w:p>
    <w:tbl>
      <w:tblPr>
        <w:tblStyle w:val="10"/>
        <w:tblW w:w="8519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9"/>
        <w:gridCol w:w="2280"/>
        <w:gridCol w:w="3190"/>
      </w:tblGrid>
      <w:tr w14:paraId="492014FC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2E2E508A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666A1CEF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点位/指标</w:t>
            </w:r>
          </w:p>
        </w:tc>
        <w:tc>
          <w:tcPr>
            <w:tcW w:w="3190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0317F475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执行要点</w:t>
            </w:r>
          </w:p>
        </w:tc>
      </w:tr>
      <w:tr w14:paraId="5F68754D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D08A13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灯塔共享厅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860801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夜间阅览</w:t>
            </w:r>
          </w:p>
        </w:tc>
        <w:tc>
          <w:tcPr>
            <w:tcW w:w="3190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8C3E77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配置21个座位，月均活动5场，问题闭环率84%。</w:t>
            </w:r>
          </w:p>
        </w:tc>
      </w:tr>
      <w:tr w14:paraId="649C8063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BF86B8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栖岸书廊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67E6B3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手作课堂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D22386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配置24个座位，月均活动6场，问题闭环率86%。</w:t>
            </w:r>
          </w:p>
        </w:tc>
      </w:tr>
      <w:tr w14:paraId="007AD6F0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AD266A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花径活动室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CDF6D3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数字借阅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98D7A1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配置27个座位，月均活动7场，问题闭环率88%。</w:t>
            </w:r>
          </w:p>
        </w:tc>
      </w:tr>
      <w:tr w14:paraId="61D2CCB6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569D95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海风书房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C7589D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社区讲读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4F0895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配置30个座位，月均活动8场，问题闭环率90%。</w:t>
            </w:r>
          </w:p>
        </w:tc>
      </w:tr>
      <w:tr w14:paraId="00FBE755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D1E25F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松石书屋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4B59D3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安静办公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E36CAF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配置33个座位，月均活动9场，问题闭环率92%。</w:t>
            </w:r>
          </w:p>
        </w:tc>
      </w:tr>
      <w:tr w14:paraId="136E2EE8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451F878E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云汀阅读角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7C3BF3E6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周末沙龙</w:t>
            </w:r>
          </w:p>
        </w:tc>
        <w:tc>
          <w:tcPr>
            <w:tcW w:w="319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31C3404D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配置36个座位，月均活动4场，问题闭环率94%。</w:t>
            </w:r>
          </w:p>
        </w:tc>
      </w:tr>
    </w:tbl>
    <w:p w14:paraId="73262861">
      <w:pPr>
        <w:pStyle w:val="8"/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right="0" w:firstLine="480" w:firstLineChars="200"/>
        <w:contextualSpacing/>
        <w:jc w:val="both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 xml:space="preserve"> </w:t>
      </w:r>
    </w:p>
    <w:tbl>
      <w:tblPr>
        <w:tblStyle w:val="10"/>
        <w:tblW w:w="8685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1543"/>
        <w:gridCol w:w="1663"/>
        <w:gridCol w:w="3216"/>
      </w:tblGrid>
      <w:tr w14:paraId="036B6B03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3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0881B265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1543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4D6B92EC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统计值</w:t>
            </w:r>
          </w:p>
        </w:tc>
        <w:tc>
          <w:tcPr>
            <w:tcW w:w="1663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7ACD72F8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周期</w:t>
            </w:r>
          </w:p>
        </w:tc>
        <w:tc>
          <w:tcPr>
            <w:tcW w:w="3216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7EB4C6D5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结论</w:t>
            </w:r>
          </w:p>
        </w:tc>
      </w:tr>
      <w:tr w14:paraId="28CA041E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3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3DDBA5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书目更新率</w:t>
            </w:r>
          </w:p>
        </w:tc>
        <w:tc>
          <w:tcPr>
            <w:tcW w:w="1543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A56267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86.1</w:t>
            </w:r>
          </w:p>
        </w:tc>
        <w:tc>
          <w:tcPr>
            <w:tcW w:w="1663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FE8877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六月</w:t>
            </w:r>
          </w:p>
        </w:tc>
        <w:tc>
          <w:tcPr>
            <w:tcW w:w="3216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4506D1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531E94C0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9FA0A3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意见响应率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0A3157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89.1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AD5077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七月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2E068A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需要持续观察</w:t>
            </w:r>
          </w:p>
        </w:tc>
      </w:tr>
      <w:tr w14:paraId="1C6B24EE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CA6C5D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座位周转率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3FCCA4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92.1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0F0F56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八月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FEC38B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7D0B4F4F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60B91B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活动到场率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265F8E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70.1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619C9F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九月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E31F1E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38A8466D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55C399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借阅转化率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D1B1B1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73.1</w:t>
            </w:r>
          </w:p>
        </w:tc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93A827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一月</w:t>
            </w:r>
          </w:p>
        </w:tc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392D75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需要持续观察</w:t>
            </w:r>
          </w:p>
        </w:tc>
      </w:tr>
      <w:tr w14:paraId="04109B8B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5CA634DB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设备完好率</w:t>
            </w:r>
          </w:p>
        </w:tc>
        <w:tc>
          <w:tcPr>
            <w:tcW w:w="154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0076BB98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76.1</w:t>
            </w:r>
          </w:p>
        </w:tc>
        <w:tc>
          <w:tcPr>
            <w:tcW w:w="166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7121DBF9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二月</w:t>
            </w:r>
          </w:p>
        </w:tc>
        <w:tc>
          <w:tcPr>
            <w:tcW w:w="321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6A5F23FA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</w:tbl>
    <w:p w14:paraId="1852BF24">
      <w:pPr>
        <w:pStyle w:val="8"/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right="0" w:firstLine="480" w:firstLineChars="200"/>
        <w:contextualSpacing/>
        <w:jc w:val="both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 xml:space="preserve"> </w:t>
      </w:r>
    </w:p>
    <w:tbl>
      <w:tblPr>
        <w:tblStyle w:val="10"/>
        <w:tblW w:w="4997" w:type="pct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"/>
        <w:gridCol w:w="1163"/>
        <w:gridCol w:w="1378"/>
        <w:gridCol w:w="1163"/>
        <w:gridCol w:w="837"/>
        <w:gridCol w:w="1487"/>
        <w:gridCol w:w="1487"/>
      </w:tblGrid>
      <w:tr w14:paraId="6DB37822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88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11118EFD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变量</w:t>
            </w:r>
          </w:p>
        </w:tc>
        <w:tc>
          <w:tcPr>
            <w:tcW w:w="682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787D4222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组别</w:t>
            </w:r>
          </w:p>
        </w:tc>
        <w:tc>
          <w:tcPr>
            <w:tcW w:w="808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5FFD453E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均值差</w:t>
            </w:r>
          </w:p>
        </w:tc>
        <w:tc>
          <w:tcPr>
            <w:tcW w:w="682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61D912A0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标准误</w:t>
            </w:r>
          </w:p>
        </w:tc>
        <w:tc>
          <w:tcPr>
            <w:tcW w:w="491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64E57230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P值</w:t>
            </w:r>
          </w:p>
        </w:tc>
        <w:tc>
          <w:tcPr>
            <w:tcW w:w="872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7DE049BE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效应量</w:t>
            </w:r>
          </w:p>
          <w:p w14:paraId="44702E56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</w:p>
        </w:tc>
        <w:tc>
          <w:tcPr>
            <w:tcW w:w="872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18F6B15E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说明</w:t>
            </w:r>
          </w:p>
          <w:p w14:paraId="632AF18D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</w:p>
        </w:tc>
      </w:tr>
      <w:tr w14:paraId="712018FA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8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173453AF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意见响应率</w:t>
            </w:r>
          </w:p>
        </w:tc>
        <w:tc>
          <w:tcPr>
            <w:tcW w:w="682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68E67084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组3</w:t>
            </w:r>
          </w:p>
        </w:tc>
        <w:tc>
          <w:tcPr>
            <w:tcW w:w="808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46243085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0.278</w:t>
            </w:r>
          </w:p>
        </w:tc>
        <w:tc>
          <w:tcPr>
            <w:tcW w:w="682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757D6070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0.129</w:t>
            </w:r>
          </w:p>
        </w:tc>
        <w:tc>
          <w:tcPr>
            <w:tcW w:w="491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1C84E581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0.055</w:t>
            </w:r>
          </w:p>
        </w:tc>
        <w:tc>
          <w:tcPr>
            <w:tcW w:w="872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2EC7AAC3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0.245</w:t>
            </w:r>
          </w:p>
        </w:tc>
        <w:tc>
          <w:tcPr>
            <w:tcW w:w="872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01B643E2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差异较小</w:t>
            </w:r>
          </w:p>
        </w:tc>
      </w:tr>
    </w:tbl>
    <w:p w14:paraId="10D20B2C">
      <w:pPr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预算安排以运营稳定为先，优先保障人员值守、基础维护、图书更新、数字系统和安全巡检。装饰性投入需要与实际使用频次挂钩，低使用率区域应先通过活动导入和动线调整验证需求，再决定是否投入固定设施。 本轮记录覆盖37个服务节点、7类核心场景，阶段满意度约为92%，一般问题在13天内完成闭环。</w:t>
      </w:r>
    </w:p>
    <w:p w14:paraId="00B2D561">
      <w:pPr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本方案围绕公共书房的连续开放、活动排期、读者服务和空间维护展开，重点解决小型文化空间在日常管理中常见的排班不均、设备闲置、活动重复和服务反馈滞后等问题。通过统一的运营台账、分级服务包和月度复盘机制，各点位可以在保持本地特色的同时，形成可复制的管理标准。 本轮记录覆盖44个服务节点、8类核心场景，阶段满意度约为67%，一般问题在14天内完成闭环。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为提升服务的真实可达性，方案建议在社区公告栏、学校门口、商街转角和线上小程序同步发布开放时间、活动日历与预约规则。导视信息应使用简洁文字和统一图标，让首次到访者能够快速找到入口、还书点、亲子区和安静阅读区。预算安排以运营稳定为先，优先保障人员值守、基础维护、图书更新、数字系统和安全巡检。</w:t>
      </w:r>
    </w:p>
    <w:p w14:paraId="033333A8">
      <w:pPr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调研记录显示，读者更关注安静座位、灯光舒适度、图书更新速度、活动预约便利性以及儿童阅读区的安全性。围绕这些高频需求，方案将服务内容拆分为基础阅读、亲子陪伴、社群活动、数字借阅和社区共创五个模块，便于后续按片区进行组合投放。 本轮记录覆盖51个服务节点、9类核心场景，阶段满意度约为70%，一般问题在15天内完成闭环。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</w:t>
      </w:r>
    </w:p>
    <w:p w14:paraId="51B95BAD">
      <w:pPr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空间更新不追求一次性大改造，而采用轻量化迭代方式。优先处理入口识别、书架分区、插座补充、通风照明、导视牌和活动收纳等影响体验的基础环节，再根据客流变化逐步引入夜间阅读、主题书展、邻里讲读和手作课堂等内容。 本轮记录覆盖58个服务节点、2类核心场景，阶段满意度约为73%，一般问题在16天内完成闭环。预算安排以运营稳定为先，优先保障人员值守、基础维护、图书更新、数字系统和安全巡检。</w:t>
      </w:r>
    </w:p>
    <w:p w14:paraId="3F1C8308">
      <w:pPr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 本轮记录覆盖65个服务节点、3类核心场景，阶段满意度约为76%，一般问题在17天内完成闭环。</w:t>
      </w:r>
    </w:p>
    <w:p w14:paraId="0D86856C">
      <w:pPr>
        <w:pStyle w:val="5"/>
        <w:numPr>
          <w:ilvl w:val="3"/>
          <w:numId w:val="0"/>
        </w:numPr>
        <w:bidi w:val="0"/>
        <w:ind w:left="402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2.基于停留时长的组别间检验</w:t>
      </w:r>
    </w:p>
    <w:tbl>
      <w:tblPr>
        <w:tblStyle w:val="10"/>
        <w:tblW w:w="8519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0"/>
        <w:gridCol w:w="2316"/>
        <w:gridCol w:w="3103"/>
      </w:tblGrid>
      <w:tr w14:paraId="3C1E9FB0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08E7BF57">
            <w:pPr>
              <w:pStyle w:val="8"/>
              <w:keepNext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29C131C2">
            <w:pPr>
              <w:pStyle w:val="8"/>
              <w:keepNext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点位/指标</w:t>
            </w:r>
          </w:p>
        </w:tc>
        <w:tc>
          <w:tcPr>
            <w:tcW w:w="3103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19AEF357">
            <w:pPr>
              <w:pStyle w:val="8"/>
              <w:keepNext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执行要点</w:t>
            </w:r>
          </w:p>
        </w:tc>
      </w:tr>
      <w:tr w14:paraId="5D8A0C5C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140BED">
            <w:pPr>
              <w:pStyle w:val="8"/>
              <w:keepNext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海风书房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833591">
            <w:pPr>
              <w:pStyle w:val="8"/>
              <w:keepNext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社区讲读</w:t>
            </w:r>
          </w:p>
        </w:tc>
        <w:tc>
          <w:tcPr>
            <w:tcW w:w="3103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528483">
            <w:pPr>
              <w:pStyle w:val="8"/>
              <w:keepNext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配置21个座位，月均活动5场，问题闭环率84%。</w:t>
            </w:r>
          </w:p>
        </w:tc>
      </w:tr>
      <w:tr w14:paraId="58D0ADCB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0C4C70">
            <w:pPr>
              <w:pStyle w:val="8"/>
              <w:keepNext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松石书屋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D94944">
            <w:pPr>
              <w:pStyle w:val="8"/>
              <w:keepNext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安静办公</w:t>
            </w: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18E68D">
            <w:pPr>
              <w:pStyle w:val="8"/>
              <w:keepNext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配置24个座位，月均活动6场，问题闭环率86%。</w:t>
            </w:r>
          </w:p>
        </w:tc>
      </w:tr>
      <w:tr w14:paraId="4BBF6B77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B94165">
            <w:pPr>
              <w:pStyle w:val="8"/>
              <w:keepNext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云汀阅读角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8667C4">
            <w:pPr>
              <w:pStyle w:val="8"/>
              <w:keepNext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周末沙龙</w:t>
            </w: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D322C4">
            <w:pPr>
              <w:pStyle w:val="8"/>
              <w:keepNext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配置27个座位，月均活动7场，问题闭环率88%。</w:t>
            </w:r>
          </w:p>
        </w:tc>
      </w:tr>
      <w:tr w14:paraId="77A23603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8D7BF3">
            <w:pPr>
              <w:pStyle w:val="8"/>
              <w:keepNext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蓝湾文化站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D2BD6C">
            <w:pPr>
              <w:pStyle w:val="8"/>
              <w:keepNext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晨间自习</w:t>
            </w: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0E37FB">
            <w:pPr>
              <w:pStyle w:val="8"/>
              <w:keepNext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配置30个座位，月均活动8场，问题闭环率90%。</w:t>
            </w:r>
          </w:p>
        </w:tc>
      </w:tr>
      <w:tr w14:paraId="7B29E6CA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EFC078">
            <w:pPr>
              <w:pStyle w:val="8"/>
              <w:keepNext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银杏书舍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F5A9E6">
            <w:pPr>
              <w:pStyle w:val="8"/>
              <w:keepNext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亲子共读</w:t>
            </w: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E52D5A">
            <w:pPr>
              <w:pStyle w:val="8"/>
              <w:keepNext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配置33个座位，月均活动9场，问题闭环率92%。</w:t>
            </w:r>
          </w:p>
        </w:tc>
      </w:tr>
      <w:tr w14:paraId="3A174A98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0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497C78F6">
            <w:pPr>
              <w:pStyle w:val="8"/>
              <w:keepNext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灯塔共享厅</w:t>
            </w:r>
          </w:p>
        </w:tc>
        <w:tc>
          <w:tcPr>
            <w:tcW w:w="231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48168B07">
            <w:pPr>
              <w:pStyle w:val="8"/>
              <w:keepNext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旧书交换</w:t>
            </w:r>
          </w:p>
        </w:tc>
        <w:tc>
          <w:tcPr>
            <w:tcW w:w="310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68F4E689">
            <w:pPr>
              <w:pStyle w:val="8"/>
              <w:keepNext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配置36个座位，月均活动4场，问题闭环率94%。</w:t>
            </w:r>
          </w:p>
        </w:tc>
      </w:tr>
    </w:tbl>
    <w:p w14:paraId="020A0D07">
      <w:pPr>
        <w:pStyle w:val="8"/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right="0" w:firstLine="480" w:firstLineChars="200"/>
        <w:contextualSpacing/>
        <w:jc w:val="both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 xml:space="preserve"> </w:t>
      </w:r>
    </w:p>
    <w:tbl>
      <w:tblPr>
        <w:tblStyle w:val="10"/>
        <w:tblW w:w="8519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1"/>
        <w:gridCol w:w="1565"/>
        <w:gridCol w:w="1685"/>
        <w:gridCol w:w="2758"/>
      </w:tblGrid>
      <w:tr w14:paraId="458412E8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2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3A63396D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1565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483E54EB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统计值</w:t>
            </w:r>
          </w:p>
        </w:tc>
        <w:tc>
          <w:tcPr>
            <w:tcW w:w="1685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17E718B7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周期</w:t>
            </w:r>
          </w:p>
        </w:tc>
        <w:tc>
          <w:tcPr>
            <w:tcW w:w="2758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1D0054EE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结论</w:t>
            </w:r>
          </w:p>
        </w:tc>
      </w:tr>
      <w:tr w14:paraId="5B87AC27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2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4D9B46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活动到场率</w:t>
            </w:r>
          </w:p>
        </w:tc>
        <w:tc>
          <w:tcPr>
            <w:tcW w:w="1565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855F97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89.1</w:t>
            </w:r>
          </w:p>
        </w:tc>
        <w:tc>
          <w:tcPr>
            <w:tcW w:w="1685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6B5616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九月</w:t>
            </w:r>
          </w:p>
        </w:tc>
        <w:tc>
          <w:tcPr>
            <w:tcW w:w="2758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52C7B6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4D875CC5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6EEE89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借阅转化率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D52FDC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92.1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C55ECA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一月</w:t>
            </w:r>
          </w:p>
        </w:tc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9F9E40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需要持续观察</w:t>
            </w:r>
          </w:p>
        </w:tc>
      </w:tr>
      <w:tr w14:paraId="1F46528B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9E8F17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设备完好率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7ABC21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70.1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78BB8B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二月</w:t>
            </w:r>
          </w:p>
        </w:tc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552760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11F2955E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0C0A8B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读者满意度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30A759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73.1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AFA6F5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三月</w:t>
            </w:r>
          </w:p>
        </w:tc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A81C4D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149E901C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A430AD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预约履约率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8707EE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76.1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00BC78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四月</w:t>
            </w:r>
          </w:p>
        </w:tc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5FE023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需要持续观察</w:t>
            </w:r>
          </w:p>
        </w:tc>
      </w:tr>
      <w:tr w14:paraId="1C50BDF2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6B3258C6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书目更新率</w:t>
            </w:r>
          </w:p>
        </w:tc>
        <w:tc>
          <w:tcPr>
            <w:tcW w:w="156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296D66D8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79.1</w:t>
            </w:r>
          </w:p>
        </w:tc>
        <w:tc>
          <w:tcPr>
            <w:tcW w:w="168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471C00DF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五月</w:t>
            </w:r>
          </w:p>
        </w:tc>
        <w:tc>
          <w:tcPr>
            <w:tcW w:w="275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7CAE79E9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</w:tbl>
    <w:p w14:paraId="0AFEF699">
      <w:pPr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数据采集坚持必要、适度、可解释的原则，不收集与阅读服务无关的个人信息。</w:t>
      </w:r>
    </w:p>
    <w:p w14:paraId="6F01BDEC">
      <w:pPr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为提升服务的真实可达性，方案建议在社区公告栏、学校门口、商街转角和线上小程序同步发布开放时间、活动日历与预约规则。导视信息应使用简洁文字和统一图标，让首次到访者能够快速找到入口、还书点、亲子区和安静阅读区。 本轮记录覆盖79个服务节点、5类核心场景，阶段满意度约为82%，一般问题在8天内完成闭环。预算安排以运营稳定为先，优先保障人员值守、基础维护、图书更新、数字系统和安全巡检。装饰性投入需要与实际使用频次挂钩，低使用率区域应先通过活动导入和动线调整验证需求，再决定是否投入固定设施。数据采集坚持必要、适度、可解释的原则，不收集与阅读服务无关的个人信息。</w:t>
      </w:r>
    </w:p>
    <w:p w14:paraId="005AD3C0">
      <w:pPr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活动设计应避免单纯追求数量，重点关注读者是否愿意再次参加、是否产生持续阅读行为、是否带动家庭成员共同使用空间。</w:t>
      </w:r>
    </w:p>
    <w:p w14:paraId="01D54978">
      <w:pPr>
        <w:pStyle w:val="5"/>
        <w:numPr>
          <w:ilvl w:val="3"/>
          <w:numId w:val="0"/>
        </w:numPr>
        <w:bidi w:val="0"/>
        <w:ind w:left="402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3.基于居住距离的组别间检验</w:t>
      </w:r>
    </w:p>
    <w:tbl>
      <w:tblPr>
        <w:tblStyle w:val="10"/>
        <w:tblW w:w="4998" w:type="pct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1"/>
        <w:gridCol w:w="1856"/>
        <w:gridCol w:w="1856"/>
        <w:gridCol w:w="2466"/>
      </w:tblGrid>
      <w:tr w14:paraId="69D8E460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4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265A8B86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1089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7B14A9B8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统计值</w:t>
            </w:r>
          </w:p>
        </w:tc>
        <w:tc>
          <w:tcPr>
            <w:tcW w:w="1089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2C7F1ADC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周期</w:t>
            </w:r>
          </w:p>
        </w:tc>
        <w:tc>
          <w:tcPr>
            <w:tcW w:w="1447" w:type="pct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59C00E3D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结论</w:t>
            </w:r>
          </w:p>
        </w:tc>
      </w:tr>
      <w:tr w14:paraId="549118FE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4" w:type="pct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652E46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借阅转化率</w:t>
            </w:r>
          </w:p>
        </w:tc>
        <w:tc>
          <w:tcPr>
            <w:tcW w:w="1089" w:type="pct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CD9941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90.1</w:t>
            </w:r>
          </w:p>
        </w:tc>
        <w:tc>
          <w:tcPr>
            <w:tcW w:w="1089" w:type="pct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DAE3C4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一月</w:t>
            </w:r>
          </w:p>
        </w:tc>
        <w:tc>
          <w:tcPr>
            <w:tcW w:w="1447" w:type="pct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6636CE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需要持续观察</w:t>
            </w:r>
          </w:p>
        </w:tc>
      </w:tr>
      <w:tr w14:paraId="0BD403E5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48737E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设备完好率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3C064A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93.1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B3AD01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二月</w:t>
            </w:r>
          </w:p>
        </w:tc>
        <w:tc>
          <w:tcPr>
            <w:tcW w:w="14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1FBC29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12EE4722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A97EA3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读者满意度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52F83E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71.1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C5903A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三月</w:t>
            </w:r>
          </w:p>
        </w:tc>
        <w:tc>
          <w:tcPr>
            <w:tcW w:w="14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3F00E0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03C9413E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3FC468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预约履约率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F1E496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74.1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05A8A5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四月</w:t>
            </w:r>
          </w:p>
        </w:tc>
        <w:tc>
          <w:tcPr>
            <w:tcW w:w="14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EE979F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需要持续观察</w:t>
            </w:r>
          </w:p>
        </w:tc>
      </w:tr>
      <w:tr w14:paraId="3D8E8D70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9D850F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书目更新率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9FB4F0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77.1</w:t>
            </w:r>
          </w:p>
        </w:tc>
        <w:tc>
          <w:tcPr>
            <w:tcW w:w="10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B5E8A1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五月</w:t>
            </w:r>
          </w:p>
        </w:tc>
        <w:tc>
          <w:tcPr>
            <w:tcW w:w="14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0F4E4B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5665FBB6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4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01239201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意见响应率</w:t>
            </w:r>
          </w:p>
        </w:tc>
        <w:tc>
          <w:tcPr>
            <w:tcW w:w="1089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109441A6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80.1</w:t>
            </w:r>
          </w:p>
        </w:tc>
        <w:tc>
          <w:tcPr>
            <w:tcW w:w="1089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68EB58D3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六月</w:t>
            </w:r>
          </w:p>
        </w:tc>
        <w:tc>
          <w:tcPr>
            <w:tcW w:w="1447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66E11207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</w:tbl>
    <w:p w14:paraId="15E2E3CE">
      <w:pPr>
        <w:pStyle w:val="8"/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right="0" w:firstLine="480" w:firstLineChars="200"/>
        <w:contextualSpacing/>
        <w:jc w:val="both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 xml:space="preserve"> </w:t>
      </w:r>
    </w:p>
    <w:tbl>
      <w:tblPr>
        <w:tblStyle w:val="10"/>
        <w:tblW w:w="8519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1"/>
        <w:gridCol w:w="1021"/>
        <w:gridCol w:w="779"/>
        <w:gridCol w:w="1021"/>
        <w:gridCol w:w="2987"/>
      </w:tblGrid>
      <w:tr w14:paraId="1545D4B7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1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3E278C4E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变量</w:t>
            </w:r>
          </w:p>
        </w:tc>
        <w:tc>
          <w:tcPr>
            <w:tcW w:w="1021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4E0C42C1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测算值</w:t>
            </w:r>
          </w:p>
        </w:tc>
        <w:tc>
          <w:tcPr>
            <w:tcW w:w="779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559B3EB2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自由度</w:t>
            </w:r>
          </w:p>
        </w:tc>
        <w:tc>
          <w:tcPr>
            <w:tcW w:w="1021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1973D519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显著性</w:t>
            </w:r>
          </w:p>
        </w:tc>
        <w:tc>
          <w:tcPr>
            <w:tcW w:w="2986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63855B9D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789FD7F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1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A43062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设备完好率</w:t>
            </w:r>
          </w:p>
        </w:tc>
        <w:tc>
          <w:tcPr>
            <w:tcW w:w="1021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B410BC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19.1</w:t>
            </w:r>
          </w:p>
        </w:tc>
        <w:tc>
          <w:tcPr>
            <w:tcW w:w="779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4657D2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021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237C27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0.005</w:t>
            </w:r>
          </w:p>
        </w:tc>
        <w:tc>
          <w:tcPr>
            <w:tcW w:w="2986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C2BDAB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差异可用于排班优化</w:t>
            </w:r>
          </w:p>
        </w:tc>
      </w:tr>
      <w:tr w14:paraId="29A6F46C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7D4C85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读者满意度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61D1B1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26.1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2C97C2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301B1E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0.006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CFC097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结果保持稳定</w:t>
            </w:r>
          </w:p>
        </w:tc>
      </w:tr>
      <w:tr w14:paraId="1EADB63D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581B9D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预约履约率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F37E0E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33.1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DABEC8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838E1A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0.007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A61DBB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差异可用于排班优化</w:t>
            </w:r>
          </w:p>
        </w:tc>
      </w:tr>
      <w:tr w14:paraId="532D214A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56B2FF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书目更新率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E06311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40.1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2487C6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94E645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0.008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FDDAA3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结果保持稳定</w:t>
            </w:r>
          </w:p>
        </w:tc>
      </w:tr>
      <w:tr w14:paraId="36044C4F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E12E7B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意见响应率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FB61BD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47.1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026923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B07A32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0.009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946C1E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差异可用于排班优化</w:t>
            </w:r>
          </w:p>
        </w:tc>
      </w:tr>
      <w:tr w14:paraId="40E33547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1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17BD1D78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座位周转率</w:t>
            </w:r>
          </w:p>
        </w:tc>
        <w:tc>
          <w:tcPr>
            <w:tcW w:w="102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7C461400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54.1</w:t>
            </w:r>
          </w:p>
        </w:tc>
        <w:tc>
          <w:tcPr>
            <w:tcW w:w="77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28E75ECC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102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61D3B7AF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0.001</w:t>
            </w:r>
          </w:p>
        </w:tc>
        <w:tc>
          <w:tcPr>
            <w:tcW w:w="298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03882982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结果保持稳定</w:t>
            </w:r>
          </w:p>
        </w:tc>
      </w:tr>
    </w:tbl>
    <w:p w14:paraId="7BFAE44E">
      <w:pPr>
        <w:pStyle w:val="8"/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right="0" w:firstLine="480" w:firstLineChars="200"/>
        <w:contextualSpacing/>
        <w:jc w:val="both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 xml:space="preserve"> </w:t>
      </w:r>
    </w:p>
    <w:tbl>
      <w:tblPr>
        <w:tblStyle w:val="10"/>
        <w:tblW w:w="8519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4"/>
        <w:gridCol w:w="1415"/>
        <w:gridCol w:w="2789"/>
        <w:gridCol w:w="2001"/>
      </w:tblGrid>
      <w:tr w14:paraId="7A3AFEC9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4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66F8C054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775B7CB9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统计值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727D930A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周期</w:t>
            </w:r>
          </w:p>
        </w:tc>
        <w:tc>
          <w:tcPr>
            <w:tcW w:w="2001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3C17BCA4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结论</w:t>
            </w:r>
          </w:p>
        </w:tc>
      </w:tr>
      <w:tr w14:paraId="372459BD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4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773FE3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读者满意度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7B5F31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92.1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A88043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三月</w:t>
            </w:r>
          </w:p>
        </w:tc>
        <w:tc>
          <w:tcPr>
            <w:tcW w:w="2001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3C4115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64BA92B7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CC5427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预约履约率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A3CFBF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70.1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C04115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四月</w:t>
            </w:r>
          </w:p>
        </w:tc>
        <w:tc>
          <w:tcPr>
            <w:tcW w:w="2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EA2CBE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需要持续观察</w:t>
            </w:r>
          </w:p>
        </w:tc>
      </w:tr>
      <w:tr w14:paraId="3D3E6D81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3F3CA8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书目更新率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D69871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73.1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5A7CE9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五月</w:t>
            </w:r>
          </w:p>
        </w:tc>
        <w:tc>
          <w:tcPr>
            <w:tcW w:w="2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27F54C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527B07C3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6AAFB7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意见响应率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C462B2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76.1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83D832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六月</w:t>
            </w:r>
          </w:p>
        </w:tc>
        <w:tc>
          <w:tcPr>
            <w:tcW w:w="2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5FA346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0EA0FDD1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1611CA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座位周转率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FABF1C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79.1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6689F0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七月</w:t>
            </w:r>
          </w:p>
        </w:tc>
        <w:tc>
          <w:tcPr>
            <w:tcW w:w="2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5DBA72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需要持续观察</w:t>
            </w:r>
          </w:p>
        </w:tc>
      </w:tr>
      <w:tr w14:paraId="3AE9CA54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5A8DC70C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活动到场率</w:t>
            </w:r>
          </w:p>
        </w:tc>
        <w:tc>
          <w:tcPr>
            <w:tcW w:w="141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7234A965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82.1</w:t>
            </w:r>
          </w:p>
        </w:tc>
        <w:tc>
          <w:tcPr>
            <w:tcW w:w="278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797DC2DA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八月</w:t>
            </w:r>
          </w:p>
        </w:tc>
        <w:tc>
          <w:tcPr>
            <w:tcW w:w="200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469F1EB9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</w:tbl>
    <w:p w14:paraId="2433772B">
      <w:pPr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物资管理采用低库存、快补给原则。常用耗材按周盘点，活动材料按场次核销，设备维修按紧急程度分为即时处理、三日内处理和月度集中处理三类。这样既能减少浪费，也能避免因缺少小物件影响活动执行。 本轮记录覆盖29个服务节点、7类核心场景，阶段满意度约为88%，一般问题在10天内完成闭环。预算安排以运营稳定为先，优先保障人员值守、基础维护、图书更新、数字系统和安全巡检。</w:t>
      </w:r>
    </w:p>
    <w:p w14:paraId="217CC50B">
      <w:pPr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</w:t>
      </w:r>
    </w:p>
    <w:p w14:paraId="37F11B61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right" w:leader="dot" w:pos="90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4" w:beforeLines="50" w:beforeAutospacing="0" w:line="25" w:lineRule="atLeast"/>
        <w:textAlignment w:val="auto"/>
        <w:outlineLvl w:val="1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（三）基于读者特征对服务升级偏好的探索</w:t>
      </w:r>
    </w:p>
    <w:tbl>
      <w:tblPr>
        <w:tblStyle w:val="10"/>
        <w:tblW w:w="8519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4"/>
        <w:gridCol w:w="2275"/>
        <w:gridCol w:w="3200"/>
      </w:tblGrid>
      <w:tr w14:paraId="2A432047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4B6BF0C8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25A729CD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点位/指标</w:t>
            </w:r>
          </w:p>
        </w:tc>
        <w:tc>
          <w:tcPr>
            <w:tcW w:w="3200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5C63E86E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执行要点</w:t>
            </w:r>
          </w:p>
        </w:tc>
      </w:tr>
      <w:tr w14:paraId="2DE2D704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3837C3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灯塔共享厅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0390E5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旧书交换</w:t>
            </w:r>
          </w:p>
        </w:tc>
        <w:tc>
          <w:tcPr>
            <w:tcW w:w="3200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A7C06D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配置21个座位，月均活动5场，问题闭环率84%。</w:t>
            </w:r>
          </w:p>
        </w:tc>
      </w:tr>
      <w:tr w14:paraId="4D2ED473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E0B277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栖岸书廊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148CE3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主题书展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5D8C9E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配置24个座位，月均活动6场，问题闭环率86%。</w:t>
            </w:r>
          </w:p>
        </w:tc>
      </w:tr>
      <w:tr w14:paraId="326055EB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507AE9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花径活动室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8717D6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夜间阅览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3D4F13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配置27个座位，月均活动7场，问题闭环率88%。</w:t>
            </w:r>
          </w:p>
        </w:tc>
      </w:tr>
      <w:tr w14:paraId="0B1F0478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A412B6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海风书房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00A62C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手作课堂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61F78C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配置30个座位，月均活动8场，问题闭环率90%。</w:t>
            </w:r>
          </w:p>
        </w:tc>
      </w:tr>
      <w:tr w14:paraId="036CAD78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6E58F4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松石书屋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B719B8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数字借阅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F88726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配置33个座位，月均活动9场，问题闭环率92%。</w:t>
            </w:r>
          </w:p>
        </w:tc>
      </w:tr>
      <w:tr w14:paraId="4EC2FEB4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31015371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云汀阅读角</w:t>
            </w:r>
          </w:p>
        </w:tc>
        <w:tc>
          <w:tcPr>
            <w:tcW w:w="227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4DB35E4D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社区讲读</w:t>
            </w:r>
          </w:p>
        </w:tc>
        <w:tc>
          <w:tcPr>
            <w:tcW w:w="320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54745FB6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配置36个座位，月均活动4场，问题闭环率94%。</w:t>
            </w:r>
          </w:p>
        </w:tc>
      </w:tr>
    </w:tbl>
    <w:p w14:paraId="4F24D41C">
      <w:pPr>
        <w:pStyle w:val="8"/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right="0" w:firstLine="480" w:firstLineChars="200"/>
        <w:contextualSpacing/>
        <w:jc w:val="both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 xml:space="preserve"> </w:t>
      </w:r>
    </w:p>
    <w:tbl>
      <w:tblPr>
        <w:tblStyle w:val="10"/>
        <w:tblW w:w="8519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0"/>
        <w:gridCol w:w="1596"/>
        <w:gridCol w:w="1716"/>
        <w:gridCol w:w="2667"/>
      </w:tblGrid>
      <w:tr w14:paraId="2298D2B5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0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71B814D5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1596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72F56E95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统计值</w:t>
            </w:r>
          </w:p>
        </w:tc>
        <w:tc>
          <w:tcPr>
            <w:tcW w:w="1716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14A247FF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周期</w:t>
            </w:r>
          </w:p>
        </w:tc>
        <w:tc>
          <w:tcPr>
            <w:tcW w:w="2667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52871434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结论</w:t>
            </w:r>
          </w:p>
        </w:tc>
      </w:tr>
      <w:tr w14:paraId="79950F24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0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5E4CF4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书目更新率</w:t>
            </w:r>
          </w:p>
        </w:tc>
        <w:tc>
          <w:tcPr>
            <w:tcW w:w="1596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2C228A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94.1</w:t>
            </w:r>
          </w:p>
        </w:tc>
        <w:tc>
          <w:tcPr>
            <w:tcW w:w="1716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560E73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五月</w:t>
            </w:r>
          </w:p>
        </w:tc>
        <w:tc>
          <w:tcPr>
            <w:tcW w:w="2667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41C8D4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1F9CEF04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EED21C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意见响应率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D31434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72.1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EE3949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六月</w:t>
            </w: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F757E4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526E1CF8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40328D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座位周转率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773E85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75.1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DFB62E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七月</w:t>
            </w: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79BF41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需要持续观察</w:t>
            </w:r>
          </w:p>
        </w:tc>
      </w:tr>
      <w:tr w14:paraId="75D72458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EB33B8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活动到场率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C93CB1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78.1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BB0D04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八月</w:t>
            </w: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884F21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4A829E55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A9A978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借阅转化率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ADF670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81.1</w:t>
            </w: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4462CD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九月</w:t>
            </w: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45C46E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5ABF9DBD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26E979A3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设备完好率</w:t>
            </w:r>
          </w:p>
        </w:tc>
        <w:tc>
          <w:tcPr>
            <w:tcW w:w="159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34835B7C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84.1</w:t>
            </w:r>
          </w:p>
        </w:tc>
        <w:tc>
          <w:tcPr>
            <w:tcW w:w="171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1847D5CF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一月</w:t>
            </w:r>
          </w:p>
        </w:tc>
        <w:tc>
          <w:tcPr>
            <w:tcW w:w="266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028050F3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需要持续观察</w:t>
            </w:r>
          </w:p>
        </w:tc>
      </w:tr>
    </w:tbl>
    <w:p w14:paraId="37D1EA37">
      <w:pPr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预算安排以运营稳定为先，优先保障人员值守、基础维护、图书更新、数字系统和安全巡检。</w:t>
      </w:r>
    </w:p>
    <w:p w14:paraId="26D9DBD1">
      <w:pPr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本方案围绕公共书房的连续开放、活动排期、读者服务和空间维护展开，重点解决小型文化空间在日常管理中常见的排班不均、设备闲置、活动重复和服务反馈滞后等问题。通过统一的运营台账、分级服务包和月度复盘机制，各点位可以在保持本地特色的同时，形成可复制的管理标准。 本轮记录覆盖50个服务节点、2类核心场景，阶段满意度约为69%，一般问题在13天内完成闭环。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</w:t>
      </w:r>
    </w:p>
    <w:p w14:paraId="51D7CE03">
      <w:pPr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调研记录显示，读者更关注安静座位、灯光舒适度、图书更新速度、活动预约便利性以及儿童阅读区的安全性。</w:t>
      </w:r>
    </w:p>
    <w:p w14:paraId="64D73F41">
      <w:pPr>
        <w:pStyle w:val="5"/>
        <w:numPr>
          <w:ilvl w:val="3"/>
          <w:numId w:val="0"/>
        </w:numPr>
        <w:bidi w:val="0"/>
        <w:ind w:left="402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1.不同年龄对预约工具与积分激励偏好的差异检验</w:t>
      </w:r>
    </w:p>
    <w:tbl>
      <w:tblPr>
        <w:tblStyle w:val="10"/>
        <w:tblW w:w="8519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4"/>
        <w:gridCol w:w="2275"/>
        <w:gridCol w:w="3200"/>
      </w:tblGrid>
      <w:tr w14:paraId="6D503536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5108E4AB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53167557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点位/指标</w:t>
            </w:r>
          </w:p>
        </w:tc>
        <w:tc>
          <w:tcPr>
            <w:tcW w:w="3200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101D9EF7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执行要点</w:t>
            </w:r>
          </w:p>
        </w:tc>
      </w:tr>
      <w:tr w14:paraId="637DBA26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2CC830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花径活动室</w:t>
            </w:r>
          </w:p>
        </w:tc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985382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夜间阅览</w:t>
            </w:r>
          </w:p>
        </w:tc>
        <w:tc>
          <w:tcPr>
            <w:tcW w:w="3200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320CBA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配置21个座位，月均活动5场，问题闭环率84%。</w:t>
            </w:r>
          </w:p>
        </w:tc>
      </w:tr>
      <w:tr w14:paraId="6EA59A4E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09A29C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海风书房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386EC7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手作课堂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9C524D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配置24个座位，月均活动6场，问题闭环率86%。</w:t>
            </w:r>
          </w:p>
        </w:tc>
      </w:tr>
      <w:tr w14:paraId="2E2EE6B3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762755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松石书屋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4EC4B4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数字借阅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3AA0C8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配置27个座位，月均活动7场，问题闭环率88%。</w:t>
            </w:r>
          </w:p>
        </w:tc>
      </w:tr>
      <w:tr w14:paraId="66D1C768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72B6FF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云汀阅读角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7AA15F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社区讲读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A097E9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配置30个座位，月均活动8场，问题闭环率90%。</w:t>
            </w:r>
          </w:p>
        </w:tc>
      </w:tr>
      <w:tr w14:paraId="5306380A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31128E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蓝湾文化站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64A4DB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安静办公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57C3B7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配置33个座位，月均活动9场，问题闭环率92%。</w:t>
            </w:r>
          </w:p>
        </w:tc>
      </w:tr>
      <w:tr w14:paraId="4E6CC712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4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6EAF3ECD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银杏书舍</w:t>
            </w:r>
          </w:p>
        </w:tc>
        <w:tc>
          <w:tcPr>
            <w:tcW w:w="227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7D04C962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周末沙龙</w:t>
            </w:r>
          </w:p>
        </w:tc>
        <w:tc>
          <w:tcPr>
            <w:tcW w:w="320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557C04B6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配置36个座位，月均活动4场，问题闭环率94%。</w:t>
            </w:r>
          </w:p>
        </w:tc>
      </w:tr>
    </w:tbl>
    <w:p w14:paraId="7D2FE690">
      <w:pPr>
        <w:pStyle w:val="8"/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440" w:right="0" w:firstLine="480" w:firstLineChars="200"/>
        <w:contextualSpacing/>
        <w:jc w:val="both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 xml:space="preserve"> </w:t>
      </w:r>
    </w:p>
    <w:tbl>
      <w:tblPr>
        <w:tblStyle w:val="10"/>
        <w:tblW w:w="8519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1"/>
        <w:gridCol w:w="1565"/>
        <w:gridCol w:w="1685"/>
        <w:gridCol w:w="2758"/>
      </w:tblGrid>
      <w:tr w14:paraId="008DCABA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2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30E54097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指标</w:t>
            </w:r>
          </w:p>
        </w:tc>
        <w:tc>
          <w:tcPr>
            <w:tcW w:w="1565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18CF1B47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统计值</w:t>
            </w:r>
          </w:p>
        </w:tc>
        <w:tc>
          <w:tcPr>
            <w:tcW w:w="1685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47E94F90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周期</w:t>
            </w:r>
          </w:p>
        </w:tc>
        <w:tc>
          <w:tcPr>
            <w:tcW w:w="2758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50690EB0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结论</w:t>
            </w:r>
          </w:p>
        </w:tc>
      </w:tr>
      <w:tr w14:paraId="1E72FB94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2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CB48A9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座位周转率</w:t>
            </w:r>
          </w:p>
        </w:tc>
        <w:tc>
          <w:tcPr>
            <w:tcW w:w="1565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754DD1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71.1</w:t>
            </w:r>
          </w:p>
        </w:tc>
        <w:tc>
          <w:tcPr>
            <w:tcW w:w="1685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255BE7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七月</w:t>
            </w:r>
          </w:p>
        </w:tc>
        <w:tc>
          <w:tcPr>
            <w:tcW w:w="2758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CC3E30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需要持续观察</w:t>
            </w:r>
          </w:p>
        </w:tc>
      </w:tr>
      <w:tr w14:paraId="7487E01F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359A21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活动到场率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8D1B16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74.1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454E63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八月</w:t>
            </w:r>
          </w:p>
        </w:tc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2CEA81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1E02C4A2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118DF8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借阅转化率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B5FEDC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77.1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7F6871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九月</w:t>
            </w:r>
          </w:p>
        </w:tc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1B74A9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6FDB01BF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EF30C9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设备完好率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1B9F5D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80.1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4EA03B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一月</w:t>
            </w:r>
          </w:p>
        </w:tc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CB416E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需要持续观察</w:t>
            </w:r>
          </w:p>
        </w:tc>
      </w:tr>
      <w:tr w14:paraId="4A3337B3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9F2F4C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读者满意度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086C09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83.1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4F2022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二月</w:t>
            </w:r>
          </w:p>
        </w:tc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08BA71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  <w:tr w14:paraId="65B20177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1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08040BDE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预约履约率</w:t>
            </w:r>
          </w:p>
        </w:tc>
        <w:tc>
          <w:tcPr>
            <w:tcW w:w="156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264B2195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86.1</w:t>
            </w:r>
          </w:p>
        </w:tc>
        <w:tc>
          <w:tcPr>
            <w:tcW w:w="168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34F3CE55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三月</w:t>
            </w:r>
          </w:p>
        </w:tc>
        <w:tc>
          <w:tcPr>
            <w:tcW w:w="275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57E5B8FD">
            <w:pPr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达到试运营标准</w:t>
            </w:r>
          </w:p>
        </w:tc>
      </w:tr>
    </w:tbl>
    <w:p w14:paraId="16BD1A6B">
      <w:pPr>
        <w:pStyle w:val="8"/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720" w:right="0" w:firstLine="480" w:firstLineChars="200"/>
        <w:contextualSpacing/>
        <w:jc w:val="left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 xml:space="preserve"> </w:t>
      </w:r>
    </w:p>
    <w:p w14:paraId="61A7B75E">
      <w:pPr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空间更新不追求一次性大改造，而采用轻量化迭代方式。优先处理入口识别、书架分区、插座补充、通风照明、导视牌和活动收纳等影响体验的基础环节，再根据客流变化逐步引入夜间阅读、主题书展、邻里讲读和手作课堂等内容。 本轮记录覆盖64个服务节点、4类核心场景，阶段满意度约为75%，一般问题在15天内完成闭环。预算安排以运营稳定为先，优先保障人员值守、基础维护、图书更新、数字系统和安全巡检。装饰性投入需要与实际使用频次挂钩，低使用率区域应先通过活动导入和动线调整验证需求，再决定是否投入固定设施。数据采集坚持必要、适度、可解释的原则，不收集与阅读服务无关的个人信息。</w:t>
      </w:r>
    </w:p>
    <w:p w14:paraId="4D1413D3">
      <w:pPr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 本轮记录覆盖71个服务节点、5类核心场景，阶段满意度约为78%，一般问题在16天内完成闭环。</w:t>
      </w:r>
    </w:p>
    <w:p w14:paraId="1E69204C">
      <w:pPr>
        <w:pStyle w:val="5"/>
        <w:numPr>
          <w:ilvl w:val="3"/>
          <w:numId w:val="0"/>
        </w:numPr>
        <w:bidi w:val="0"/>
        <w:ind w:left="402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2.不同访问类型对空间模块偏好的差异检验</w:t>
      </w:r>
    </w:p>
    <w:tbl>
      <w:tblPr>
        <w:tblStyle w:val="10"/>
        <w:tblW w:w="8519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1"/>
        <w:gridCol w:w="1162"/>
        <w:gridCol w:w="678"/>
        <w:gridCol w:w="2131"/>
        <w:gridCol w:w="1417"/>
      </w:tblGrid>
      <w:tr w14:paraId="591F9653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1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5076541D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变量</w:t>
            </w:r>
          </w:p>
        </w:tc>
        <w:tc>
          <w:tcPr>
            <w:tcW w:w="1162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592A1F85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测算值</w:t>
            </w:r>
          </w:p>
        </w:tc>
        <w:tc>
          <w:tcPr>
            <w:tcW w:w="678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349F3BDA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自由度</w:t>
            </w:r>
          </w:p>
        </w:tc>
        <w:tc>
          <w:tcPr>
            <w:tcW w:w="2131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023BB012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显著性</w:t>
            </w:r>
          </w:p>
        </w:tc>
        <w:tc>
          <w:tcPr>
            <w:tcW w:w="1416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2484FCD8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E1DCA04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1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A2D1D0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活动到场率</w:t>
            </w:r>
          </w:p>
        </w:tc>
        <w:tc>
          <w:tcPr>
            <w:tcW w:w="1162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2760D4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13.1</w:t>
            </w:r>
          </w:p>
        </w:tc>
        <w:tc>
          <w:tcPr>
            <w:tcW w:w="678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CF1201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131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176CDC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0.005</w:t>
            </w:r>
          </w:p>
        </w:tc>
        <w:tc>
          <w:tcPr>
            <w:tcW w:w="1416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C13EED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差异可用于排班优化</w:t>
            </w:r>
          </w:p>
        </w:tc>
      </w:tr>
      <w:tr w14:paraId="4AFCEEEB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3B2A43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借阅转化率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F688E0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21.1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7C51A0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D99F01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0.006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E9B9B2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结果保持稳定</w:t>
            </w:r>
          </w:p>
        </w:tc>
      </w:tr>
      <w:tr w14:paraId="650EAE89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024D3A90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设备完好率</w:t>
            </w:r>
          </w:p>
        </w:tc>
        <w:tc>
          <w:tcPr>
            <w:tcW w:w="116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0F8465C1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28.1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5494018A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213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2DE0DD85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default"/>
              </w:rPr>
              <w:t>0.007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074A5C43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default"/>
              </w:rPr>
              <w:t>差异可用于排班优化</w:t>
            </w:r>
          </w:p>
        </w:tc>
      </w:tr>
    </w:tbl>
    <w:p w14:paraId="718F009A">
      <w:pPr>
        <w:pStyle w:val="8"/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right="0" w:firstLine="480" w:firstLineChars="200"/>
        <w:contextualSpacing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等线" w:hAnsi="等线" w:eastAsia="宋体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4229100" cy="2466975"/>
            <wp:effectExtent l="0" t="0" r="7620" b="1905"/>
            <wp:docPr id="36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6"/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 xml:space="preserve"> </w:t>
      </w:r>
    </w:p>
    <w:p w14:paraId="3A1DC745">
      <w:pPr>
        <w:keepNext w:val="0"/>
        <w:keepLines w:val="0"/>
        <w:widowControl w:val="0"/>
        <w:suppressLineNumbers w:val="0"/>
        <w:spacing w:before="50" w:beforeLines="0" w:beforeAutospacing="0" w:after="0" w:afterLines="0" w:afterAutospacing="0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等线" w:hAnsi="等线" w:eastAsia="宋体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635C830A">
      <w:pPr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 本轮记录覆盖78个服务节点、6类核心场景，阶段满意度约为81%，一般问题在17天内完成闭环。数据采集坚持必要、适度、可解释的原则，不收集与阅读服务无关的个人信息。</w:t>
      </w:r>
    </w:p>
    <w:p w14:paraId="73277ECD">
      <w:pPr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为提升服务的真实可达性，方案建议在社区公告栏、学校门口、商街转角和线上小程序同步发布开放时间、活动日历与预约规则。导视信息应使用简洁文字和统一图标，让首次到访者能够快速找到入口、还书点、亲子区和安静阅读区。 本轮记录覆盖21个服务节点、7类核心场景，阶段满意度约为84%，一般问题在7天内完成闭环。预算安排以运营稳定为先，优先保障人员值守、基础维护、图书更新、数字系统和安全巡检。</w:t>
      </w:r>
    </w:p>
    <w:p w14:paraId="4C4926BD">
      <w:pPr>
        <w:pStyle w:val="8"/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leftChars="0" w:right="0" w:firstLine="0" w:firstLineChars="0"/>
        <w:contextualSpacing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等线" w:hAnsi="等线" w:eastAsia="宋体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4972050" cy="2476500"/>
            <wp:effectExtent l="0" t="0" r="11430" b="7620"/>
            <wp:docPr id="30" name="图片 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 descr="IMG_25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6"/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 xml:space="preserve"> </w:t>
      </w:r>
    </w:p>
    <w:p w14:paraId="48E9D2FD">
      <w:pPr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活动设计应避免单纯追求数量，重点关注读者是否愿意再次参加、是否产生持续阅读行为、是否带动家庭成员共同使用空间。每场活动结束后，馆员需记录参与人数、滞留时长、图书借阅转化和现场反馈，形成下一轮策划依据。 本轮记录覆盖28个服务节点、8类核心场景，阶段满意度约为87%，一般问题在8天内完成闭环。活动设计应避免单纯追求数量，重点关注读者是否愿意再次参加、是否产生持续阅读行为、是否带动家庭成员共同使用空间。</w:t>
      </w:r>
    </w:p>
    <w:p w14:paraId="259CAB29">
      <w:pPr>
        <w:pStyle w:val="5"/>
        <w:numPr>
          <w:ilvl w:val="3"/>
          <w:numId w:val="0"/>
        </w:numPr>
        <w:bidi w:val="0"/>
        <w:ind w:left="402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3.不同停留时长对阅读配套偏好的差异检验</w:t>
      </w:r>
    </w:p>
    <w:tbl>
      <w:tblPr>
        <w:tblStyle w:val="10"/>
        <w:tblW w:w="8519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1"/>
        <w:gridCol w:w="1162"/>
        <w:gridCol w:w="678"/>
        <w:gridCol w:w="2131"/>
        <w:gridCol w:w="1417"/>
      </w:tblGrid>
      <w:tr w14:paraId="530C65A8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1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29DEC903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变量</w:t>
            </w:r>
          </w:p>
        </w:tc>
        <w:tc>
          <w:tcPr>
            <w:tcW w:w="1162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6161F983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测算值</w:t>
            </w:r>
          </w:p>
        </w:tc>
        <w:tc>
          <w:tcPr>
            <w:tcW w:w="678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6AC67A0C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自由度</w:t>
            </w:r>
          </w:p>
        </w:tc>
        <w:tc>
          <w:tcPr>
            <w:tcW w:w="2131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1A71EC4D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显著性</w:t>
            </w:r>
          </w:p>
        </w:tc>
        <w:tc>
          <w:tcPr>
            <w:tcW w:w="1416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3FBE0FDD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1A4E479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1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8F9312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借阅转化率</w:t>
            </w:r>
          </w:p>
        </w:tc>
        <w:tc>
          <w:tcPr>
            <w:tcW w:w="1162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27742B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17.1</w:t>
            </w:r>
          </w:p>
        </w:tc>
        <w:tc>
          <w:tcPr>
            <w:tcW w:w="678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23161D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131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3E6140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0.006</w:t>
            </w:r>
          </w:p>
        </w:tc>
        <w:tc>
          <w:tcPr>
            <w:tcW w:w="1416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28FF8A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差异可用于排班优化</w:t>
            </w:r>
          </w:p>
        </w:tc>
      </w:tr>
      <w:tr w14:paraId="6E658B19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618B31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设备完好率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237284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24.1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0D9531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5DADA6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0.007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05BBCB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结果保持稳定</w:t>
            </w:r>
          </w:p>
        </w:tc>
      </w:tr>
      <w:tr w14:paraId="19B91C03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41DA8805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读者满意度</w:t>
            </w:r>
          </w:p>
        </w:tc>
        <w:tc>
          <w:tcPr>
            <w:tcW w:w="116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6DB82128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31.1</w:t>
            </w:r>
          </w:p>
        </w:tc>
        <w:tc>
          <w:tcPr>
            <w:tcW w:w="67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73296134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213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5CF35E63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cs="宋体" w:eastAsiaTheme="minorEastAsia"/>
                <w:b w:val="0"/>
                <w:bCs w:val="0"/>
                <w:kern w:val="2"/>
                <w:sz w:val="24"/>
                <w:szCs w:val="24"/>
                <w:lang w:eastAsia="zh-CN"/>
              </w:rPr>
            </w:pPr>
            <w:r>
              <w:rPr>
                <w:rFonts w:hint="default"/>
              </w:rPr>
              <w:t>0.00</w:t>
            </w: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1FE278AD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default"/>
              </w:rPr>
              <w:t>差异可用于排班优化</w:t>
            </w:r>
          </w:p>
        </w:tc>
      </w:tr>
    </w:tbl>
    <w:p w14:paraId="27156600">
      <w:pPr>
        <w:pStyle w:val="8"/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leftChars="0" w:right="0" w:firstLine="0" w:firstLineChars="0"/>
        <w:contextualSpacing/>
        <w:jc w:val="left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等线" w:hAnsi="等线" w:eastAsia="宋体" w:cs="Times New Roman"/>
          <w:kern w:val="2"/>
          <w:sz w:val="24"/>
          <w:szCs w:val="24"/>
          <w:lang w:val="en-US" w:eastAsia="zh-CN" w:bidi="ar"/>
        </w:rPr>
        <w:drawing>
          <wp:inline distT="0" distB="0" distL="114300" distR="114300">
            <wp:extent cx="5257800" cy="3067050"/>
            <wp:effectExtent l="0" t="0" r="0" b="11430"/>
            <wp:docPr id="31" name="图片 5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 descr="IMG_25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 xml:space="preserve"> </w:t>
      </w:r>
    </w:p>
    <w:p w14:paraId="690486B8">
      <w:pPr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物资管理采用低库存、快补给原则。常用耗材按周盘点，活动材料按场次核销，设备维修按紧急程度分为即时处理、三日内处理和月度集中处理三类。这样既能减少浪费，也能避免因缺少小物件影响活动执行。 本轮记录覆盖35个服务节点、9类核心场景，阶段满意度约为90%，一般问题在9天内完成闭环。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活动设计应避免单纯追求数量，重点关注读者是否愿意再次参加、是否产生持续阅读行为、是否带动家庭成员共同使用空间。每场活动结束后，馆员需记录参与人数、滞留时长、图书借阅转化和现场反馈，形成下一轮策划依据。物资管理采用低库存、快补给原则。常用耗材按周盘点，活动材料按场次核销，设备维修按紧急程度分为即时处理、三日内处理和月度集中处理三类。这样既能减少浪费，也能避免因缺少小物件影响活动执行。本方案围绕公共书房的连续开放、活动排期、读者服务和空间维护展开。</w:t>
      </w:r>
    </w:p>
    <w:p w14:paraId="581E7945">
      <w:pPr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 本轮记录覆盖42个服务节点、2类核心场景，阶段满意度约为65%，一般问题在10天内完成闭环。</w:t>
      </w:r>
    </w:p>
    <w:p w14:paraId="415B7AF1">
      <w:pPr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预算安排以运营稳定为先，优先保障人员值守、基础维护、图书更新、数字系统和安全巡检。装饰性投入需要与实际使用频次挂钩，低使用率区域应先通过活动导入和动线调整验证需求，再决定是否投入固定设施。 本轮记录覆盖49个服务节点、3类核心场景，阶段满意度约为68%，一般问题在11天内完成闭环。</w:t>
      </w:r>
    </w:p>
    <w:p w14:paraId="3BF85784">
      <w:pPr>
        <w:pStyle w:val="5"/>
        <w:numPr>
          <w:ilvl w:val="3"/>
          <w:numId w:val="0"/>
        </w:numPr>
        <w:bidi w:val="0"/>
        <w:ind w:left="402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4.不同居住距离对夜间开放偏好的差异检验</w:t>
      </w:r>
    </w:p>
    <w:tbl>
      <w:tblPr>
        <w:tblStyle w:val="10"/>
        <w:tblW w:w="8519" w:type="dxa"/>
        <w:jc w:val="center"/>
        <w:tblBorders>
          <w:top w:val="single" w:color="auto" w:sz="4" w:space="0"/>
          <w:left w:val="none" w:color="auto" w:sz="4" w:space="0"/>
          <w:bottom w:val="singl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5"/>
        <w:gridCol w:w="1169"/>
        <w:gridCol w:w="601"/>
        <w:gridCol w:w="2156"/>
        <w:gridCol w:w="1448"/>
      </w:tblGrid>
      <w:tr w14:paraId="0F29D3A6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46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3B9298EB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变量</w:t>
            </w:r>
          </w:p>
        </w:tc>
        <w:tc>
          <w:tcPr>
            <w:tcW w:w="1169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6B0E1667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测算值</w:t>
            </w:r>
          </w:p>
        </w:tc>
        <w:tc>
          <w:tcPr>
            <w:tcW w:w="601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7D782A3E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自由度</w:t>
            </w:r>
          </w:p>
        </w:tc>
        <w:tc>
          <w:tcPr>
            <w:tcW w:w="2156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522181CD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显著性</w:t>
            </w:r>
          </w:p>
        </w:tc>
        <w:tc>
          <w:tcPr>
            <w:tcW w:w="1448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vAlign w:val="center"/>
          </w:tcPr>
          <w:p w14:paraId="34378FEE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945A963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6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A2E539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设备完好率</w:t>
            </w:r>
          </w:p>
        </w:tc>
        <w:tc>
          <w:tcPr>
            <w:tcW w:w="1169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4327D3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19.1</w:t>
            </w:r>
          </w:p>
        </w:tc>
        <w:tc>
          <w:tcPr>
            <w:tcW w:w="601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AE0767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2156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7BD610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0.005</w:t>
            </w:r>
          </w:p>
        </w:tc>
        <w:tc>
          <w:tcPr>
            <w:tcW w:w="1448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719305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差异可用于排班优化</w:t>
            </w:r>
          </w:p>
        </w:tc>
      </w:tr>
      <w:tr w14:paraId="72BFA1B3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26B3CC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读者满意度</w:t>
            </w:r>
          </w:p>
        </w:tc>
        <w:tc>
          <w:tcPr>
            <w:tcW w:w="11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A8A610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26.1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D95901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59C55A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0.006</w:t>
            </w: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32892D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结果保持稳定</w:t>
            </w:r>
          </w:p>
        </w:tc>
      </w:tr>
      <w:tr w14:paraId="1749E850">
        <w:tblPrEx>
          <w:tblBorders>
            <w:top w:val="single" w:color="auto" w:sz="4" w:space="0"/>
            <w:left w:val="none" w:color="auto" w:sz="4" w:space="0"/>
            <w:bottom w:val="singl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4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035B13A3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lang w:val="en-US" w:eastAsia="zh-CN" w:bidi="ar"/>
              </w:rPr>
              <w:t>预约履约率</w:t>
            </w:r>
          </w:p>
        </w:tc>
        <w:tc>
          <w:tcPr>
            <w:tcW w:w="116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6DE99EC5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"/>
              </w:rPr>
              <w:t>33.1</w:t>
            </w:r>
          </w:p>
        </w:tc>
        <w:tc>
          <w:tcPr>
            <w:tcW w:w="60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55A69176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215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147B51E9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</w:rPr>
            </w:pPr>
            <w:r>
              <w:rPr>
                <w:rFonts w:hint="default"/>
              </w:rPr>
              <w:t>0.007</w:t>
            </w:r>
          </w:p>
        </w:tc>
        <w:tc>
          <w:tcPr>
            <w:tcW w:w="144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0FCC2893">
            <w:pPr>
              <w:pStyle w:val="8"/>
              <w:keepNext w:val="0"/>
              <w:keepLines w:val="0"/>
              <w:widowControl w:val="0"/>
              <w:suppressLineNumbers w:val="0"/>
              <w:snapToGrid w:val="0"/>
              <w:spacing w:before="50" w:beforeLines="50" w:beforeAutospacing="0" w:after="0" w:afterAutospacing="1" w:line="300" w:lineRule="auto"/>
              <w:ind w:left="0" w:leftChars="0" w:right="0" w:rightChars="0" w:firstLine="0" w:firstLineChars="0"/>
              <w:contextualSpacing w:val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</w:rPr>
            </w:pPr>
            <w:r>
              <w:rPr>
                <w:rFonts w:hint="default"/>
              </w:rPr>
              <w:t>差异可用于排班优化</w:t>
            </w:r>
          </w:p>
        </w:tc>
      </w:tr>
    </w:tbl>
    <w:p w14:paraId="624A2B5B">
      <w:pPr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r>
        <w:rPr>
          <w:rFonts w:hint="eastAsia" w:ascii="等线" w:hAnsi="等线" w:eastAsia="宋体" w:cs="Times New Roman"/>
          <w:kern w:val="2"/>
          <w:sz w:val="24"/>
          <w:szCs w:val="24"/>
          <w:lang w:val="en-US" w:eastAsia="zh-CN" w:bidi="a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551180</wp:posOffset>
            </wp:positionH>
            <wp:positionV relativeFrom="paragraph">
              <wp:posOffset>2390775</wp:posOffset>
            </wp:positionV>
            <wp:extent cx="4277995" cy="2400300"/>
            <wp:effectExtent l="0" t="0" r="8255" b="0"/>
            <wp:wrapTopAndBottom/>
            <wp:docPr id="39" name="图片 8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8" descr="IMG_26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77995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等线" w:hAnsi="等线" w:eastAsia="宋体" w:cs="Times New Roman"/>
          <w:kern w:val="2"/>
          <w:sz w:val="24"/>
          <w:szCs w:val="24"/>
          <w:lang w:val="en-US" w:eastAsia="zh-CN" w:bidi="a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535305</wp:posOffset>
            </wp:positionH>
            <wp:positionV relativeFrom="paragraph">
              <wp:posOffset>113030</wp:posOffset>
            </wp:positionV>
            <wp:extent cx="4282440" cy="2089150"/>
            <wp:effectExtent l="0" t="0" r="3810" b="6350"/>
            <wp:wrapTopAndBottom/>
            <wp:docPr id="32" name="图片 7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7" descr="IMG_26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2089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0D040869">
      <w:pPr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本方案围绕公共书房的连续开放、活动排期、读者服务和空间维护展开，重点解决小型文化空间在日常管理中常见的排班不均、设备闲置、活动重复和服务反馈滞后等问题。通过统一的运营台账、分级服务包和月度复盘机制，各点位可以在保持本地特色的同时，形成可复制的管理标准。 本轮记录覆盖56个服务节点、4类核心场景，阶段满意度约为71%，一般问题在12天内完成闭环。运营团队将每日开闭馆、借阅登记、场地巡检、活动签到、物资补充和意见反馈纳入同一张工作清单。</w:t>
      </w:r>
    </w:p>
    <w:p w14:paraId="2E77E576">
      <w:pPr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调研记录显示，读者更关注安静座位、灯光舒适度、图书更新速度、活动预约便利性以及儿童阅读区的安全性。围绕这些高频需求，方案将服务内容拆分为基础阅读、亲子陪伴、社群活动、数字借阅和社区共创五个模块，便于后续按片区进行组合投放。 本轮记录覆盖63个服务节点、5类核心场景，阶段满意度约为74%，一般问题在13天内完成闭环。志愿者参与以轻任务为主，包括书架整理、活动引导、亲子阅读陪伴、旧书交换登记和社区故事收集。</w:t>
      </w:r>
    </w:p>
    <w:p w14:paraId="1233930D">
      <w:pPr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空间更新不追求一次性大改造，而采用轻量化迭代方式。优先处理入口识别、书架分区、插座补充、通风照明、导视牌和活动收纳等影响体验的基础环节，再根据客流变化逐步引入夜间阅读、主题书展、邻里讲读和手作课堂等内容。 本轮记录覆盖70个服务节点、6类核心场景，阶段满意度约为77%，一般问题在14天内完成闭环。</w:t>
      </w:r>
    </w:p>
    <w:p w14:paraId="797FD040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64" w:beforeLines="50" w:beforeAutospacing="0" w:line="25" w:lineRule="atLeast"/>
        <w:jc w:val="center"/>
        <w:textAlignment w:val="auto"/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32"/>
          <w:szCs w:val="32"/>
          <w:lang w:val="en-US" w:eastAsia="zh-CN" w:bidi="ar-SA"/>
        </w:rPr>
        <w:t>第七章 结语与行动清单</w:t>
      </w:r>
    </w:p>
    <w:p w14:paraId="603FB632">
      <w:pPr>
        <w:keepNext w:val="0"/>
        <w:keepLines w:val="0"/>
        <w:widowControl w:val="0"/>
        <w:suppressLineNumbers w:val="0"/>
        <w:spacing w:before="50" w:beforeLines="0" w:beforeAutospacing="0" w:after="0" w:afterLines="0" w:afterAutospacing="0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 xml:space="preserve"> 运营团队将每日开闭馆、借阅登记、场地巡检、活动签到、物资补充和意见反馈纳入同一张工作清单。各岗位按照时段承担不同职责，避免出现活动期间人手集中、平日服务缺位的情况，保障空间在高峰与低峰时段均能稳定运行。 本轮记录覆盖77个服务节点、7类核心场景，阶段满意度约为80%，一般问题在15天内完成闭环。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</w:t>
      </w:r>
    </w:p>
    <w:p w14:paraId="0EC2AB25">
      <w:pPr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数据采集坚持必要、适度、可解释的原则，不收集与阅读服务无关的个人信息。所有统计结果以汇总口径呈现，主要用于判断座位周转、图书流通、活动报名、设备完好和读者满意度，帮助管理者发现具体环节中的短板。 本轮记录覆盖20个服务节点、8类核心场景，阶段满意度约为83%，一般问题在16天内完成闭环。</w:t>
      </w:r>
    </w:p>
    <w:p w14:paraId="6F0DA0FF">
      <w:pPr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等线" w:hAnsi="等线" w:eastAsia="宋体" w:cs="Times New Roman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为提升服务的真实可达性，方案建议在社区公告栏、学校门口、商街转角和线上小程序同步发布开放时间、活动日历与预约规则。导视信息应使用简洁文字和统一图标，让首次到访者能够快速找到入口、还书点、亲子区和安静阅读区。 本轮记录覆盖27个服务节点、9类核心场景，阶段满意度约为86%，一般问题在17天内完成闭环。</w:t>
      </w:r>
    </w:p>
    <w:p w14:paraId="405B7345">
      <w:pPr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活动设计应避免单纯追求数量，重点关注读者是否愿意再次参加、是否产生持续阅读行为、是否带动家庭成员共同使用空间。每场活动结束后，馆员需记录参与人数、滞留时长、图书借阅转化和现场反馈，形成下一轮策划依据。 本轮记录覆盖34个服务节点、2类核心场景，阶段满意度约为89%，一般问题在7天内完成闭环。</w:t>
      </w:r>
    </w:p>
    <w:p w14:paraId="0D3EA6E0">
      <w:pPr>
        <w:keepNext w:val="0"/>
        <w:keepLines w:val="0"/>
        <w:widowControl w:val="0"/>
        <w:suppressLineNumbers w:val="0"/>
        <w:spacing w:before="50" w:beforeLines="50" w:beforeAutospacing="0" w:after="0" w:afterAutospacing="1" w:line="300" w:lineRule="auto"/>
        <w:ind w:left="0" w:right="0" w:firstLine="480" w:firstLineChars="200"/>
        <w:jc w:val="both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物资管理采用低库存、快补给原则。常用耗材按周盘点，活动材料按场次核销，设备维修按紧急程度分为即时处理、三日内处理和月度集中处理三类。这样既能减少浪费，也能避免因缺少小物件影响活动执行。 本轮记录覆盖41个服务节点、3类核心场景，阶段满意度约为92%，一般问题在8天内完成闭环。志愿者参与以轻任务为主，包括书架整理、活动引导、亲子阅读陪伴、旧书交换登记和社区故事收集。每项任务均应有明确时长、责任边界和反馈渠道，避免志愿者承担专业管理工作，同时让居民参与感转化为长期支持。活动设计应避免单纯追求数量，重点关注读者是否愿意再次参加、是否产生持续阅读行为、是否带动家庭成员共同使用空间。</w:t>
      </w:r>
    </w:p>
    <w:p w14:paraId="296F3E7A"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汉仪旗黑-55简">
    <w:altName w:val="黑体"/>
    <w:panose1 w:val="00020600040101010101"/>
    <w:charset w:val="80"/>
    <w:family w:val="auto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FABD1C"/>
    <w:multiLevelType w:val="singleLevel"/>
    <w:tmpl w:val="8AFABD1C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17E00573"/>
    <w:multiLevelType w:val="multilevel"/>
    <w:tmpl w:val="17E00573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-2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default" w:ascii="宋体" w:hAnsi="宋体" w:eastAsia="宋体" w:cs="宋体"/>
        <w:b w:val="0"/>
        <w:bCs w:val="0"/>
      </w:rPr>
    </w:lvl>
    <w:lvl w:ilvl="4" w:tentative="0">
      <w:start w:val="1"/>
      <w:numFmt w:val="decimalEnclosedCircleChinese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85380C"/>
    <w:rsid w:val="00FB0136"/>
    <w:rsid w:val="059F029C"/>
    <w:rsid w:val="071B317C"/>
    <w:rsid w:val="0E85380C"/>
    <w:rsid w:val="11967974"/>
    <w:rsid w:val="14127A7E"/>
    <w:rsid w:val="18D9791A"/>
    <w:rsid w:val="219B5822"/>
    <w:rsid w:val="232F19D7"/>
    <w:rsid w:val="25A14E4D"/>
    <w:rsid w:val="25FC0808"/>
    <w:rsid w:val="2C92725E"/>
    <w:rsid w:val="336C5C3A"/>
    <w:rsid w:val="49B27E76"/>
    <w:rsid w:val="4CC36B68"/>
    <w:rsid w:val="4EB54731"/>
    <w:rsid w:val="4F8050FF"/>
    <w:rsid w:val="55D27B43"/>
    <w:rsid w:val="5DA404B8"/>
    <w:rsid w:val="65A45D9F"/>
    <w:rsid w:val="65B16963"/>
    <w:rsid w:val="693D54D2"/>
    <w:rsid w:val="6B0420A3"/>
    <w:rsid w:val="6D5238C5"/>
    <w:rsid w:val="7D944F65"/>
    <w:rsid w:val="7F655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numPr>
        <w:ilvl w:val="0"/>
        <w:numId w:val="1"/>
      </w:numPr>
      <w:tabs>
        <w:tab w:val="right" w:leader="dot" w:pos="9070"/>
      </w:tabs>
      <w:spacing w:beforeLines="50" w:after="0" w:line="300" w:lineRule="auto"/>
      <w:ind w:firstLine="0" w:firstLineChars="0"/>
      <w:jc w:val="center"/>
      <w:outlineLvl w:val="0"/>
    </w:pPr>
    <w:rPr>
      <w:rFonts w:ascii="Times New Roman" w:hAnsi="Times New Roman" w:eastAsia="黑体" w:cs="Times New Roman"/>
      <w:b/>
      <w:bCs/>
      <w:sz w:val="30"/>
      <w:szCs w:val="30"/>
      <w:lang w:val="zh-CN"/>
    </w:rPr>
  </w:style>
  <w:style w:type="paragraph" w:styleId="3">
    <w:name w:val="heading 2"/>
    <w:basedOn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numPr>
        <w:ilvl w:val="2"/>
        <w:numId w:val="1"/>
      </w:numPr>
      <w:tabs>
        <w:tab w:val="right" w:leader="dot" w:pos="9070"/>
      </w:tabs>
      <w:spacing w:beforeLines="50" w:after="0" w:line="300" w:lineRule="auto"/>
      <w:ind w:left="0" w:firstLine="400" w:firstLineChars="0"/>
      <w:jc w:val="left"/>
      <w:outlineLvl w:val="2"/>
    </w:pPr>
    <w:rPr>
      <w:rFonts w:ascii="Times New Roman" w:hAnsi="Times New Roman" w:eastAsia="宋体" w:cs="Times New Roman"/>
      <w:b/>
      <w:bCs/>
      <w:sz w:val="24"/>
      <w:szCs w:val="24"/>
      <w:lang w:val="zh-CN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numPr>
        <w:ilvl w:val="3"/>
        <w:numId w:val="1"/>
      </w:numPr>
      <w:spacing w:beforeLines="50" w:after="0" w:line="300" w:lineRule="auto"/>
      <w:ind w:firstLine="402" w:firstLineChars="0"/>
      <w:outlineLvl w:val="3"/>
    </w:pPr>
    <w:rPr>
      <w:rFonts w:ascii="Times New Roman" w:hAnsi="Times New Roman" w:eastAsia="宋体" w:cs="Times New Roman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annotation reference"/>
    <w:basedOn w:val="11"/>
    <w:semiHidden/>
    <w:unhideWhenUsed/>
    <w:qFormat/>
    <w:uiPriority w:val="99"/>
    <w:rPr>
      <w:sz w:val="21"/>
      <w:szCs w:val="21"/>
    </w:rPr>
  </w:style>
  <w:style w:type="paragraph" w:styleId="14">
    <w:name w:val="List Paragraph"/>
    <w:basedOn w:val="1"/>
    <w:unhideWhenUsed/>
    <w:qFormat/>
    <w:uiPriority w:val="34"/>
    <w:pPr>
      <w:ind w:firstLine="420" w:firstLineChars="200"/>
    </w:pPr>
  </w:style>
  <w:style w:type="table" w:customStyle="1" w:styleId="15">
    <w:name w:val="三线表有内线"/>
    <w:basedOn w:val="9"/>
    <w:qFormat/>
    <w:uiPriority w:val="99"/>
    <w:pPr>
      <w:jc w:val="center"/>
    </w:pPr>
    <w:tblPr>
      <w:jc w:val="center"/>
      <w:tblBorders>
        <w:bottom w:val="single" w:color="auto" w:sz="12" w:space="0"/>
        <w:insideH w:val="single" w:color="auto" w:sz="4" w:space="0"/>
        <w:insideV w:val="single" w:color="auto" w:sz="4" w:space="0"/>
      </w:tblBorders>
    </w:tblPr>
    <w:trPr>
      <w:jc w:val="center"/>
    </w:trPr>
    <w:tcPr>
      <w:vAlign w:val="center"/>
    </w:tcPr>
    <w:tblStylePr w:type="firstRow"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6">
    <w:name w:val="15"/>
    <w:basedOn w:val="11"/>
    <w:qFormat/>
    <w:uiPriority w:val="0"/>
    <w:rPr>
      <w:rFonts w:hint="eastAsia" w:ascii="等线" w:hAnsi="等线" w:eastAsia="等线" w:cs="等线"/>
      <w:sz w:val="21"/>
      <w:szCs w:val="21"/>
    </w:rPr>
  </w:style>
  <w:style w:type="character" w:customStyle="1" w:styleId="17">
    <w:name w:val="10"/>
    <w:basedOn w:val="11"/>
    <w:qFormat/>
    <w:uiPriority w:val="0"/>
    <w:rPr>
      <w:rFonts w:hint="eastAsia" w:ascii="等线" w:hAnsi="等线" w:eastAsia="等线" w:cs="等线"/>
    </w:rPr>
  </w:style>
  <w:style w:type="character" w:customStyle="1" w:styleId="18">
    <w:name w:val="16"/>
    <w:basedOn w:val="11"/>
    <w:qFormat/>
    <w:uiPriority w:val="0"/>
    <w:rPr>
      <w:rFonts w:hint="eastAsia" w:ascii="等线" w:hAnsi="等线" w:eastAsia="等线" w:cs="等线"/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hart" Target="charts/chart3.xml"/><Relationship Id="rId8" Type="http://schemas.openxmlformats.org/officeDocument/2006/relationships/chart" Target="charts/chart2.xml"/><Relationship Id="rId7" Type="http://schemas.openxmlformats.org/officeDocument/2006/relationships/image" Target="media/image3.svg"/><Relationship Id="rId6" Type="http://schemas.openxmlformats.org/officeDocument/2006/relationships/image" Target="media/image2.png"/><Relationship Id="rId5" Type="http://schemas.openxmlformats.org/officeDocument/2006/relationships/chart" Target="charts/chart1.xml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numbering" Target="numbering.xml"/><Relationship Id="rId38" Type="http://schemas.openxmlformats.org/officeDocument/2006/relationships/image" Target="media/image16.jpeg"/><Relationship Id="rId37" Type="http://schemas.openxmlformats.org/officeDocument/2006/relationships/image" Target="media/image15.jpeg"/><Relationship Id="rId36" Type="http://schemas.openxmlformats.org/officeDocument/2006/relationships/image" Target="media/image14.jpeg"/><Relationship Id="rId35" Type="http://schemas.openxmlformats.org/officeDocument/2006/relationships/image" Target="media/image13.jpeg"/><Relationship Id="rId34" Type="http://schemas.openxmlformats.org/officeDocument/2006/relationships/image" Target="media/image12.jpeg"/><Relationship Id="rId33" Type="http://schemas.openxmlformats.org/officeDocument/2006/relationships/image" Target="media/image11.jpeg"/><Relationship Id="rId32" Type="http://schemas.openxmlformats.org/officeDocument/2006/relationships/image" Target="media/image10.jpeg"/><Relationship Id="rId31" Type="http://schemas.openxmlformats.org/officeDocument/2006/relationships/image" Target="media/image9.png"/><Relationship Id="rId30" Type="http://www.wps.cn/officeDocument/2018/webExtension" Target="webExtensions/webExtension1.xml"/><Relationship Id="rId3" Type="http://schemas.openxmlformats.org/officeDocument/2006/relationships/theme" Target="theme/theme1.xml"/><Relationship Id="rId29" Type="http://schemas.openxmlformats.org/officeDocument/2006/relationships/chart" Target="charts/chart18.xml"/><Relationship Id="rId28" Type="http://schemas.openxmlformats.org/officeDocument/2006/relationships/chart" Target="charts/chart17.xml"/><Relationship Id="rId27" Type="http://schemas.openxmlformats.org/officeDocument/2006/relationships/chart" Target="charts/chart16.xml"/><Relationship Id="rId26" Type="http://schemas.openxmlformats.org/officeDocument/2006/relationships/chart" Target="charts/chart15.xml"/><Relationship Id="rId25" Type="http://schemas.openxmlformats.org/officeDocument/2006/relationships/chart" Target="charts/chart14.xml"/><Relationship Id="rId24" Type="http://schemas.openxmlformats.org/officeDocument/2006/relationships/chart" Target="charts/chart13.xml"/><Relationship Id="rId23" Type="http://schemas.openxmlformats.org/officeDocument/2006/relationships/chart" Target="charts/chart12.xml"/><Relationship Id="rId22" Type="http://schemas.openxmlformats.org/officeDocument/2006/relationships/chart" Target="charts/chart11.xml"/><Relationship Id="rId21" Type="http://schemas.openxmlformats.org/officeDocument/2006/relationships/chart" Target="charts/chart10.xml"/><Relationship Id="rId20" Type="http://schemas.openxmlformats.org/officeDocument/2006/relationships/chart" Target="charts/chart9.xml"/><Relationship Id="rId2" Type="http://schemas.openxmlformats.org/officeDocument/2006/relationships/settings" Target="settings.xml"/><Relationship Id="rId19" Type="http://schemas.openxmlformats.org/officeDocument/2006/relationships/chart" Target="charts/chart8.xml"/><Relationship Id="rId18" Type="http://schemas.openxmlformats.org/officeDocument/2006/relationships/chart" Target="charts/chart7.xml"/><Relationship Id="rId17" Type="http://schemas.openxmlformats.org/officeDocument/2006/relationships/chart" Target="charts/chart6.xml"/><Relationship Id="rId16" Type="http://schemas.openxmlformats.org/officeDocument/2006/relationships/image" Target="media/image8.png"/><Relationship Id="rId15" Type="http://schemas.openxmlformats.org/officeDocument/2006/relationships/image" Target="media/image7.jpeg"/><Relationship Id="rId14" Type="http://schemas.openxmlformats.org/officeDocument/2006/relationships/image" Target="media/image6.jpe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chart" Target="charts/chart5.xml"/><Relationship Id="rId10" Type="http://schemas.openxmlformats.org/officeDocument/2006/relationships/chart" Target="charts/chart4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6" Type="http://schemas.microsoft.com/office/2011/relationships/chartColorStyle" Target="colors1.xml"/><Relationship Id="rId5" Type="http://schemas.microsoft.com/office/2011/relationships/chartStyle" Target="style1.xml"/><Relationship Id="rId4" Type="http://schemas.openxmlformats.org/officeDocument/2006/relationships/image" Target="../media/image18.png"/><Relationship Id="rId3" Type="http://schemas.openxmlformats.org/officeDocument/2006/relationships/image" Target="../media/image17.png"/><Relationship Id="rId2" Type="http://schemas.openxmlformats.org/officeDocument/2006/relationships/themeOverride" Target="../theme/themeOverride1.xml"/><Relationship Id="rId1" Type="http://schemas.openxmlformats.org/officeDocument/2006/relationships/oleObject" Target="NULL" TargetMode="External"/></Relationships>
</file>

<file path=word/charts/_rels/chart2.xml.rels><?xml version="1.0" encoding="UTF-8" standalone="yes"?>
<Relationships xmlns="http://schemas.openxmlformats.org/package/2006/relationships"><Relationship Id="rId5" Type="http://schemas.microsoft.com/office/2011/relationships/chartColorStyle" Target="colors3.xml"/><Relationship Id="rId4" Type="http://schemas.microsoft.com/office/2011/relationships/chartStyle" Target="style3.xml"/><Relationship Id="rId3" Type="http://schemas.openxmlformats.org/officeDocument/2006/relationships/image" Target="../media/image20.png"/><Relationship Id="rId2" Type="http://schemas.openxmlformats.org/officeDocument/2006/relationships/themeOverride" Target="../theme/themeOverride3.xml"/><Relationship Id="rId1" Type="http://schemas.openxmlformats.org/officeDocument/2006/relationships/oleObject" Target="NULL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NULL" TargetMode="External"/></Relationships>
</file>

<file path=word/charts/_rels/chart4.xml.rels><?xml version="1.0" encoding="UTF-8" standalone="yes"?>
<Relationships xmlns="http://schemas.openxmlformats.org/package/2006/relationships"><Relationship Id="rId4" Type="http://schemas.microsoft.com/office/2011/relationships/chartColorStyle" Target="colors5.xml"/><Relationship Id="rId3" Type="http://schemas.microsoft.com/office/2011/relationships/chartStyle" Target="style5.xml"/><Relationship Id="rId2" Type="http://schemas.openxmlformats.org/officeDocument/2006/relationships/themeOverride" Target="../theme/themeOverride4.xml"/><Relationship Id="rId1" Type="http://schemas.openxmlformats.org/officeDocument/2006/relationships/oleObject" Target="NULL" TargetMode="External"/></Relationships>
</file>

<file path=word/charts/_rels/chart5.xml.rels><?xml version="1.0" encoding="UTF-8" standalone="yes"?>
<Relationships xmlns="http://schemas.openxmlformats.org/package/2006/relationships"><Relationship Id="rId5" Type="http://schemas.microsoft.com/office/2011/relationships/chartColorStyle" Target="colors2.xml"/><Relationship Id="rId4" Type="http://schemas.microsoft.com/office/2011/relationships/chartStyle" Target="style2.xml"/><Relationship Id="rId3" Type="http://schemas.openxmlformats.org/officeDocument/2006/relationships/image" Target="../media/image19.png"/><Relationship Id="rId2" Type="http://schemas.openxmlformats.org/officeDocument/2006/relationships/themeOverride" Target="../theme/themeOverride2.xml"/><Relationship Id="rId1" Type="http://schemas.openxmlformats.org/officeDocument/2006/relationships/oleObject" Target="NULL" TargetMode="External"/></Relationships>
</file>

<file path=word/charts/_rels/chart6.xml.rels><?xml version="1.0" encoding="UTF-8" standalone="yes"?>
<Relationships xmlns="http://schemas.openxmlformats.org/package/2006/relationships"><Relationship Id="rId4" Type="http://schemas.microsoft.com/office/2011/relationships/chartColorStyle" Target="colors8.xml"/><Relationship Id="rId3" Type="http://schemas.microsoft.com/office/2011/relationships/chartStyle" Target="style8.xml"/><Relationship Id="rId2" Type="http://schemas.openxmlformats.org/officeDocument/2006/relationships/themeOverride" Target="../theme/themeOverride6.xml"/><Relationship Id="rId1" Type="http://schemas.openxmlformats.org/officeDocument/2006/relationships/oleObject" Target="NULL" TargetMode="External"/></Relationships>
</file>

<file path=word/charts/_rels/chart7.xml.rels><?xml version="1.0" encoding="UTF-8" standalone="yes"?>
<Relationships xmlns="http://schemas.openxmlformats.org/package/2006/relationships"><Relationship Id="rId3" Type="http://schemas.microsoft.com/office/2011/relationships/chartColorStyle" Target="colors6.xml"/><Relationship Id="rId2" Type="http://schemas.microsoft.com/office/2011/relationships/chartStyle" Target="style6.xml"/><Relationship Id="rId1" Type="http://schemas.openxmlformats.org/officeDocument/2006/relationships/package" Target="../embeddings/Workbook1.xlsx"/></Relationships>
</file>

<file path=word/charts/_rels/chart8.xml.rels><?xml version="1.0" encoding="UTF-8" standalone="yes"?>
<Relationships xmlns="http://schemas.openxmlformats.org/package/2006/relationships"><Relationship Id="rId4" Type="http://schemas.microsoft.com/office/2011/relationships/chartColorStyle" Target="colors7.xml"/><Relationship Id="rId3" Type="http://schemas.microsoft.com/office/2011/relationships/chartStyle" Target="style7.xml"/><Relationship Id="rId2" Type="http://schemas.openxmlformats.org/officeDocument/2006/relationships/themeOverride" Target="../theme/themeOverride5.xml"/><Relationship Id="rId1" Type="http://schemas.openxmlformats.org/officeDocument/2006/relationships/oleObject" Target="NULL" TargetMode="External"/></Relationships>
</file>

<file path=word/charts/_rels/chart9.xml.rels><?xml version="1.0" encoding="UTF-8" standalone="yes"?>
<Relationships xmlns="http://schemas.openxmlformats.org/package/2006/relationships"><Relationship Id="rId5" Type="http://schemas.microsoft.com/office/2011/relationships/chartColorStyle" Target="colors9.xml"/><Relationship Id="rId4" Type="http://schemas.microsoft.com/office/2011/relationships/chartStyle" Target="style9.xml"/><Relationship Id="rId3" Type="http://schemas.openxmlformats.org/officeDocument/2006/relationships/image" Target="../media/image21.png"/><Relationship Id="rId2" Type="http://schemas.openxmlformats.org/officeDocument/2006/relationships/themeOverride" Target="../theme/themeOverride7.xml"/><Relationship Id="rId1" Type="http://schemas.openxmlformats.org/officeDocument/2006/relationships/package" Target="../embeddings/Workbook2.xlsx"/></Relationships>
</file>

<file path=word/charts/_rels/chart10.xml.rels><?xml version="1.0" encoding="UTF-8" standalone="yes"?>
<Relationships xmlns="http://schemas.openxmlformats.org/package/2006/relationships"><Relationship Id="rId4" Type="http://schemas.microsoft.com/office/2011/relationships/chartColorStyle" Target="colors10.xml"/><Relationship Id="rId3" Type="http://schemas.microsoft.com/office/2011/relationships/chartStyle" Target="style10.xml"/><Relationship Id="rId2" Type="http://schemas.openxmlformats.org/officeDocument/2006/relationships/themeOverride" Target="../theme/themeOverride8.xml"/><Relationship Id="rId1" Type="http://schemas.openxmlformats.org/officeDocument/2006/relationships/package" Target="../embeddings/Workbook3.xlsx"/></Relationships>
</file>

<file path=word/charts/_rels/chart11.xml.rels><?xml version="1.0" encoding="UTF-8" standalone="yes"?>
<Relationships xmlns="http://schemas.openxmlformats.org/package/2006/relationships"><Relationship Id="rId5" Type="http://schemas.microsoft.com/office/2011/relationships/chartColorStyle" Target="colors11.xml"/><Relationship Id="rId4" Type="http://schemas.microsoft.com/office/2011/relationships/chartStyle" Target="style11.xml"/><Relationship Id="rId3" Type="http://schemas.openxmlformats.org/officeDocument/2006/relationships/image" Target="../media/image22.png"/><Relationship Id="rId2" Type="http://schemas.openxmlformats.org/officeDocument/2006/relationships/themeOverride" Target="../theme/themeOverride9.xml"/><Relationship Id="rId1" Type="http://schemas.openxmlformats.org/officeDocument/2006/relationships/package" Target="../embeddings/Workbook4.xlsx"/></Relationships>
</file>

<file path=word/charts/_rels/chart12.xml.rels><?xml version="1.0" encoding="UTF-8" standalone="yes"?>
<Relationships xmlns="http://schemas.openxmlformats.org/package/2006/relationships"><Relationship Id="rId4" Type="http://schemas.microsoft.com/office/2011/relationships/chartColorStyle" Target="colors12.xml"/><Relationship Id="rId3" Type="http://schemas.microsoft.com/office/2011/relationships/chartStyle" Target="style12.xml"/><Relationship Id="rId2" Type="http://schemas.openxmlformats.org/officeDocument/2006/relationships/themeOverride" Target="../theme/themeOverride10.xml"/><Relationship Id="rId1" Type="http://schemas.openxmlformats.org/officeDocument/2006/relationships/package" Target="../embeddings/Workbook5.xlsx"/></Relationships>
</file>

<file path=word/charts/_rels/chart13.xml.rels><?xml version="1.0" encoding="UTF-8" standalone="yes"?>
<Relationships xmlns="http://schemas.openxmlformats.org/package/2006/relationships"><Relationship Id="rId4" Type="http://schemas.microsoft.com/office/2011/relationships/chartColorStyle" Target="colors13.xml"/><Relationship Id="rId3" Type="http://schemas.microsoft.com/office/2011/relationships/chartStyle" Target="style13.xml"/><Relationship Id="rId2" Type="http://schemas.openxmlformats.org/officeDocument/2006/relationships/themeOverride" Target="../theme/themeOverride11.xml"/><Relationship Id="rId1" Type="http://schemas.openxmlformats.org/officeDocument/2006/relationships/oleObject" Target="NULL" TargetMode="External"/></Relationships>
</file>

<file path=word/charts/_rels/chart14.xml.rels><?xml version="1.0" encoding="UTF-8" standalone="yes"?>
<Relationships xmlns="http://schemas.openxmlformats.org/package/2006/relationships"><Relationship Id="rId3" Type="http://schemas.microsoft.com/office/2011/relationships/chartColorStyle" Target="colors4.xml"/><Relationship Id="rId2" Type="http://schemas.microsoft.com/office/2011/relationships/chartStyle" Target="style4.xml"/><Relationship Id="rId1" Type="http://schemas.openxmlformats.org/officeDocument/2006/relationships/oleObject" Target="NULL" TargetMode="External"/></Relationships>
</file>

<file path=word/charts/_rels/chart15.xml.rels><?xml version="1.0" encoding="UTF-8" standalone="yes"?>
<Relationships xmlns="http://schemas.openxmlformats.org/package/2006/relationships"><Relationship Id="rId5" Type="http://schemas.microsoft.com/office/2011/relationships/chartColorStyle" Target="colors15.xml"/><Relationship Id="rId4" Type="http://schemas.microsoft.com/office/2011/relationships/chartStyle" Target="style15.xml"/><Relationship Id="rId3" Type="http://schemas.openxmlformats.org/officeDocument/2006/relationships/image" Target="../media/image24.png"/><Relationship Id="rId2" Type="http://schemas.openxmlformats.org/officeDocument/2006/relationships/themeOverride" Target="../theme/themeOverride13.xml"/><Relationship Id="rId1" Type="http://schemas.openxmlformats.org/officeDocument/2006/relationships/oleObject" Target="NULL" TargetMode="External"/></Relationships>
</file>

<file path=word/charts/_rels/chart16.xml.rels><?xml version="1.0" encoding="UTF-8" standalone="yes"?>
<Relationships xmlns="http://schemas.openxmlformats.org/package/2006/relationships"><Relationship Id="rId4" Type="http://schemas.microsoft.com/office/2011/relationships/chartColorStyle" Target="colors17.xml"/><Relationship Id="rId3" Type="http://schemas.microsoft.com/office/2011/relationships/chartStyle" Target="style17.xml"/><Relationship Id="rId2" Type="http://schemas.openxmlformats.org/officeDocument/2006/relationships/themeOverride" Target="../theme/themeOverride15.xml"/><Relationship Id="rId1" Type="http://schemas.openxmlformats.org/officeDocument/2006/relationships/oleObject" Target="NULL" TargetMode="External"/></Relationships>
</file>

<file path=word/charts/_rels/chart17.xml.rels><?xml version="1.0" encoding="UTF-8" standalone="yes"?>
<Relationships xmlns="http://schemas.openxmlformats.org/package/2006/relationships"><Relationship Id="rId5" Type="http://schemas.microsoft.com/office/2011/relationships/chartColorStyle" Target="colors14.xml"/><Relationship Id="rId4" Type="http://schemas.microsoft.com/office/2011/relationships/chartStyle" Target="style14.xml"/><Relationship Id="rId3" Type="http://schemas.openxmlformats.org/officeDocument/2006/relationships/image" Target="../media/image23.png"/><Relationship Id="rId2" Type="http://schemas.openxmlformats.org/officeDocument/2006/relationships/themeOverride" Target="../theme/themeOverride12.xml"/><Relationship Id="rId1" Type="http://schemas.openxmlformats.org/officeDocument/2006/relationships/oleObject" Target="NULL" TargetMode="External"/></Relationships>
</file>

<file path=word/charts/_rels/chart18.xml.rels><?xml version="1.0" encoding="UTF-8" standalone="yes"?>
<Relationships xmlns="http://schemas.openxmlformats.org/package/2006/relationships"><Relationship Id="rId4" Type="http://schemas.microsoft.com/office/2011/relationships/chartColorStyle" Target="colors16.xml"/><Relationship Id="rId3" Type="http://schemas.microsoft.com/office/2011/relationships/chartStyle" Target="style16.xml"/><Relationship Id="rId2" Type="http://schemas.openxmlformats.org/officeDocument/2006/relationships/themeOverride" Target="../theme/themeOverride14.xml"/><Relationship Id="rId1" Type="http://schemas.openxmlformats.org/officeDocument/2006/relationships/oleObject" Target="NULL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0702370923095439"/>
          <c:y val="0.0475319926873857"/>
          <c:w val="0.903285593934288"/>
          <c:h val="0.836243144424132"/>
        </c:manualLayout>
      </c:layout>
      <c:barChart>
        <c:barDir val="col"/>
        <c:grouping val="clustered"/>
        <c:varyColors val="0"/>
        <c:ser>
          <c:idx val="0"/>
          <c:order val="0"/>
          <c:spPr>
            <a:blipFill rotWithShape="1">
              <a:blip xmlns:r="http://schemas.openxmlformats.org/officeDocument/2006/relationships" r:embed="rId3">
                <a:alphaModFix amt="85000"/>
                <a:duotone>
                  <a:schemeClr val="accent1"/>
                  <a:prstClr val="white"/>
                </a:duotone>
              </a:blip>
              <a:stretch>
                <a:fillRect/>
              </a:stretch>
            </a:blipFill>
            <a:ln>
              <a:noFill/>
            </a:ln>
            <a:effectLst/>
          </c:spPr>
          <c:invertIfNegative val="0"/>
          <c:dLbls>
            <c:numFmt formatCode="General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{"18及以下","19-25","26-30","31-40","41岁及以上"}</c:f>
              <c:strCache>
                <c:ptCount val="5"/>
                <c:pt idx="0">
                  <c:v>18及以下</c:v>
                </c:pt>
                <c:pt idx="1">
                  <c:v>19-25</c:v>
                </c:pt>
                <c:pt idx="2">
                  <c:v>26-30</c:v>
                </c:pt>
                <c:pt idx="3">
                  <c:v>31-40</c:v>
                </c:pt>
                <c:pt idx="4">
                  <c:v>41岁及以上</c:v>
                </c:pt>
              </c:strCache>
            </c:strRef>
          </c:cat>
          <c:val>
            <c:numRef>
              <c:f>{11,98,176,124,94}</c:f>
              <c:numCache>
                <c:formatCode>General</c:formatCode>
                <c:ptCount val="5"/>
                <c:pt idx="0">
                  <c:v>11</c:v>
                </c:pt>
                <c:pt idx="1">
                  <c:v>98</c:v>
                </c:pt>
                <c:pt idx="2">
                  <c:v>176</c:v>
                </c:pt>
                <c:pt idx="3">
                  <c:v>124</c:v>
                </c:pt>
                <c:pt idx="4">
                  <c:v>94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40"/>
        <c:axId val="588400416"/>
        <c:axId val="585612464"/>
      </c:barChart>
      <c:catAx>
        <c:axId val="5884004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44450" cap="flat" cmpd="sng" algn="ctr">
            <a:solidFill>
              <a:schemeClr val="tx1">
                <a:lumMod val="50000"/>
                <a:lumOff val="50000"/>
                <a:alpha val="30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585612464"/>
        <c:crosses val="autoZero"/>
        <c:auto val="1"/>
        <c:lblAlgn val="ctr"/>
        <c:lblOffset val="100"/>
        <c:noMultiLvlLbl val="0"/>
      </c:catAx>
      <c:valAx>
        <c:axId val="585612464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5884004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e6c8ed56-5579-4a96-8f7f-8bc7e25cca14}"/>
      </c:ext>
    </c:extLst>
  </c:chart>
  <c:spPr>
    <a:blipFill rotWithShape="1">
      <a:blip xmlns:r="http://schemas.openxmlformats.org/officeDocument/2006/relationships" r:embed="rId4"/>
      <a:stretch>
        <a:fillRect/>
      </a:stretch>
    </a:blipFill>
    <a:ln w="6350" cap="flat" cmpd="sng" algn="ctr">
      <a:noFill/>
      <a:round/>
    </a:ln>
    <a:effectLst/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0559192580469177"/>
          <c:y val="0.0513047324192835"/>
          <c:w val="0.939989088925259"/>
          <c:h val="0.841530296329058"/>
        </c:manualLayout>
      </c:layout>
      <c:barChart>
        <c:barDir val="col"/>
        <c:grouping val="clustered"/>
        <c:varyColors val="0"/>
        <c:ser>
          <c:idx val="0"/>
          <c:order val="0"/>
          <c:spPr>
            <a:blipFill rotWithShape="1">
              <a:blip xmlns:r="http://schemas.openxmlformats.org/officeDocument/2006/relationships" r:embed="rId3">
                <a:alphaModFix amt="86000"/>
                <a:duotone>
                  <a:schemeClr val="accent1"/>
                  <a:prstClr val="white"/>
                </a:duotone>
              </a:blip>
              <a:stretch>
                <a:fillRect l="-7000"/>
              </a:stretch>
            </a:blipFill>
            <a:ln>
              <a:noFill/>
            </a:ln>
            <a:effectLst>
              <a:outerShdw blurRad="76200" dir="18900000" sy="23000" kx="-1200000" algn="bl" rotWithShape="0">
                <a:sysClr val="windowText" lastClr="000000">
                  <a:lumMod val="75000"/>
                  <a:lumOff val="25000"/>
                  <a:alpha val="20000"/>
                </a:sys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汉仪旗黑-55简" panose="00020600040101010101" charset="-128"/>
                    <a:sym typeface="汉仪旗黑-55简" panose="00020600040101010101" charset="-128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{"3个月以内","3-6个月","6-12个月","1-3年","3年以上"}</c:f>
              <c:strCache>
                <c:ptCount val="5"/>
                <c:pt idx="0">
                  <c:v>3个月以内</c:v>
                </c:pt>
                <c:pt idx="1">
                  <c:v>3-6个月</c:v>
                </c:pt>
                <c:pt idx="2">
                  <c:v>6-12个月</c:v>
                </c:pt>
                <c:pt idx="3">
                  <c:v>1-3年</c:v>
                </c:pt>
                <c:pt idx="4">
                  <c:v>3年以上</c:v>
                </c:pt>
              </c:strCache>
            </c:strRef>
          </c:cat>
          <c:val>
            <c:numRef>
              <c:f>{50,123,104,146,80}</c:f>
              <c:numCache>
                <c:formatCode>General</c:formatCode>
                <c:ptCount val="5"/>
                <c:pt idx="0">
                  <c:v>50</c:v>
                </c:pt>
                <c:pt idx="1">
                  <c:v>123</c:v>
                </c:pt>
                <c:pt idx="2">
                  <c:v>104</c:v>
                </c:pt>
                <c:pt idx="3">
                  <c:v>146</c:v>
                </c:pt>
                <c:pt idx="4">
                  <c:v>80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-5"/>
        <c:axId val="588400416"/>
        <c:axId val="585612464"/>
      </c:barChart>
      <c:catAx>
        <c:axId val="58840041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6350" cap="flat" cmpd="sng" algn="ctr">
            <a:solidFill>
              <a:schemeClr val="tx1">
                <a:lumMod val="50000"/>
                <a:lumOff val="50000"/>
                <a:alpha val="2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汉仪旗黑-55简" panose="00020600040101010101" charset="-128"/>
                <a:sym typeface="汉仪旗黑-55简" panose="00020600040101010101" charset="-128"/>
              </a:defRPr>
            </a:pPr>
          </a:p>
        </c:txPr>
        <c:crossAx val="585612464"/>
        <c:crosses val="autoZero"/>
        <c:auto val="1"/>
        <c:lblAlgn val="ctr"/>
        <c:lblOffset val="100"/>
        <c:noMultiLvlLbl val="0"/>
      </c:catAx>
      <c:valAx>
        <c:axId val="585612464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汉仪旗黑-55简" panose="00020600040101010101" charset="-128"/>
                <a:sym typeface="汉仪旗黑-55简" panose="00020600040101010101" charset="-128"/>
              </a:defRPr>
            </a:pPr>
          </a:p>
        </c:txPr>
        <c:crossAx val="5884004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6bb9440c-d4ab-4d9f-badc-64860efabb46}"/>
      </c:ext>
    </c:extLst>
  </c:chart>
  <c:spPr>
    <a:noFill/>
    <a:ln w="6350" cap="flat" cmpd="sng" algn="ctr">
      <a:noFill/>
      <a:round/>
    </a:ln>
    <a:effectLst/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汉仪旗黑-55简" panose="00020600040101010101" charset="-128"/>
          <a:sym typeface="汉仪旗黑-55简" panose="00020600040101010101" charset="-128"/>
        </a:defRPr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50"/>
      <c:rotY val="0"/>
      <c:depthPercent val="100"/>
      <c:rAngAx val="0"/>
    </c:view3D>
    <c:floor>
      <c:thickness val="0"/>
      <c:spPr>
        <a:noFill/>
        <a:ln>
          <a:noFill/>
        </a:ln>
        <a:effectLst/>
      </c:spPr>
    </c:floor>
    <c:sideWall>
      <c:thickness val="0"/>
      <c:spPr>
        <a:noFill/>
        <a:ln>
          <a:noFill/>
        </a:ln>
        <a:effectLst/>
      </c:spPr>
    </c:sideWall>
    <c:backWall>
      <c:thickness val="0"/>
      <c:spPr>
        <a:noFill/>
        <a:ln>
          <a:noFill/>
        </a:ln>
        <a:effectLst/>
      </c:spPr>
    </c:backWall>
    <c:plotArea>
      <c:layout>
        <c:manualLayout>
          <c:layoutTarget val="inner"/>
          <c:xMode val="edge"/>
          <c:yMode val="edge"/>
          <c:x val="0.029936587523964"/>
          <c:y val="0.0777934936350778"/>
          <c:w val="0.820970358354225"/>
          <c:h val="0.844413012729844"/>
        </c:manualLayout>
      </c:layout>
      <c:pie3DChart>
        <c:varyColors val="1"/>
        <c:ser>
          <c:idx val="0"/>
          <c:order val="0"/>
          <c:explosion val="6"/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cene3d>
                <a:camera prst="orthographicFront"/>
                <a:lightRig rig="threePt" dir="t"/>
              </a:scene3d>
              <a:sp3d/>
            </c:spPr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  <a:scene3d>
                <a:camera prst="orthographicFront"/>
                <a:lightRig rig="threePt" dir="t"/>
              </a:scene3d>
              <a:sp3d/>
            </c:spPr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{"主业","兼职"}</c:f>
              <c:strCache>
                <c:ptCount val="2"/>
                <c:pt idx="0">
                  <c:v>主业</c:v>
                </c:pt>
                <c:pt idx="1">
                  <c:v>兼职</c:v>
                </c:pt>
              </c:strCache>
            </c:strRef>
          </c:cat>
          <c:val>
            <c:numRef>
              <c:f>{285,218}</c:f>
              <c:numCache>
                <c:formatCode>General</c:formatCode>
                <c:ptCount val="2"/>
                <c:pt idx="0">
                  <c:v>285</c:v>
                </c:pt>
                <c:pt idx="1">
                  <c:v>218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1"/>
          <c:showBubbleSize val="0"/>
        </c:dLbls>
      </c:pie3DChart>
      <c:spPr>
        <a:noFill/>
        <a:ln>
          <a:noFill/>
        </a:ln>
        <a:effectLst/>
      </c:spPr>
    </c:plotArea>
    <c:legend>
      <c:legendPos val="r"/>
      <c:layout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4c155c32-5631-4dfb-9fda-f9baff13637d}"/>
      </c:ext>
    </c:extLst>
  </c:chart>
  <c:spPr>
    <a:noFill/>
    <a:ln w="9525" cap="flat" cmpd="sng" algn="ctr">
      <a:noFill/>
      <a:prstDash val="solid"/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0" i="0" u="none" strike="noStrike" kern="1200" spc="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t>读者日均停留时长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26678860726418"/>
          <c:y val="0.252480705622933"/>
          <c:w val="0.802900444212177"/>
          <c:h val="0.631841234840132"/>
        </c:manualLayout>
      </c:layout>
      <c:barChart>
        <c:barDir val="bar"/>
        <c:grouping val="clustered"/>
        <c:varyColors val="0"/>
        <c:ser>
          <c:idx val="0"/>
          <c:order val="0"/>
          <c:spPr>
            <a:solidFill>
              <a:srgbClr val="E97132">
                <a:lumMod val="60000"/>
                <a:lumOff val="40000"/>
                <a:alpha val="73000"/>
              </a:srgb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{"4小时以内","4-6小时","6-8小时","8-10小时","10小时以上"}</c:f>
              <c:strCache>
                <c:ptCount val="5"/>
                <c:pt idx="0">
                  <c:v>4小时以内</c:v>
                </c:pt>
                <c:pt idx="1">
                  <c:v>4-6小时</c:v>
                </c:pt>
                <c:pt idx="2">
                  <c:v>6-8小时</c:v>
                </c:pt>
                <c:pt idx="3">
                  <c:v>8-10小时</c:v>
                </c:pt>
                <c:pt idx="4">
                  <c:v>10小时以上</c:v>
                </c:pt>
              </c:strCache>
            </c:strRef>
          </c:cat>
          <c:val>
            <c:numRef>
              <c:f>{36,103,98,161,105}</c:f>
              <c:numCache>
                <c:formatCode>General</c:formatCode>
                <c:ptCount val="5"/>
                <c:pt idx="0">
                  <c:v>36</c:v>
                </c:pt>
                <c:pt idx="1">
                  <c:v>103</c:v>
                </c:pt>
                <c:pt idx="2">
                  <c:v>98</c:v>
                </c:pt>
                <c:pt idx="3">
                  <c:v>161</c:v>
                </c:pt>
                <c:pt idx="4">
                  <c:v>105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04"/>
        <c:overlap val="0"/>
        <c:axId val="588400416"/>
        <c:axId val="585612464"/>
      </c:barChart>
      <c:catAx>
        <c:axId val="58840041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chemeClr val="tx1">
                <a:lumMod val="50000"/>
                <a:lumOff val="50000"/>
                <a:alpha val="2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cap="none" spc="0" normalizeH="0" baseline="0">
                <a:solidFill>
                  <a:schemeClr val="tx1">
                    <a:lumMod val="75000"/>
                    <a:lumOff val="25000"/>
                  </a:schemeClr>
                </a:solidFill>
                <a:uFill>
                  <a:solidFill>
                    <a:schemeClr val="tx1">
                      <a:lumMod val="65000"/>
                      <a:lumOff val="35000"/>
                    </a:schemeClr>
                  </a:solidFill>
                </a:u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585612464"/>
        <c:crosses val="autoZero"/>
        <c:auto val="1"/>
        <c:lblAlgn val="ctr"/>
        <c:lblOffset val="100"/>
        <c:noMultiLvlLbl val="0"/>
      </c:catAx>
      <c:valAx>
        <c:axId val="585612464"/>
        <c:scaling>
          <c:orientation val="minMax"/>
        </c:scaling>
        <c:delete val="0"/>
        <c:axPos val="b"/>
        <c:majorGridlines>
          <c:spPr>
            <a:ln w="6350" cap="flat" cmpd="sng" algn="ctr">
              <a:solidFill>
                <a:schemeClr val="tx1">
                  <a:lumMod val="50000"/>
                  <a:lumOff val="50000"/>
                  <a:alpha val="25000"/>
                </a:schemeClr>
              </a:solidFill>
              <a:prstDash val="solid"/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588400416"/>
        <c:crosses val="autoZero"/>
        <c:crossBetween val="between"/>
      </c:valAx>
      <c:spPr>
        <a:solidFill>
          <a:srgbClr val="FFFFFF"/>
        </a:solidFill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a09f2c1a-174f-4b9e-9534-0533c8155d71}"/>
      </c:ext>
    </c:extLst>
  </c:chart>
  <c:spPr>
    <a:noFill/>
    <a:ln w="6350" cap="flat" cmpd="sng" algn="ctr">
      <a:noFill/>
      <a:round/>
    </a:ln>
    <a:effectLst/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t>读者周边居住距离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doughnutChart>
        <c:varyColors val="1"/>
        <c:ser>
          <c:idx val="0"/>
          <c:order val="0"/>
          <c:spPr/>
          <c:explosion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</c:dPt>
          <c:dLbls>
            <c:dLbl>
              <c:idx val="0"/>
              <c:layout>
                <c:manualLayout>
                  <c:x val="0.0861954647924678"/>
                  <c:y val="-0.131012811215857"/>
                </c:manualLayout>
              </c:layout>
              <c:showLegendKey val="0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"/>
              <c:layout>
                <c:manualLayout>
                  <c:x val="0.144675772443973"/>
                  <c:y val="-0.0120860526951898"/>
                </c:manualLayout>
              </c:layout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2"/>
              <c:layout>
                <c:manualLayout>
                  <c:x val="-0.202227821243867"/>
                  <c:y val="0.0140198211264201"/>
                </c:manualLayout>
              </c:layout>
              <c:showLegendKey val="0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3"/>
              <c:layout>
                <c:manualLayout>
                  <c:x val="-0.151438801219997"/>
                  <c:y val="-0.0623640319071791"/>
                </c:manualLayout>
              </c:layout>
              <c:showLegendKey val="0"/>
              <c:showVal val="1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showLegendKey val="0"/>
            <c:showVal val="1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{"6个月以内","6个月-1年","1-3年","3年以上"}</c:f>
              <c:strCache>
                <c:ptCount val="4"/>
                <c:pt idx="0">
                  <c:v>6个月以内</c:v>
                </c:pt>
                <c:pt idx="1">
                  <c:v>6个月-1年</c:v>
                </c:pt>
                <c:pt idx="2">
                  <c:v>1-3年</c:v>
                </c:pt>
                <c:pt idx="3">
                  <c:v>3年以上</c:v>
                </c:pt>
              </c:strCache>
            </c:strRef>
          </c:cat>
          <c:val>
            <c:numRef>
              <c:f>{53,131,204,115}</c:f>
              <c:numCache>
                <c:formatCode>General</c:formatCode>
                <c:ptCount val="4"/>
                <c:pt idx="0">
                  <c:v>53</c:v>
                </c:pt>
                <c:pt idx="1">
                  <c:v>131</c:v>
                </c:pt>
                <c:pt idx="2">
                  <c:v>204</c:v>
                </c:pt>
                <c:pt idx="3">
                  <c:v>115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56"/>
      </c:doughnutChart>
      <c:spPr>
        <a:blipFill rotWithShape="1">
          <a:blip xmlns:r="http://schemas.openxmlformats.org/officeDocument/2006/relationships" r:embed="rId3"/>
          <a:stretch>
            <a:fillRect/>
          </a:stretch>
        </a:blipFill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36562699-f0d6-446b-bfef-54b31e772b64}"/>
      </c:ext>
    </c:extLst>
  </c:chart>
  <c:spPr>
    <a:solidFill>
      <a:schemeClr val="bg1"/>
    </a:solidFill>
    <a:ln w="6350" cap="flat" cmpd="sng" algn="ctr">
      <a:noFill/>
      <a:round/>
    </a:ln>
    <a:effectLst/>
  </c:spPr>
  <c:txPr>
    <a:bodyPr/>
    <a:lstStyle/>
    <a:p>
      <a:pPr>
        <a:defRPr lang="zh-CN"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0779692718770875"/>
          <c:y val="0.0554216867469879"/>
          <c:w val="0.892638610554442"/>
          <c:h val="0.80813922356091"/>
        </c:manualLayout>
      </c:layout>
      <c:barChart>
        <c:barDir val="col"/>
        <c:grouping val="clustered"/>
        <c:varyColors val="0"/>
        <c:ser>
          <c:idx val="0"/>
          <c:order val="0"/>
          <c:spPr>
            <a:pattFill prst="wdUpDiag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 w="25400">
              <a:solidFill>
                <a:schemeClr val="accent1"/>
              </a:solidFill>
            </a:ln>
            <a:effectLst/>
            <a:scene3d>
              <a:camera prst="orthographicFront"/>
              <a:lightRig rig="threePt" dir="t"/>
            </a:scene3d>
            <a:sp3d contourW="25400"/>
          </c:spPr>
          <c:invertIfNegative val="0"/>
          <c:dPt>
            <c:idx val="0"/>
            <c:invertIfNegative val="0"/>
            <c:bubble3D val="0"/>
            <c:explosion val="10"/>
            <c:spPr>
              <a:pattFill prst="wdUpDiag">
                <a:fgClr>
                  <a:schemeClr val="accent1"/>
                </a:fgClr>
                <a:bgClr>
                  <a:schemeClr val="accent1">
                    <a:lumMod val="20000"/>
                    <a:lumOff val="80000"/>
                  </a:schemeClr>
                </a:bgClr>
              </a:pattFill>
              <a:ln w="25400">
                <a:solidFill>
                  <a:schemeClr val="accent1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accent1"/>
                </a:contourClr>
              </a:sp3d>
            </c:spPr>
          </c:dPt>
          <c:dPt>
            <c:idx val="1"/>
            <c:invertIfNegative val="0"/>
            <c:bubble3D val="0"/>
            <c:spPr>
              <a:pattFill prst="wdUpDiag">
                <a:fgClr>
                  <a:schemeClr val="accent2"/>
                </a:fgClr>
                <a:bgClr>
                  <a:schemeClr val="accent2">
                    <a:lumMod val="20000"/>
                    <a:lumOff val="80000"/>
                  </a:schemeClr>
                </a:bgClr>
              </a:pattFill>
              <a:ln w="25400">
                <a:solidFill>
                  <a:schemeClr val="accent2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accent2"/>
                </a:contourClr>
              </a:sp3d>
            </c:spPr>
          </c:dPt>
          <c:dPt>
            <c:idx val="2"/>
            <c:invertIfNegative val="0"/>
            <c:bubble3D val="0"/>
            <c:spPr>
              <a:pattFill prst="wdUpDiag">
                <a:fgClr>
                  <a:schemeClr val="accent3"/>
                </a:fgClr>
                <a:bgClr>
                  <a:schemeClr val="accent3">
                    <a:lumMod val="20000"/>
                    <a:lumOff val="80000"/>
                  </a:schemeClr>
                </a:bgClr>
              </a:pattFill>
              <a:ln w="25400">
                <a:solidFill>
                  <a:schemeClr val="accent3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accent3"/>
                </a:contourClr>
              </a:sp3d>
            </c:spPr>
          </c:dPt>
          <c:dPt>
            <c:idx val="3"/>
            <c:invertIfNegative val="0"/>
            <c:bubble3D val="0"/>
            <c:spPr>
              <a:pattFill prst="wdUpDiag">
                <a:fgClr>
                  <a:schemeClr val="accent4"/>
                </a:fgClr>
                <a:bgClr>
                  <a:schemeClr val="accent4">
                    <a:lumMod val="20000"/>
                    <a:lumOff val="80000"/>
                  </a:schemeClr>
                </a:bgClr>
              </a:pattFill>
              <a:ln w="25400">
                <a:solidFill>
                  <a:schemeClr val="accent4"/>
                </a:solidFill>
              </a:ln>
              <a:effectLst/>
              <a:scene3d>
                <a:camera prst="orthographicFront"/>
                <a:lightRig rig="threePt" dir="t"/>
              </a:scene3d>
              <a:sp3d contourW="25400">
                <a:contourClr>
                  <a:schemeClr val="accent4"/>
                </a:contourClr>
              </a:sp3d>
            </c:spPr>
          </c:dPt>
          <c:dLbls>
            <c:dLbl>
              <c:idx val="0"/>
              <c:layout>
                <c:manualLayout>
                  <c:x val="0.0053440213760855"/>
                  <c:y val="-0.125033467202142"/>
                </c:manualLayout>
              </c:layout>
              <c:tx>
                <c:rich>
                  <a:bodyPr rot="0" spcFirstLastPara="0" vertOverflow="ellipsis" vert="horz" wrap="square" lIns="38100" tIns="19050" rIns="38100" bIns="19050" anchor="ctr" anchorCtr="1"/>
                  <a:lstStyle/>
                  <a:p>
                    <a:pPr defTabSz="914400">
                      <a:defRPr lang="zh-CN" sz="900" b="0" i="0" u="none" strike="noStrike" kern="1200" baseline="0">
                        <a:solidFill>
                          <a:schemeClr val="accent1"/>
                        </a:solidFill>
                        <a:latin typeface="微软雅黑" panose="020B0503020204020204" charset="-122"/>
                        <a:ea typeface="微软雅黑" panose="020B0503020204020204" charset="-122"/>
                        <a:cs typeface="微软雅黑" panose="020B0503020204020204" charset="-122"/>
                        <a:sym typeface="微软雅黑" panose="020B0503020204020204" charset="-122"/>
                      </a:defRPr>
                    </a:pPr>
                    <a:r>
                      <a:t>从未使用，89</a:t>
                    </a:r>
                  </a:p>
                </c:rich>
              </c:tx>
              <c:numFmt formatCode="General" sourceLinked="1"/>
              <c:spPr>
                <a:solidFill>
                  <a:schemeClr val="bg1"/>
                </a:solidFill>
                <a:ln>
                  <a:solidFill>
                    <a:schemeClr val="accent1"/>
                  </a:solidFill>
                </a:ln>
                <a:effectLst/>
              </c:spPr>
              <c:txPr>
                <a:bodyPr rot="0" spcFirstLastPara="0" vertOverflow="ellipsis" vert="horz" wrap="square" lIns="38100" tIns="19050" rIns="38100" bIns="19050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chemeClr val="accent1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dLblPos val="inEnd"/>
              <c:showLegendKey val="0"/>
              <c:showVal val="1"/>
              <c:showCatName val="1"/>
              <c:showSerName val="0"/>
              <c:showPercent val="0"/>
              <c:showBubbleSize val="0"/>
              <c:separator>
</c:separator>
              <c:extLst>
                <c:ext xmlns:c15="http://schemas.microsoft.com/office/drawing/2012/chart" uri="{CE6537A1-D6FC-4f65-9D91-7224C49458BB}">
                  <c15:layout>
                    <c:manualLayout>
                      <c:w val="0.183166332665331"/>
                      <c:h val="0.0880856760374833"/>
                    </c:manualLayout>
                  </c15:layout>
                </c:ext>
              </c:extLst>
            </c:dLbl>
            <c:dLbl>
              <c:idx val="1"/>
              <c:layout>
                <c:manualLayout>
                  <c:x val="0.0108216432865731"/>
                  <c:y val="-0.110843373493976"/>
                </c:manualLayout>
              </c:layout>
              <c:numFmt formatCode="General" sourceLinked="1"/>
              <c:spPr>
                <a:solidFill>
                  <a:schemeClr val="bg1"/>
                </a:solidFill>
                <a:ln>
                  <a:solidFill>
                    <a:schemeClr val="accent2"/>
                  </a:solidFill>
                </a:ln>
                <a:effectLst/>
              </c:spPr>
              <c:txPr>
                <a:bodyPr rot="0" spcFirstLastPara="0" vertOverflow="ellipsis" vert="horz" wrap="square" lIns="38100" tIns="19050" rIns="38100" bIns="19050" anchor="ctr" anchorCtr="1" forceAA="0"/>
                <a:lstStyle/>
                <a:p>
                  <a:pPr>
                    <a:defRPr lang="zh-CN" sz="900" b="1" i="0" u="none" strike="noStrike" kern="1200" baseline="0">
                      <a:solidFill>
                        <a:schemeClr val="accent2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dLblPos val="inEnd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2"/>
              <c:layout>
                <c:manualLayout>
                  <c:x val="0.000133600534402138"/>
                  <c:y val="-0.113788487282463"/>
                </c:manualLayout>
              </c:layout>
              <c:numFmt formatCode="General" sourceLinked="1"/>
              <c:spPr>
                <a:solidFill>
                  <a:schemeClr val="bg1"/>
                </a:solidFill>
                <a:ln>
                  <a:solidFill>
                    <a:schemeClr val="accent3"/>
                  </a:solidFill>
                </a:ln>
                <a:effectLst/>
              </c:spPr>
              <c:txPr>
                <a:bodyPr rot="0" spcFirstLastPara="0" vertOverflow="ellipsis" vert="horz" wrap="square" lIns="38100" tIns="19050" rIns="38100" bIns="19050" anchor="ctr" anchorCtr="1" forceAA="0"/>
                <a:lstStyle/>
                <a:p>
                  <a:pPr>
                    <a:defRPr lang="zh-CN" sz="900" b="1" i="0" u="none" strike="noStrike" kern="1200" baseline="0">
                      <a:solidFill>
                        <a:schemeClr val="accent3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dLblPos val="inEnd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3"/>
              <c:layout>
                <c:manualLayout>
                  <c:x val="0.00547762191048764"/>
                  <c:y val="-0.114323962516734"/>
                </c:manualLayout>
              </c:layout>
              <c:numFmt formatCode="General" sourceLinked="1"/>
              <c:spPr>
                <a:solidFill>
                  <a:schemeClr val="bg1"/>
                </a:solidFill>
                <a:ln>
                  <a:solidFill>
                    <a:schemeClr val="accent4"/>
                  </a:solidFill>
                </a:ln>
                <a:effectLst/>
              </c:spPr>
              <c:txPr>
                <a:bodyPr rot="0" spcFirstLastPara="0" vertOverflow="ellipsis" vert="horz" wrap="square" lIns="38100" tIns="19050" rIns="38100" bIns="19050" anchor="ctr" anchorCtr="1" forceAA="0"/>
                <a:lstStyle/>
                <a:p>
                  <a:pPr>
                    <a:defRPr lang="zh-CN" sz="900" b="1" i="0" u="none" strike="noStrike" kern="1200" baseline="0">
                      <a:solidFill>
                        <a:schemeClr val="accent4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dLblPos val="inEnd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solidFill>
                <a:schemeClr val="bg1"/>
              </a:solidFill>
              <a:ln>
                <a:solidFill>
                  <a:schemeClr val="accent1"/>
                </a:solidFill>
              </a:ln>
              <a:effectLst/>
            </c:spPr>
            <c:txPr>
              <a:bodyPr rot="0" spcFirstLastPara="0" vertOverflow="ellipsis" vert="horz" wrap="square" lIns="38100" tIns="19050" rIns="38100" bIns="19050" anchor="ctr" anchorCtr="1" forceAA="0"/>
              <a:lstStyle/>
              <a:p>
                <a:pPr>
                  <a:defRPr lang="zh-CN" sz="900" b="1" i="0" u="none" strike="noStrike" kern="1200" baseline="0">
                    <a:solidFill>
                      <a:schemeClr val="accent1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inEnd"/>
            <c:showLegendKey val="0"/>
            <c:showVal val="1"/>
            <c:showCatName val="1"/>
            <c:showSerName val="0"/>
            <c:showPercent val="0"/>
            <c:showBubbleSize val="0"/>
            <c:separator>
</c:separator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{"从未使用","偶尔1次","每周1-2次","每天都用"}</c:f>
              <c:strCache>
                <c:ptCount val="4"/>
                <c:pt idx="0">
                  <c:v>从未使用</c:v>
                </c:pt>
                <c:pt idx="1">
                  <c:v>偶尔1次</c:v>
                </c:pt>
                <c:pt idx="2">
                  <c:v>每周1-2次</c:v>
                </c:pt>
                <c:pt idx="3">
                  <c:v>每天都用</c:v>
                </c:pt>
              </c:strCache>
            </c:strRef>
          </c:cat>
          <c:val>
            <c:numRef>
              <c:f>{89,215,102,97}</c:f>
              <c:numCache>
                <c:formatCode>General</c:formatCode>
                <c:ptCount val="4"/>
                <c:pt idx="0">
                  <c:v>89</c:v>
                </c:pt>
                <c:pt idx="1">
                  <c:v>215</c:v>
                </c:pt>
                <c:pt idx="2">
                  <c:v>102</c:v>
                </c:pt>
                <c:pt idx="3">
                  <c:v>97</c:v>
                </c:pt>
              </c:numCache>
            </c:numRef>
          </c:val>
        </c:ser>
        <c:dLbls>
          <c:showLegendKey val="0"/>
          <c:showVal val="1"/>
          <c:showCatName val="1"/>
          <c:showSerName val="0"/>
          <c:showPercent val="0"/>
          <c:showBubbleSize val="0"/>
        </c:dLbls>
        <c:gapWidth val="150"/>
        <c:overlap val="0"/>
        <c:axId val="563333787"/>
        <c:axId val="394114862"/>
      </c:barChart>
      <c:catAx>
        <c:axId val="563333787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394114862"/>
        <c:crosses val="autoZero"/>
        <c:auto val="1"/>
        <c:lblAlgn val="ctr"/>
        <c:lblOffset val="100"/>
        <c:noMultiLvlLbl val="0"/>
      </c:catAx>
      <c:valAx>
        <c:axId val="39411486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56333378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39d52dd2-7b80-4d9b-8fde-b2a57a2e61fd}"/>
      </c:ext>
    </c:extLst>
  </c:chart>
  <c:spPr>
    <a:solidFill>
      <a:schemeClr val="bg1"/>
    </a:solidFill>
    <a:ln w="6350" cap="flat" cmpd="sng" algn="ctr">
      <a:noFill/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900" b="0"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area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/>
                </c:pt>
              </c:strCache>
            </c:strRef>
          </c:tx>
          <c:spPr>
            <a:gradFill>
              <a:gsLst>
                <a:gs pos="0">
                  <a:srgbClr val="FFDA32"/>
                </a:gs>
                <a:gs pos="100000">
                  <a:srgbClr val="EA2768"/>
                </a:gs>
              </a:gsLst>
              <a:path path="circle">
                <a:fillToRect r="100000" b="100000"/>
              </a:path>
              <a:tileRect l="-100000" t="-100000"/>
            </a:gradFill>
            <a:ln>
              <a:gradFill>
                <a:gsLst>
                  <a:gs pos="0">
                    <a:schemeClr val="accent1"/>
                  </a:gs>
                  <a:gs pos="100000">
                    <a:schemeClr val="accent1">
                      <a:lumMod val="75000"/>
                    </a:schemeClr>
                  </a:gs>
                </a:gsLst>
                <a:lin ang="10800000" scaled="0"/>
              </a:gradFill>
            </a:ln>
            <a:effectLst/>
          </c:spPr>
          <c:dLbls>
            <c:delete val="1"/>
          </c:dLbls>
          <c:cat>
            <c:strRef>
              <c:f>Sheet1!$A$2:$A$9</c:f>
              <c:strCache>
                <c:ptCount val="8"/>
                <c:pt idx="0">
                  <c:v>休息补给（饮水、坐凳、避雨等）</c:v>
                </c:pt>
                <c:pt idx="1">
                  <c:v>设备补给/换电/车辆简易维修</c:v>
                </c:pt>
                <c:pt idx="2">
                  <c:v>如厕</c:v>
                </c:pt>
                <c:pt idx="3">
                  <c:v>临停指引</c:v>
                </c:pt>
                <c:pt idx="4">
                  <c:v>应急物资领取（雨衣、创可贴等）</c:v>
                </c:pt>
                <c:pt idx="5">
                  <c:v>非高峰期优惠餐食</c:v>
                </c:pt>
                <c:pt idx="6">
                  <c:v>服务权益保障相关信息</c:v>
                </c:pt>
                <c:pt idx="7">
                  <c:v>子女托管、生活支持等服务</c:v>
                </c:pt>
              </c:strCache>
            </c:strRef>
          </c:cat>
          <c:val>
            <c:numRef>
              <c:f>Sheet1!$B$2:$B$9</c:f>
              <c:numCache>
                <c:formatCode>General</c:formatCode>
                <c:ptCount val="8"/>
                <c:pt idx="0">
                  <c:v>230</c:v>
                </c:pt>
                <c:pt idx="1">
                  <c:v>256</c:v>
                </c:pt>
                <c:pt idx="2">
                  <c:v>173</c:v>
                </c:pt>
                <c:pt idx="3">
                  <c:v>233</c:v>
                </c:pt>
                <c:pt idx="4">
                  <c:v>173</c:v>
                </c:pt>
                <c:pt idx="5">
                  <c:v>149</c:v>
                </c:pt>
                <c:pt idx="6">
                  <c:v>176</c:v>
                </c:pt>
                <c:pt idx="7">
                  <c:v>139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8518291"/>
        <c:axId val="916063737"/>
      </c:areaChart>
      <c:catAx>
        <c:axId val="2085182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916063737"/>
        <c:crosses val="autoZero"/>
        <c:auto val="1"/>
        <c:lblAlgn val="ctr"/>
        <c:lblOffset val="100"/>
        <c:noMultiLvlLbl val="0"/>
      </c:catAx>
      <c:valAx>
        <c:axId val="91606373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08518291"/>
        <c:crosses val="autoZero"/>
        <c:crossBetween val="midCat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6032ec3c-b1e0-42c2-9cde-a86dcecfdd94}"/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pieChart>
        <c:varyColors val="1"/>
        <c:ser>
          <c:idx val="0"/>
          <c:order val="0"/>
          <c:spPr>
            <a:ln w="31750" cmpd="dbl">
              <a:solidFill>
                <a:schemeClr val="bg1"/>
              </a:solidFill>
              <a:prstDash val="solid"/>
            </a:ln>
            <a:effectLst>
              <a:innerShdw blurRad="63500" dist="114300">
                <a:prstClr val="black">
                  <a:alpha val="50000"/>
                </a:prstClr>
              </a:innerShdw>
            </a:effectLst>
            <a:sp3d contourW="31750"/>
          </c:spPr>
          <c:explosion val="0"/>
          <c:dPt>
            <c:idx val="0"/>
            <c:bubble3D val="0"/>
            <c:spPr>
              <a:solidFill>
                <a:schemeClr val="accent1"/>
              </a:solidFill>
              <a:ln w="31750" cmpd="dbl">
                <a:solidFill>
                  <a:schemeClr val="bg1"/>
                </a:solidFill>
                <a:prstDash val="solid"/>
              </a:ln>
              <a:effectLst>
                <a:innerShdw blurRad="63500" dist="114300">
                  <a:schemeClr val="accent1">
                    <a:lumMod val="50000"/>
                    <a:alpha val="100000"/>
                  </a:schemeClr>
                </a:innerShdw>
              </a:effectLst>
              <a:sp3d contourW="31750"/>
            </c:spPr>
          </c:dPt>
          <c:dPt>
            <c:idx val="1"/>
            <c:bubble3D val="0"/>
            <c:spPr>
              <a:solidFill>
                <a:schemeClr val="accent2"/>
              </a:solidFill>
              <a:ln w="38100" cmpd="dbl">
                <a:solidFill>
                  <a:schemeClr val="bg1"/>
                </a:solidFill>
                <a:prstDash val="solid"/>
              </a:ln>
              <a:effectLst>
                <a:innerShdw blurRad="63500" dist="114300">
                  <a:schemeClr val="accent2">
                    <a:lumMod val="50000"/>
                    <a:alpha val="100000"/>
                  </a:schemeClr>
                </a:innerShdw>
              </a:effectLst>
              <a:sp3d contourW="38100"/>
            </c:spPr>
          </c:dPt>
          <c:dPt>
            <c:idx val="2"/>
            <c:bubble3D val="0"/>
            <c:spPr>
              <a:solidFill>
                <a:schemeClr val="accent3"/>
              </a:solidFill>
              <a:ln w="31750" cmpd="dbl">
                <a:solidFill>
                  <a:schemeClr val="bg1"/>
                </a:solidFill>
                <a:prstDash val="solid"/>
              </a:ln>
              <a:effectLst>
                <a:innerShdw blurRad="63500" dist="114300">
                  <a:schemeClr val="accent3">
                    <a:lumMod val="50000"/>
                    <a:alpha val="100000"/>
                  </a:schemeClr>
                </a:innerShdw>
              </a:effectLst>
              <a:sp3d contourW="31750"/>
            </c:spPr>
          </c:dPt>
          <c:dPt>
            <c:idx val="3"/>
            <c:bubble3D val="0"/>
            <c:spPr>
              <a:solidFill>
                <a:schemeClr val="accent4"/>
              </a:solidFill>
              <a:ln w="31750" cmpd="dbl">
                <a:solidFill>
                  <a:schemeClr val="bg1"/>
                </a:solidFill>
                <a:prstDash val="solid"/>
              </a:ln>
              <a:effectLst>
                <a:innerShdw blurRad="63500" dist="114300">
                  <a:schemeClr val="accent4">
                    <a:lumMod val="50000"/>
                    <a:alpha val="100000"/>
                  </a:schemeClr>
                </a:innerShdw>
              </a:effectLst>
              <a:sp3d contourW="31750"/>
            </c:spPr>
          </c:dPt>
          <c:dPt>
            <c:idx val="4"/>
            <c:bubble3D val="0"/>
            <c:spPr>
              <a:solidFill>
                <a:schemeClr val="accent5"/>
              </a:solidFill>
              <a:ln w="31750" cmpd="dbl">
                <a:solidFill>
                  <a:schemeClr val="bg1"/>
                </a:solidFill>
                <a:prstDash val="solid"/>
              </a:ln>
              <a:effectLst>
                <a:innerShdw blurRad="63500" dist="114300">
                  <a:schemeClr val="accent5">
                    <a:lumMod val="50000"/>
                    <a:alpha val="100000"/>
                  </a:schemeClr>
                </a:innerShdw>
              </a:effectLst>
              <a:sp3d contourW="31750"/>
            </c:spPr>
          </c:dPt>
          <c:dPt>
            <c:idx val="5"/>
            <c:bubble3D val="0"/>
            <c:spPr>
              <a:solidFill>
                <a:schemeClr val="accent6"/>
              </a:solidFill>
              <a:ln w="31750" cmpd="dbl">
                <a:solidFill>
                  <a:schemeClr val="bg1"/>
                </a:solidFill>
                <a:prstDash val="solid"/>
              </a:ln>
              <a:effectLst>
                <a:innerShdw blurRad="63500" dist="114300">
                  <a:schemeClr val="accent6">
                    <a:lumMod val="50000"/>
                    <a:alpha val="100000"/>
                  </a:schemeClr>
                </a:innerShdw>
              </a:effectLst>
              <a:sp3d contourW="31750"/>
            </c:spPr>
          </c:dPt>
          <c:dLbls>
            <c:dLbl>
              <c:idx val="0"/>
              <c:layout>
                <c:manualLayout>
                  <c:x val="0.053043362949211"/>
                  <c:y val="-0.0302151317379744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"/>
              <c:layout>
                <c:manualLayout>
                  <c:x val="0.0176369181806127"/>
                  <c:y val="-0.0321489001692047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2"/>
              <c:layout>
                <c:manualLayout>
                  <c:x val="0.0198912611059541"/>
                  <c:y val="0.00583678120352571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3"/>
              <c:layout>
                <c:manualLayout>
                  <c:x val="-0.0265216814746055"/>
                  <c:y val="0.15300942712110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4"/>
              <c:layout>
                <c:manualLayout>
                  <c:x val="-0.0539716218008222"/>
                  <c:y val="0.177181532511482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5"/>
              <c:layout>
                <c:manualLayout>
                  <c:x val="-0.0331521018432569"/>
                  <c:y val="-0.0263475948755137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out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{"不知道点位位置","位置不顺路，绕路影响到访","标识不清晰，难以找到","开放时间与到访时段冲突","使用流程繁琐","设施服务无法满足需求"}</c:f>
              <c:strCache>
                <c:ptCount val="6"/>
                <c:pt idx="0">
                  <c:v>不知道点位位置</c:v>
                </c:pt>
                <c:pt idx="1">
                  <c:v>位置不顺路，绕路影响到访</c:v>
                </c:pt>
                <c:pt idx="2">
                  <c:v>标识不清晰，难以找到</c:v>
                </c:pt>
                <c:pt idx="3">
                  <c:v>开放时间与到访时段冲突</c:v>
                </c:pt>
                <c:pt idx="4">
                  <c:v>使用流程繁琐</c:v>
                </c:pt>
                <c:pt idx="5">
                  <c:v>设施服务无法满足需求</c:v>
                </c:pt>
              </c:strCache>
            </c:strRef>
          </c:cat>
          <c:val>
            <c:numRef>
              <c:f>{53,60,53,49,36,40}</c:f>
              <c:numCache>
                <c:formatCode>General</c:formatCode>
                <c:ptCount val="6"/>
                <c:pt idx="0">
                  <c:v>53</c:v>
                </c:pt>
                <c:pt idx="1">
                  <c:v>60</c:v>
                </c:pt>
                <c:pt idx="2">
                  <c:v>53</c:v>
                </c:pt>
                <c:pt idx="3">
                  <c:v>49</c:v>
                </c:pt>
                <c:pt idx="4">
                  <c:v>36</c:v>
                </c:pt>
                <c:pt idx="5">
                  <c:v>40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ea8f9de9-18c4-4685-8f26-172cad38a1ce}"/>
      </c:ext>
    </c:extLst>
  </c:chart>
  <c:spPr>
    <a:solidFill>
      <a:schemeClr val="bg1"/>
    </a:solidFill>
    <a:ln w="6350" cap="flat" cmpd="sng" algn="ctr">
      <a:noFill/>
      <a:round/>
    </a:ln>
    <a:effectLst/>
  </c:spPr>
  <c:txPr>
    <a:bodyPr/>
    <a:lstStyle/>
    <a:p>
      <a:pPr>
        <a:defRPr lang="zh-CN"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服务点覆盖度</c:v>
                </c:pt>
              </c:strCache>
            </c:strRef>
          </c:tx>
          <c:spPr>
            <a:blipFill>
              <a:blip xmlns:r="http://schemas.openxmlformats.org/officeDocument/2006/relationships" r:embed="rId3">
                <a:duotone>
                  <a:schemeClr val="accent1"/>
                  <a:prstClr val="white"/>
                </a:duotone>
              </a:blip>
              <a:stretch>
                <a:fillRect/>
              </a:stretch>
            </a:blipFill>
            <a:ln>
              <a:solidFill>
                <a:schemeClr val="bg1"/>
              </a:solidFill>
            </a:ln>
            <a:effectLst/>
          </c:spPr>
          <c:invertIfNegative val="0"/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85000"/>
                        <a:lumOff val="1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低</c:v>
                </c:pt>
                <c:pt idx="1">
                  <c:v>较低</c:v>
                </c:pt>
                <c:pt idx="2">
                  <c:v>中</c:v>
                </c:pt>
                <c:pt idx="3">
                  <c:v>较高</c:v>
                </c:pt>
                <c:pt idx="4">
                  <c:v>高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31</c:v>
                </c:pt>
                <c:pt idx="1">
                  <c:v>32</c:v>
                </c:pt>
                <c:pt idx="2">
                  <c:v>100</c:v>
                </c:pt>
                <c:pt idx="3">
                  <c:v>185</c:v>
                </c:pt>
                <c:pt idx="4">
                  <c:v>155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如厕、接水点位覆盖度</c:v>
                </c:pt>
              </c:strCache>
            </c:strRef>
          </c:tx>
          <c:spPr>
            <a:blipFill>
              <a:blip xmlns:r="http://schemas.openxmlformats.org/officeDocument/2006/relationships" r:embed="rId3">
                <a:duotone>
                  <a:schemeClr val="accent2"/>
                  <a:prstClr val="white"/>
                </a:duotone>
              </a:blip>
              <a:stretch>
                <a:fillRect/>
              </a:stretch>
            </a:blipFill>
            <a:ln>
              <a:solidFill>
                <a:schemeClr val="bg1"/>
              </a:solidFill>
            </a:ln>
            <a:effectLst/>
          </c:spPr>
          <c:invertIfNegative val="0"/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85000"/>
                        <a:lumOff val="1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低</c:v>
                </c:pt>
                <c:pt idx="1">
                  <c:v>较低</c:v>
                </c:pt>
                <c:pt idx="2">
                  <c:v>中</c:v>
                </c:pt>
                <c:pt idx="3">
                  <c:v>较高</c:v>
                </c:pt>
                <c:pt idx="4">
                  <c:v>高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29</c:v>
                </c:pt>
                <c:pt idx="1">
                  <c:v>47</c:v>
                </c:pt>
                <c:pt idx="2">
                  <c:v>98</c:v>
                </c:pt>
                <c:pt idx="3">
                  <c:v>165</c:v>
                </c:pt>
                <c:pt idx="4">
                  <c:v>164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设备补给、维修点位覆盖度</c:v>
                </c:pt>
              </c:strCache>
            </c:strRef>
          </c:tx>
          <c:spPr>
            <a:blipFill>
              <a:blip xmlns:r="http://schemas.openxmlformats.org/officeDocument/2006/relationships" r:embed="rId3">
                <a:duotone>
                  <a:schemeClr val="accent3"/>
                  <a:prstClr val="white"/>
                </a:duotone>
              </a:blip>
              <a:stretch>
                <a:fillRect/>
              </a:stretch>
            </a:blipFill>
            <a:ln>
              <a:solidFill>
                <a:schemeClr val="bg1"/>
              </a:solidFill>
            </a:ln>
            <a:effectLst/>
          </c:spPr>
          <c:invertIfNegative val="0"/>
          <c:dPt>
            <c:idx val="0"/>
            <c:invertIfNegative val="0"/>
            <c:bubble3D val="0"/>
          </c:dPt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85000"/>
                        <a:lumOff val="1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低</c:v>
                </c:pt>
                <c:pt idx="1">
                  <c:v>较低</c:v>
                </c:pt>
                <c:pt idx="2">
                  <c:v>中</c:v>
                </c:pt>
                <c:pt idx="3">
                  <c:v>较高</c:v>
                </c:pt>
                <c:pt idx="4">
                  <c:v>高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  <c:pt idx="0">
                  <c:v>37</c:v>
                </c:pt>
                <c:pt idx="1">
                  <c:v>31</c:v>
                </c:pt>
                <c:pt idx="2">
                  <c:v>101</c:v>
                </c:pt>
                <c:pt idx="3">
                  <c:v>203</c:v>
                </c:pt>
                <c:pt idx="4">
                  <c:v>131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00"/>
        <c:overlap val="100"/>
        <c:axId val="912177209"/>
        <c:axId val="721115443"/>
      </c:barChart>
      <c:catAx>
        <c:axId val="912177209"/>
        <c:scaling>
          <c:orientation val="minMax"/>
        </c:scaling>
        <c:delete val="0"/>
        <c:axPos val="l"/>
        <c:majorGridlines>
          <c:spPr>
            <a:ln w="6350" cap="flat" cmpd="sng" algn="ctr">
              <a:solidFill>
                <a:schemeClr val="tx1">
                  <a:lumMod val="50000"/>
                  <a:lumOff val="50000"/>
                  <a:alpha val="2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chemeClr val="tx1">
                <a:lumMod val="50000"/>
                <a:lumOff val="50000"/>
                <a:alpha val="2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85000"/>
                    <a:lumOff val="1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721115443"/>
        <c:crosses val="autoZero"/>
        <c:auto val="1"/>
        <c:lblAlgn val="ctr"/>
        <c:lblOffset val="10"/>
        <c:noMultiLvlLbl val="0"/>
      </c:catAx>
      <c:valAx>
        <c:axId val="721115443"/>
        <c:scaling>
          <c:orientation val="minMax"/>
        </c:scaling>
        <c:delete val="0"/>
        <c:axPos val="b"/>
        <c:majorGridlines>
          <c:spPr>
            <a:ln w="6350" cap="flat" cmpd="sng" algn="ctr">
              <a:solidFill>
                <a:schemeClr val="tx1">
                  <a:lumMod val="50000"/>
                  <a:lumOff val="50000"/>
                  <a:alpha val="2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85000"/>
                    <a:lumOff val="1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91217720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85000"/>
                  <a:lumOff val="15000"/>
                </a:schemeClr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26e29598-823d-41e7-ae24-7b5ce6e081ea}"/>
      </c:ext>
    </c:extLst>
  </c:chart>
  <c:spPr>
    <a:solidFill>
      <a:schemeClr val="bg1"/>
    </a:solidFill>
    <a:ln w="6350" cap="flat" cmpd="sng" algn="ctr">
      <a:noFill/>
      <a:prstDash val="sysDash"/>
      <a:round/>
    </a:ln>
    <a:effectLst/>
  </c:spPr>
  <c:txPr>
    <a:bodyPr/>
    <a:lstStyle/>
    <a:p>
      <a:pPr>
        <a:defRPr lang="zh-CN" b="0">
          <a:solidFill>
            <a:schemeClr val="tx1">
              <a:lumMod val="85000"/>
              <a:lumOff val="1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06879929886065"/>
          <c:y val="0.0790678318768206"/>
          <c:w val="0.843930762489045"/>
          <c:h val="0.753516437786101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服务点位置顺路</c:v>
                </c:pt>
              </c:strCache>
            </c:strRef>
          </c:tx>
          <c:spPr>
            <a:gradFill flip="none" rotWithShape="1">
              <a:gsLst>
                <a:gs pos="0">
                  <a:schemeClr val="accent1"/>
                </a:gs>
                <a:gs pos="100000">
                  <a:schemeClr val="accent1">
                    <a:alpha val="50000"/>
                  </a:schemeClr>
                </a:gs>
              </a:gsLst>
              <a:lin ang="2700000" scaled="1"/>
              <a:tileRect/>
            </a:gradFill>
            <a:ln w="15875">
              <a:solidFill>
                <a:schemeClr val="accent1"/>
              </a:solidFill>
            </a:ln>
            <a:effectLst/>
            <a:sp3d contourW="15875"/>
          </c:spPr>
          <c:invertIfNegative val="0"/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clip" horzOverflow="clip" vert="horz" wrap="square" lIns="36576" tIns="18288" rIns="36576" bIns="18288" anchor="ctr" anchorCtr="1" forceAA="0">
                <a:spAutoFit/>
              </a:bodyPr>
              <a:lstStyle/>
              <a:p>
                <a:pPr>
                  <a:defRPr lang="zh-CN" sz="800" b="0" i="0" u="none" strike="noStrike" kern="1200" cap="none" spc="0" normalizeH="0" baseline="0">
                    <a:solidFill>
                      <a:schemeClr val="bg1"/>
                    </a:solidFill>
                    <a:uFill>
                      <a:solidFill>
                        <a:schemeClr val="bg1"/>
                      </a:solidFill>
                    </a:u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oundRec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完全不符合</c:v>
                </c:pt>
                <c:pt idx="1">
                  <c:v>比较不符合</c:v>
                </c:pt>
                <c:pt idx="2">
                  <c:v>一般符合</c:v>
                </c:pt>
                <c:pt idx="3">
                  <c:v>比较符合</c:v>
                </c:pt>
                <c:pt idx="4">
                  <c:v>完全符合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29</c:v>
                </c:pt>
                <c:pt idx="1">
                  <c:v>33</c:v>
                </c:pt>
                <c:pt idx="2">
                  <c:v>79</c:v>
                </c:pt>
                <c:pt idx="3">
                  <c:v>190</c:v>
                </c:pt>
                <c:pt idx="4">
                  <c:v>172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服务点标识清晰、位置明确</c:v>
                </c:pt>
              </c:strCache>
            </c:strRef>
          </c:tx>
          <c:spPr>
            <a:gradFill flip="none" rotWithShape="1">
              <a:gsLst>
                <a:gs pos="0">
                  <a:schemeClr val="accent2"/>
                </a:gs>
                <a:gs pos="100000">
                  <a:schemeClr val="accent2">
                    <a:alpha val="50000"/>
                  </a:schemeClr>
                </a:gs>
              </a:gsLst>
              <a:lin ang="2700000" scaled="1"/>
              <a:tileRect/>
            </a:gradFill>
            <a:ln w="15875">
              <a:solidFill>
                <a:schemeClr val="accent2"/>
              </a:solidFill>
            </a:ln>
            <a:effectLst/>
            <a:sp3d contourW="15875"/>
          </c:spPr>
          <c:invertIfNegative val="0"/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clip" horzOverflow="clip" vert="horz" wrap="square" lIns="36576" tIns="18288" rIns="36576" bIns="18288" anchor="ctr" anchorCtr="1" forceAA="0">
                <a:spAutoFit/>
              </a:bodyPr>
              <a:lstStyle/>
              <a:p>
                <a:pPr>
                  <a:defRPr lang="zh-CN" sz="800" b="0" i="0" u="none" strike="noStrike" kern="1200" cap="none" spc="0" normalizeH="0" baseline="0">
                    <a:solidFill>
                      <a:schemeClr val="bg1"/>
                    </a:solidFill>
                    <a:uFill>
                      <a:solidFill>
                        <a:schemeClr val="bg1"/>
                      </a:solidFill>
                    </a:u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oundRec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完全不符合</c:v>
                </c:pt>
                <c:pt idx="1">
                  <c:v>比较不符合</c:v>
                </c:pt>
                <c:pt idx="2">
                  <c:v>一般符合</c:v>
                </c:pt>
                <c:pt idx="3">
                  <c:v>比较符合</c:v>
                </c:pt>
                <c:pt idx="4">
                  <c:v>完全符合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25</c:v>
                </c:pt>
                <c:pt idx="1">
                  <c:v>38</c:v>
                </c:pt>
                <c:pt idx="2">
                  <c:v>77</c:v>
                </c:pt>
                <c:pt idx="3">
                  <c:v>188</c:v>
                </c:pt>
                <c:pt idx="4">
                  <c:v>175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使用时无需复杂登记</c:v>
                </c:pt>
              </c:strCache>
            </c:strRef>
          </c:tx>
          <c:spPr>
            <a:gradFill>
              <a:gsLst>
                <a:gs pos="0">
                  <a:schemeClr val="accent3"/>
                </a:gs>
                <a:gs pos="100000">
                  <a:schemeClr val="accent3">
                    <a:alpha val="50000"/>
                  </a:schemeClr>
                </a:gs>
              </a:gsLst>
              <a:lin ang="2700000" scaled="0"/>
            </a:gradFill>
            <a:ln w="15875">
              <a:solidFill>
                <a:schemeClr val="accent3"/>
              </a:solidFill>
            </a:ln>
            <a:effectLst/>
            <a:sp3d contourW="15875"/>
          </c:spPr>
          <c:invertIfNegative val="0"/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 forceAA="0"/>
              <a:lstStyle/>
              <a:p>
                <a:pPr>
                  <a:defRPr lang="zh-CN" sz="800" b="0" i="0" u="none" strike="noStrike" kern="1200" cap="none" spc="0" normalizeH="0" baseline="0">
                    <a:solidFill>
                      <a:schemeClr val="bg1"/>
                    </a:solidFill>
                    <a:uFill>
                      <a:solidFill>
                        <a:schemeClr val="bg1"/>
                      </a:solidFill>
                    </a:u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0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完全不符合</c:v>
                </c:pt>
                <c:pt idx="1">
                  <c:v>比较不符合</c:v>
                </c:pt>
                <c:pt idx="2">
                  <c:v>一般符合</c:v>
                </c:pt>
                <c:pt idx="3">
                  <c:v>比较符合</c:v>
                </c:pt>
                <c:pt idx="4">
                  <c:v>完全符合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  <c:pt idx="0">
                  <c:v>22</c:v>
                </c:pt>
                <c:pt idx="1">
                  <c:v>33</c:v>
                </c:pt>
                <c:pt idx="2">
                  <c:v>82</c:v>
                </c:pt>
                <c:pt idx="3">
                  <c:v>208</c:v>
                </c:pt>
                <c:pt idx="4">
                  <c:v>158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33"/>
        <c:overlap val="100"/>
        <c:axId val="861735447"/>
        <c:axId val="259857699"/>
      </c:barChart>
      <c:catAx>
        <c:axId val="8617354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50000"/>
                <a:lumOff val="50000"/>
                <a:alpha val="2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259857699"/>
        <c:crosses val="autoZero"/>
        <c:auto val="1"/>
        <c:lblAlgn val="ctr"/>
        <c:lblOffset val="100"/>
        <c:noMultiLvlLbl val="0"/>
      </c:catAx>
      <c:valAx>
        <c:axId val="2598576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8617354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 forceAA="0"/>
        <a:lstStyle/>
        <a:p>
          <a:pPr>
            <a:defRPr lang="zh-CN" sz="900" b="0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51b11ba5-41c8-4de6-8609-ac29c343c134}"/>
      </c:ext>
    </c:extLst>
  </c:chart>
  <c:spPr>
    <a:solidFill>
      <a:schemeClr val="bg1"/>
    </a:solidFill>
    <a:ln w="6350" cap="flat" cmpd="sng" algn="ctr">
      <a:noFill/>
      <a:round/>
    </a:ln>
    <a:effectLst/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0293098854249933"/>
          <c:y val="0.0486810551558753"/>
          <c:w val="0.941380229150013"/>
          <c:h val="0.71592326139088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读者愿意参与社区共建活动</c:v>
                </c:pt>
              </c:strCache>
            </c:strRef>
          </c:tx>
          <c:spPr>
            <a:blipFill rotWithShape="1">
              <a:blip xmlns:r="http://schemas.openxmlformats.org/officeDocument/2006/relationships" r:embed="rId3">
                <a:duotone>
                  <a:schemeClr val="accent1"/>
                  <a:prstClr val="white"/>
                </a:duotone>
              </a:blip>
              <a:stretch>
                <a:fillRect/>
              </a:stretch>
            </a:blipFill>
            <a:ln>
              <a:noFill/>
            </a:ln>
            <a:effectLst>
              <a:outerShdw blurRad="76200" dir="13500000" sy="23000" kx="1200000" algn="br" rotWithShape="0">
                <a:prstClr val="black">
                  <a:alpha val="20000"/>
                </a:prstClr>
              </a:outerShdw>
            </a:effectLst>
          </c:spPr>
          <c:invertIfNegative val="0"/>
          <c:dPt>
            <c:idx val="1"/>
            <c:invertIfNegative val="0"/>
            <c:bubble3D val="0"/>
            <c:spPr>
              <a:blipFill rotWithShape="1">
                <a:blip xmlns:r="http://schemas.openxmlformats.org/officeDocument/2006/relationships" r:embed="rId3">
                  <a:duotone>
                    <a:schemeClr val="accent1"/>
                    <a:prstClr val="white"/>
                  </a:duotone>
                </a:blip>
                <a:stretch>
                  <a:fillRect/>
                </a:stretch>
              </a:blipFill>
              <a:ln>
                <a:noFill/>
              </a:ln>
              <a:effectLst>
                <a:outerShdw blurRad="76200" dir="18900000" sy="23000" kx="-1200000" algn="bl" rotWithShape="0">
                  <a:prstClr val="black">
                    <a:alpha val="20000"/>
                  </a:prstClr>
                </a:outerShdw>
              </a:effectLst>
            </c:spPr>
          </c:dPt>
          <c:dLbls>
            <c:dLbl>
              <c:idx val="0"/>
              <c:layout/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separator>
</c:separator>
              <c:extLst>
                <c:ext xmlns:c15="http://schemas.microsoft.com/office/drawing/2012/chart" uri="{CE6537A1-D6FC-4f65-9D91-7224C49458BB}"/>
              </c:extLst>
            </c:dLbl>
            <c:dLbl>
              <c:idx val="1"/>
              <c:layout/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separator>
</c:separator>
              <c:extLs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 forceAA="0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完全不认同</c:v>
                </c:pt>
                <c:pt idx="1">
                  <c:v>比较不认同</c:v>
                </c:pt>
                <c:pt idx="2">
                  <c:v>一般认同</c:v>
                </c:pt>
                <c:pt idx="3">
                  <c:v>比较认同</c:v>
                </c:pt>
                <c:pt idx="4">
                  <c:v>完全认同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21</c:v>
                </c:pt>
                <c:pt idx="1">
                  <c:v>31</c:v>
                </c:pt>
                <c:pt idx="2">
                  <c:v>89</c:v>
                </c:pt>
                <c:pt idx="3">
                  <c:v>177</c:v>
                </c:pt>
                <c:pt idx="4">
                  <c:v>185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读者反馈问题能助力城市建设和工作环境</c:v>
                </c:pt>
              </c:strCache>
            </c:strRef>
          </c:tx>
          <c:spPr>
            <a:blipFill rotWithShape="1">
              <a:blip xmlns:r="http://schemas.openxmlformats.org/officeDocument/2006/relationships" r:embed="rId3">
                <a:duotone>
                  <a:schemeClr val="accent2"/>
                  <a:prstClr val="white"/>
                </a:duotone>
              </a:blip>
              <a:stretch>
                <a:fillRect/>
              </a:stretch>
            </a:blipFill>
            <a:ln>
              <a:noFill/>
            </a:ln>
            <a:effectLst>
              <a:outerShdw blurRad="76200" dir="13500000" sy="23000" kx="1200000" algn="br" rotWithShape="0">
                <a:prstClr val="black">
                  <a:alpha val="20000"/>
                </a:prstClr>
              </a:outerShdw>
            </a:effectLst>
          </c:spPr>
          <c:invertIfNegative val="0"/>
          <c:dPt>
            <c:idx val="1"/>
            <c:invertIfNegative val="0"/>
            <c:bubble3D val="0"/>
            <c:spPr>
              <a:blipFill rotWithShape="1">
                <a:blip xmlns:r="http://schemas.openxmlformats.org/officeDocument/2006/relationships" r:embed="rId3">
                  <a:duotone>
                    <a:schemeClr val="accent2"/>
                    <a:prstClr val="white"/>
                  </a:duotone>
                </a:blip>
                <a:stretch>
                  <a:fillRect/>
                </a:stretch>
              </a:blipFill>
              <a:ln>
                <a:noFill/>
              </a:ln>
              <a:effectLst>
                <a:outerShdw blurRad="76200" dir="18900000" sy="23000" kx="-1200000" algn="bl" rotWithShape="0">
                  <a:prstClr val="black">
                    <a:alpha val="20000"/>
                  </a:prstClr>
                </a:outerShdw>
              </a:effectLst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 forceAA="0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完全不认同</c:v>
                </c:pt>
                <c:pt idx="1">
                  <c:v>比较不认同</c:v>
                </c:pt>
                <c:pt idx="2">
                  <c:v>一般认同</c:v>
                </c:pt>
                <c:pt idx="3">
                  <c:v>比较认同</c:v>
                </c:pt>
                <c:pt idx="4">
                  <c:v>完全认同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29</c:v>
                </c:pt>
                <c:pt idx="1">
                  <c:v>29</c:v>
                </c:pt>
                <c:pt idx="2">
                  <c:v>90</c:v>
                </c:pt>
                <c:pt idx="3">
                  <c:v>188</c:v>
                </c:pt>
                <c:pt idx="4">
                  <c:v>167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00"/>
        <c:overlap val="-10"/>
        <c:axId val="697184752"/>
        <c:axId val="862668366"/>
      </c:barChart>
      <c:catAx>
        <c:axId val="69718475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862668366"/>
        <c:crosses val="autoZero"/>
        <c:auto val="1"/>
        <c:lblAlgn val="ctr"/>
        <c:lblOffset val="100"/>
        <c:noMultiLvlLbl val="0"/>
      </c:catAx>
      <c:valAx>
        <c:axId val="862668366"/>
        <c:scaling>
          <c:orientation val="minMax"/>
        </c:scaling>
        <c:delete val="1"/>
        <c:axPos val="l"/>
        <c:numFmt formatCode="General" sourceLinked="1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6971847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 forceAA="0"/>
        <a:lstStyle/>
        <a:p>
          <a:pPr>
            <a:defRPr lang="zh-CN" sz="900" b="0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b83d569a-d6b1-4c3a-9dfa-20d84ada8143}"/>
      </c:ext>
    </c:extLst>
  </c:chart>
  <c:spPr>
    <a:solidFill>
      <a:schemeClr val="bg1"/>
    </a:solidFill>
    <a:ln w="6350" cap="flat" cmpd="sng" algn="ctr">
      <a:noFill/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 algn="just">
        <a:defRPr lang="zh-CN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bar"/>
        <c:grouping val="percent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愿意顺手反馈公共问题</c:v>
                </c:pt>
              </c:strCache>
            </c:strRef>
          </c:tx>
          <c:spPr>
            <a:solidFill>
              <a:schemeClr val="accent1">
                <a:alpha val="40000"/>
              </a:schemeClr>
            </a:solidFill>
            <a:ln>
              <a:noFill/>
            </a:ln>
            <a:effectLst/>
          </c:spPr>
          <c:invertIfNegative val="0"/>
          <c:dLbls>
            <c:spPr>
              <a:solidFill>
                <a:schemeClr val="accent1"/>
              </a:solidFill>
              <a:ln>
                <a:solidFill>
                  <a:schemeClr val="bg1"/>
                </a:solidFill>
              </a:ln>
              <a:effectLst/>
            </c:spPr>
            <c:txPr>
              <a:bodyPr rot="0" spcFirstLastPara="0" vertOverflow="clip" horzOverflow="clip" vert="horz" wrap="square" lIns="71755" tIns="36195" rIns="71755" bIns="36195" anchor="ctr" anchorCtr="1" forceAA="0">
                <a:spAutoFit/>
              </a:bodyPr>
              <a:lstStyle/>
              <a:p>
                <a:pPr>
                  <a:defRPr lang="zh-CN" sz="1000" b="0" i="0" u="none" strike="noStrike" kern="1200" baseline="0">
                    <a:solidFill>
                      <a:schemeClr val="bg1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oundRec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完全不认同</c:v>
                </c:pt>
                <c:pt idx="1">
                  <c:v>比较不认同</c:v>
                </c:pt>
                <c:pt idx="2">
                  <c:v>一般认同</c:v>
                </c:pt>
                <c:pt idx="3">
                  <c:v>比较认同</c:v>
                </c:pt>
                <c:pt idx="4">
                  <c:v>完全认同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20</c:v>
                </c:pt>
                <c:pt idx="1">
                  <c:v>40</c:v>
                </c:pt>
                <c:pt idx="2">
                  <c:v>116</c:v>
                </c:pt>
                <c:pt idx="3">
                  <c:v>175</c:v>
                </c:pt>
                <c:pt idx="4">
                  <c:v>152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愿意在不耽误时间时参与社区社区服务</c:v>
                </c:pt>
              </c:strCache>
            </c:strRef>
          </c:tx>
          <c:spPr>
            <a:solidFill>
              <a:schemeClr val="accent2">
                <a:alpha val="40000"/>
              </a:schemeClr>
            </a:solidFill>
            <a:ln>
              <a:noFill/>
            </a:ln>
            <a:effectLst/>
          </c:spPr>
          <c:invertIfNegative val="0"/>
          <c:dLbls>
            <c:spPr>
              <a:solidFill>
                <a:schemeClr val="accent2"/>
              </a:solidFill>
              <a:ln>
                <a:solidFill>
                  <a:schemeClr val="bg1"/>
                </a:solidFill>
              </a:ln>
              <a:effectLst/>
            </c:spPr>
            <c:txPr>
              <a:bodyPr rot="0" spcFirstLastPara="0" vertOverflow="clip" horzOverflow="clip" vert="horz" wrap="square" lIns="71755" tIns="36195" rIns="71755" bIns="36195" anchor="ctr" anchorCtr="1" forceAA="0">
                <a:spAutoFit/>
              </a:bodyPr>
              <a:lstStyle/>
              <a:p>
                <a:pPr>
                  <a:defRPr lang="zh-CN" sz="1000" b="0" i="0" u="none" strike="noStrike" kern="1200" baseline="0">
                    <a:solidFill>
                      <a:schemeClr val="bg1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oundRec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完全不认同</c:v>
                </c:pt>
                <c:pt idx="1">
                  <c:v>比较不认同</c:v>
                </c:pt>
                <c:pt idx="2">
                  <c:v>一般认同</c:v>
                </c:pt>
                <c:pt idx="3">
                  <c:v>比较认同</c:v>
                </c:pt>
                <c:pt idx="4">
                  <c:v>完全认同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26</c:v>
                </c:pt>
                <c:pt idx="1">
                  <c:v>30</c:v>
                </c:pt>
                <c:pt idx="2">
                  <c:v>79</c:v>
                </c:pt>
                <c:pt idx="3">
                  <c:v>194</c:v>
                </c:pt>
                <c:pt idx="4">
                  <c:v>174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愿意在得到反馈后持续参与阅读共创</c:v>
                </c:pt>
              </c:strCache>
            </c:strRef>
          </c:tx>
          <c:spPr>
            <a:solidFill>
              <a:schemeClr val="accent3">
                <a:alpha val="40000"/>
              </a:schemeClr>
            </a:solidFill>
            <a:ln>
              <a:noFill/>
            </a:ln>
            <a:effectLst/>
          </c:spPr>
          <c:invertIfNegative val="0"/>
          <c:dLbls>
            <c:spPr>
              <a:solidFill>
                <a:schemeClr val="accent3"/>
              </a:solidFill>
              <a:ln>
                <a:solidFill>
                  <a:schemeClr val="bg1"/>
                </a:solidFill>
              </a:ln>
              <a:effectLst/>
            </c:spPr>
            <c:txPr>
              <a:bodyPr rot="0" spcFirstLastPara="0" vertOverflow="clip" horzOverflow="clip" vert="horz" wrap="square" lIns="71755" tIns="36195" rIns="71755" bIns="36195" anchor="ctr" anchorCtr="1" forceAA="0">
                <a:spAutoFit/>
              </a:bodyPr>
              <a:lstStyle/>
              <a:p>
                <a:pPr>
                  <a:defRPr lang="zh-CN" sz="1000" b="0" i="0" u="none" strike="noStrike" kern="1200" baseline="0">
                    <a:solidFill>
                      <a:schemeClr val="bg1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oundRec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完全不认同</c:v>
                </c:pt>
                <c:pt idx="1">
                  <c:v>比较不认同</c:v>
                </c:pt>
                <c:pt idx="2">
                  <c:v>一般认同</c:v>
                </c:pt>
                <c:pt idx="3">
                  <c:v>比较认同</c:v>
                </c:pt>
                <c:pt idx="4">
                  <c:v>完全认同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  <c:pt idx="0">
                  <c:v>37</c:v>
                </c:pt>
                <c:pt idx="1">
                  <c:v>35</c:v>
                </c:pt>
                <c:pt idx="2">
                  <c:v>94</c:v>
                </c:pt>
                <c:pt idx="3">
                  <c:v>189</c:v>
                </c:pt>
                <c:pt idx="4">
                  <c:v>148</c:v>
                </c:pt>
              </c:numCache>
            </c:numRef>
          </c:val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小福利会提高参与意愿</c:v>
                </c:pt>
              </c:strCache>
            </c:strRef>
          </c:tx>
          <c:spPr>
            <a:solidFill>
              <a:schemeClr val="accent4">
                <a:alpha val="40000"/>
              </a:schemeClr>
            </a:solidFill>
            <a:ln>
              <a:noFill/>
            </a:ln>
            <a:effectLst/>
          </c:spPr>
          <c:invertIfNegative val="0"/>
          <c:dLbls>
            <c:spPr>
              <a:solidFill>
                <a:schemeClr val="accent4"/>
              </a:solidFill>
              <a:ln>
                <a:solidFill>
                  <a:schemeClr val="bg1"/>
                </a:solidFill>
              </a:ln>
              <a:effectLst/>
            </c:spPr>
            <c:txPr>
              <a:bodyPr rot="0" spcFirstLastPara="0" vertOverflow="clip" horzOverflow="clip" vert="horz" wrap="square" lIns="71755" tIns="36195" rIns="71755" bIns="36195" anchor="ctr" anchorCtr="1" forceAA="0">
                <a:spAutoFit/>
              </a:bodyPr>
              <a:lstStyle/>
              <a:p>
                <a:pPr>
                  <a:defRPr lang="zh-CN" sz="1000" b="0" i="0" u="none" strike="noStrike" kern="1200" baseline="0">
                    <a:ln>
                      <a:noFill/>
                    </a:ln>
                    <a:solidFill>
                      <a:schemeClr val="bg1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oundRec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完全不认同</c:v>
                </c:pt>
                <c:pt idx="1">
                  <c:v>比较不认同</c:v>
                </c:pt>
                <c:pt idx="2">
                  <c:v>一般认同</c:v>
                </c:pt>
                <c:pt idx="3">
                  <c:v>比较认同</c:v>
                </c:pt>
                <c:pt idx="4">
                  <c:v>完全认同</c:v>
                </c:pt>
              </c:strCache>
            </c:strRef>
          </c:cat>
          <c:val>
            <c:numRef>
              <c:f>Sheet1!$E$2:$E$6</c:f>
              <c:numCache>
                <c:formatCode>General</c:formatCode>
                <c:ptCount val="5"/>
                <c:pt idx="0">
                  <c:v>24</c:v>
                </c:pt>
                <c:pt idx="1">
                  <c:v>33</c:v>
                </c:pt>
                <c:pt idx="2">
                  <c:v>104</c:v>
                </c:pt>
                <c:pt idx="3">
                  <c:v>178</c:v>
                </c:pt>
                <c:pt idx="4">
                  <c:v>164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500"/>
        <c:overlap val="100"/>
        <c:axId val="853114154"/>
        <c:axId val="206933456"/>
      </c:barChart>
      <c:catAx>
        <c:axId val="85311415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50000"/>
                  <a:lumOff val="50000"/>
                  <a:alpha val="2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chemeClr val="tx1">
                <a:lumMod val="50000"/>
                <a:lumOff val="50000"/>
                <a:alpha val="2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206933456"/>
        <c:crosses val="autoZero"/>
        <c:auto val="1"/>
        <c:lblAlgn val="ctr"/>
        <c:lblOffset val="100"/>
        <c:noMultiLvlLbl val="0"/>
      </c:catAx>
      <c:valAx>
        <c:axId val="206933456"/>
        <c:scaling>
          <c:orientation val="minMax"/>
        </c:scaling>
        <c:delete val="1"/>
        <c:axPos val="b"/>
        <c:majorGridlines>
          <c:spPr>
            <a:ln w="9525" cap="flat" cmpd="sng" algn="ctr">
              <a:solidFill>
                <a:schemeClr val="tx1">
                  <a:lumMod val="50000"/>
                  <a:lumOff val="50000"/>
                  <a:alpha val="20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853114154"/>
        <c:crosses val="autoZero"/>
        <c:crossBetween val="between"/>
      </c:valAx>
      <c:spPr>
        <a:noFill/>
        <a:ln w="6350">
          <a:solidFill>
            <a:schemeClr val="tx1">
              <a:lumMod val="50000"/>
              <a:lumOff val="50000"/>
              <a:alpha val="25000"/>
            </a:schemeClr>
          </a:solidFill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 forceAA="0"/>
        <a:lstStyle/>
        <a:p>
          <a:pPr>
            <a:defRPr lang="zh-CN"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694f6b3c-2e33-46d7-a2a9-328c079dcaf7}"/>
      </c:ext>
    </c:extLst>
  </c:chart>
  <c:spPr>
    <a:solidFill>
      <a:schemeClr val="bg1"/>
    </a:solidFill>
    <a:ln w="6350" cap="flat" cmpd="sng" algn="ctr">
      <a:noFill/>
      <a:round/>
    </a:ln>
    <a:effectLst/>
  </c:spPr>
  <c:txPr>
    <a:bodyPr/>
    <a:lstStyle/>
    <a:p>
      <a:pPr>
        <a:defRPr lang="zh-CN"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noFill/>
            <a:ln>
              <a:noFill/>
            </a:ln>
            <a:effectLst/>
          </c:spPr>
          <c:invertIfNegative val="0"/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 forceAA="0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errBars>
            <c:errBarType val="minus"/>
            <c:errValType val="percentage"/>
            <c:noEndCap val="1"/>
            <c:val val="100"/>
            <c:spPr>
              <a:noFill/>
              <a:ln w="63500" cap="flat" cmpd="sng" algn="ctr">
                <a:solidFill>
                  <a:schemeClr val="accent1"/>
                </a:solidFill>
                <a:round/>
                <a:headEnd type="oval"/>
              </a:ln>
              <a:effectLst/>
            </c:spPr>
          </c:errBars>
          <c:cat>
            <c:strRef>
              <c:f>{"反馈过城市问题（如安全隐患、环境脏乱、设施损坏等）","参与过社区 / 商圈的简易社区服务（如秩序维护、助老送餐等）","协助收集 / 反馈过居民 / 合作书店的相关诉求（社情民意）","协助收集","反馈过居民","合作书店的相关诉求（社情民意）","以上均无"}</c:f>
              <c:strCache>
                <c:ptCount val="7"/>
                <c:pt idx="0">
                  <c:v>反馈过城市问题（如安全隐患、环境脏乱、设施损坏等）</c:v>
                </c:pt>
                <c:pt idx="1">
                  <c:v>参与过社区 / 商圈的简易社区服务（如秩序维护、助老送餐等）</c:v>
                </c:pt>
                <c:pt idx="2">
                  <c:v>协助收集 / 反馈过居民 / 合作书店的相关诉求（社情民意）</c:v>
                </c:pt>
                <c:pt idx="3">
                  <c:v>协助收集</c:v>
                </c:pt>
                <c:pt idx="4">
                  <c:v>反馈过居民</c:v>
                </c:pt>
                <c:pt idx="5">
                  <c:v>合作书店的相关诉求（社情民意）</c:v>
                </c:pt>
                <c:pt idx="6">
                  <c:v>以上均无</c:v>
                </c:pt>
              </c:strCache>
            </c:strRef>
          </c:cat>
          <c:val>
            <c:numRef>
              <c:f>{153,161,92,101,139,184,37}</c:f>
              <c:numCache>
                <c:formatCode>General</c:formatCode>
                <c:ptCount val="7"/>
                <c:pt idx="0">
                  <c:v>153</c:v>
                </c:pt>
                <c:pt idx="1">
                  <c:v>161</c:v>
                </c:pt>
                <c:pt idx="2">
                  <c:v>92</c:v>
                </c:pt>
                <c:pt idx="3">
                  <c:v>101</c:v>
                </c:pt>
                <c:pt idx="4">
                  <c:v>139</c:v>
                </c:pt>
                <c:pt idx="5">
                  <c:v>184</c:v>
                </c:pt>
                <c:pt idx="6">
                  <c:v>37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0"/>
        <c:axId val="588400416"/>
        <c:axId val="585612464"/>
      </c:barChart>
      <c:catAx>
        <c:axId val="5884004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chemeClr val="tx1">
                <a:lumMod val="50000"/>
                <a:lumOff val="50000"/>
                <a:alpha val="2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8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585612464"/>
        <c:crosses val="autoZero"/>
        <c:auto val="1"/>
        <c:lblAlgn val="ctr"/>
        <c:lblOffset val="100"/>
        <c:noMultiLvlLbl val="0"/>
      </c:catAx>
      <c:valAx>
        <c:axId val="585612464"/>
        <c:scaling>
          <c:orientation val="minMax"/>
        </c:scaling>
        <c:delete val="1"/>
        <c:axPos val="l"/>
        <c:numFmt formatCode="General" sourceLinked="1"/>
        <c:majorTickMark val="out"/>
        <c:minorTickMark val="none"/>
        <c:tickLblPos val="nextTo"/>
        <c:txPr>
          <a:bodyPr rot="-60000000" spcFirstLastPara="0" vertOverflow="ellipsis" vert="horz" wrap="square" anchor="ctr" anchorCtr="1" forceAA="0"/>
          <a:lstStyle/>
          <a:p>
            <a:pPr>
              <a:defRPr lang="zh-CN" sz="10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5884004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8aa4d494-a5ab-4f0e-8385-6a0f348fad47}"/>
      </c:ext>
    </c:extLst>
  </c:chart>
  <c:spPr>
    <a:solidFill>
      <a:schemeClr val="bg1"/>
    </a:solidFill>
    <a:ln w="6350" cap="flat" cmpd="sng" algn="ctr">
      <a:noFill/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1000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radarChart>
        <c:radarStyle val="filled"/>
        <c:varyColors val="0"/>
        <c:ser>
          <c:idx val="0"/>
          <c:order val="0"/>
          <c:spPr>
            <a:solidFill>
              <a:schemeClr val="accent2">
                <a:lumMod val="60000"/>
                <a:lumOff val="40000"/>
              </a:schemeClr>
            </a:solidFill>
            <a:ln>
              <a:noFill/>
            </a:ln>
            <a:effectLst>
              <a:softEdge rad="31750"/>
            </a:effectLst>
          </c:spPr>
          <c:marker>
            <c:symbol val="none"/>
          </c:marker>
          <c:dLbls>
            <c:delete val="1"/>
          </c:dLbls>
          <c:cat>
            <c:strRef>
              <c:f>{"到访时间紧张，无多余时间参与","担心耽误接单，影响个人收入","不知道具体的参与渠道和方式","认为参与后无实际效果，只是形式","担心参与后带来额外麻烦或纠纷","对治理工作内容不了解","其他"}</c:f>
              <c:strCache>
                <c:ptCount val="7"/>
                <c:pt idx="0">
                  <c:v>到访时间紧张，无多余时间参与</c:v>
                </c:pt>
                <c:pt idx="1">
                  <c:v>担心耽误接单，影响个人收入</c:v>
                </c:pt>
                <c:pt idx="2">
                  <c:v>不知道具体的参与渠道和方式</c:v>
                </c:pt>
                <c:pt idx="3">
                  <c:v>认为参与后无实际效果，只是形式</c:v>
                </c:pt>
                <c:pt idx="4">
                  <c:v>担心参与后带来额外麻烦或纠纷</c:v>
                </c:pt>
                <c:pt idx="5">
                  <c:v>对治理工作内容不了解</c:v>
                </c:pt>
                <c:pt idx="6">
                  <c:v>其他</c:v>
                </c:pt>
              </c:strCache>
            </c:strRef>
          </c:cat>
          <c:val>
            <c:numRef>
              <c:f>{16,5,25,33,23,22,22}</c:f>
              <c:numCache>
                <c:formatCode>General</c:formatCode>
                <c:ptCount val="7"/>
                <c:pt idx="0">
                  <c:v>16</c:v>
                </c:pt>
                <c:pt idx="1">
                  <c:v>5</c:v>
                </c:pt>
                <c:pt idx="2">
                  <c:v>25</c:v>
                </c:pt>
                <c:pt idx="3">
                  <c:v>33</c:v>
                </c:pt>
                <c:pt idx="4">
                  <c:v>23</c:v>
                </c:pt>
                <c:pt idx="5">
                  <c:v>22</c:v>
                </c:pt>
                <c:pt idx="6">
                  <c:v>22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88400416"/>
        <c:axId val="585612464"/>
      </c:radarChart>
      <c:catAx>
        <c:axId val="5884004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585612464"/>
        <c:crosses val="autoZero"/>
        <c:auto val="1"/>
        <c:lblAlgn val="ctr"/>
        <c:lblOffset val="100"/>
        <c:noMultiLvlLbl val="0"/>
      </c:catAx>
      <c:valAx>
        <c:axId val="5856124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5884004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454e6807-a1d0-4dec-8bc3-c797d0c708b4}"/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pieChart>
        <c:varyColors val="1"/>
        <c:ser>
          <c:idx val="0"/>
          <c:order val="0"/>
          <c:spPr>
            <a:blipFill>
              <a:blip xmlns:r="http://schemas.openxmlformats.org/officeDocument/2006/relationships" r:embed="rId3">
                <a:duotone>
                  <a:schemeClr val="accent1"/>
                  <a:prstClr val="white"/>
                </a:duotone>
              </a:blip>
              <a:stretch>
                <a:fillRect/>
              </a:stretch>
            </a:blipFill>
            <a:ln w="19050">
              <a:solidFill>
                <a:schemeClr val="bg1"/>
              </a:solidFill>
            </a:ln>
            <a:sp3d contourW="19050"/>
          </c:spPr>
          <c:explosion val="1"/>
          <c:dPt>
            <c:idx val="0"/>
            <c:bubble3D val="0"/>
            <c:spPr>
              <a:blipFill rotWithShape="1">
                <a:blip xmlns:r="http://schemas.openxmlformats.org/officeDocument/2006/relationships" r:embed="rId3">
                  <a:duotone>
                    <a:schemeClr val="accent1"/>
                    <a:prstClr val="white"/>
                  </a:duotone>
                </a:blip>
                <a:stretch>
                  <a:fillRect/>
                </a:stretch>
              </a:blipFill>
              <a:ln w="19050">
                <a:solidFill>
                  <a:schemeClr val="bg1"/>
                </a:solidFill>
              </a:ln>
              <a:effectLst/>
              <a:sp3d contourW="19050"/>
            </c:spPr>
          </c:dPt>
          <c:dPt>
            <c:idx val="1"/>
            <c:bubble3D val="0"/>
            <c:spPr>
              <a:blipFill rotWithShape="1">
                <a:blip xmlns:r="http://schemas.openxmlformats.org/officeDocument/2006/relationships" r:embed="rId3">
                  <a:duotone>
                    <a:schemeClr val="accent2"/>
                    <a:prstClr val="white"/>
                  </a:duotone>
                </a:blip>
                <a:stretch>
                  <a:fillRect/>
                </a:stretch>
              </a:blipFill>
              <a:ln w="19050">
                <a:solidFill>
                  <a:schemeClr val="bg1"/>
                </a:solidFill>
              </a:ln>
              <a:effectLst/>
              <a:sp3d contourW="19050"/>
            </c:spPr>
          </c:dPt>
          <c:dPt>
            <c:idx val="2"/>
            <c:bubble3D val="0"/>
            <c:spPr>
              <a:blipFill rotWithShape="1">
                <a:blip xmlns:r="http://schemas.openxmlformats.org/officeDocument/2006/relationships" r:embed="rId3">
                  <a:duotone>
                    <a:schemeClr val="accent3"/>
                    <a:prstClr val="white"/>
                  </a:duotone>
                </a:blip>
                <a:stretch>
                  <a:fillRect/>
                </a:stretch>
              </a:blipFill>
              <a:ln w="19050">
                <a:solidFill>
                  <a:schemeClr val="bg1"/>
                </a:solidFill>
              </a:ln>
              <a:effectLst/>
              <a:sp3d contourW="19050"/>
            </c:spPr>
          </c:dPt>
          <c:dPt>
            <c:idx val="3"/>
            <c:bubble3D val="0"/>
            <c:spPr>
              <a:blipFill rotWithShape="1">
                <a:blip xmlns:r="http://schemas.openxmlformats.org/officeDocument/2006/relationships" r:embed="rId3">
                  <a:duotone>
                    <a:schemeClr val="accent4"/>
                    <a:prstClr val="white"/>
                  </a:duotone>
                </a:blip>
                <a:stretch>
                  <a:fillRect/>
                </a:stretch>
              </a:blipFill>
              <a:ln w="19050">
                <a:solidFill>
                  <a:schemeClr val="bg1"/>
                </a:solidFill>
              </a:ln>
              <a:effectLst/>
              <a:sp3d contourW="19050"/>
            </c:spPr>
          </c:dPt>
          <c:dPt>
            <c:idx val="4"/>
            <c:bubble3D val="0"/>
            <c:spPr>
              <a:blipFill rotWithShape="1">
                <a:blip xmlns:r="http://schemas.openxmlformats.org/officeDocument/2006/relationships" r:embed="rId3">
                  <a:duotone>
                    <a:schemeClr val="accent5"/>
                    <a:prstClr val="white"/>
                  </a:duotone>
                </a:blip>
                <a:stretch>
                  <a:fillRect/>
                </a:stretch>
              </a:blipFill>
              <a:ln w="19050">
                <a:solidFill>
                  <a:schemeClr val="bg1"/>
                </a:solidFill>
              </a:ln>
              <a:effectLst/>
              <a:sp3d contourW="19050"/>
            </c:spPr>
          </c:dPt>
          <c:dPt>
            <c:idx val="5"/>
            <c:bubble3D val="0"/>
            <c:spPr>
              <a:blipFill rotWithShape="1">
                <a:blip xmlns:r="http://schemas.openxmlformats.org/officeDocument/2006/relationships" r:embed="rId3">
                  <a:duotone>
                    <a:schemeClr val="accent6"/>
                    <a:prstClr val="white"/>
                  </a:duotone>
                </a:blip>
                <a:stretch>
                  <a:fillRect/>
                </a:stretch>
              </a:blipFill>
              <a:ln w="19050">
                <a:solidFill>
                  <a:schemeClr val="bg1"/>
                </a:solidFill>
              </a:ln>
              <a:effectLst/>
              <a:sp3d contourW="19050"/>
            </c:spPr>
          </c:dPt>
          <c:dPt>
            <c:idx val="6"/>
            <c:bubble3D val="0"/>
            <c:spPr>
              <a:blipFill>
                <a:blip xmlns:r="http://schemas.openxmlformats.org/officeDocument/2006/relationships" r:embed="rId3">
                  <a:duotone>
                    <a:schemeClr val="accent1">
                      <a:lumMod val="75000"/>
                    </a:schemeClr>
                    <a:prstClr val="white"/>
                  </a:duotone>
                </a:blip>
                <a:stretch>
                  <a:fillRect/>
                </a:stretch>
              </a:blipFill>
              <a:ln w="19050">
                <a:solidFill>
                  <a:schemeClr val="bg1"/>
                </a:solidFill>
              </a:ln>
              <a:effectLst/>
              <a:sp3d contourW="19050"/>
            </c:spPr>
          </c:dPt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 forceAA="0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eparator>
</c:separator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{"社区主入口 / 阅读服务核心通道旁","商圈中心 / 阅读合作书店集中区","写字楼集群 / 办公区周边","学校周边 / 读者高频取送点","交通枢纽 / 读者转单等待区","其他","序号"}</c:f>
              <c:strCache>
                <c:ptCount val="7"/>
                <c:pt idx="0">
                  <c:v>社区主入口 / 阅读服务核心通道旁</c:v>
                </c:pt>
                <c:pt idx="1">
                  <c:v>商圈中心 / 阅读合作书店集中区</c:v>
                </c:pt>
                <c:pt idx="2">
                  <c:v>写字楼集群 / 办公区周边</c:v>
                </c:pt>
                <c:pt idx="3">
                  <c:v>学校周边 / 读者高频取送点</c:v>
                </c:pt>
                <c:pt idx="4">
                  <c:v>交通枢纽 / 读者转单等待区</c:v>
                </c:pt>
                <c:pt idx="5">
                  <c:v>其他</c:v>
                </c:pt>
                <c:pt idx="6">
                  <c:v>序号</c:v>
                </c:pt>
              </c:strCache>
            </c:strRef>
          </c:cat>
          <c:val>
            <c:numRef>
              <c:f>{165,275,152,288,134,43,1}</c:f>
              <c:numCache>
                <c:formatCode>General</c:formatCode>
                <c:ptCount val="7"/>
                <c:pt idx="0">
                  <c:v>165</c:v>
                </c:pt>
                <c:pt idx="1">
                  <c:v>275</c:v>
                </c:pt>
                <c:pt idx="2">
                  <c:v>152</c:v>
                </c:pt>
                <c:pt idx="3">
                  <c:v>288</c:v>
                </c:pt>
                <c:pt idx="4">
                  <c:v>134</c:v>
                </c:pt>
                <c:pt idx="5">
                  <c:v>43</c:v>
                </c:pt>
                <c:pt idx="6">
                  <c:v>1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5"/>
      </c:pieChart>
      <c:spPr>
        <a:noFill/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c79d858f-06b9-499c-af86-a8911fe1fc3a}"/>
      </c:ext>
    </c:extLst>
  </c:chart>
  <c:spPr>
    <a:solidFill>
      <a:schemeClr val="bg1"/>
    </a:solidFill>
    <a:ln w="6350" cap="flat" cmpd="sng" algn="ctr">
      <a:noFill/>
      <a:round/>
    </a:ln>
    <a:effectLst/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doughnutChart>
        <c:varyColors val="1"/>
        <c:ser>
          <c:idx val="0"/>
          <c:order val="0"/>
          <c:spPr>
            <a:solidFill>
              <a:schemeClr val="accent1"/>
            </a:solidFill>
            <a:ln w="19050">
              <a:solidFill>
                <a:schemeClr val="bg1"/>
              </a:solidFill>
            </a:ln>
            <a:effectLst>
              <a:outerShdw blurRad="50800" dist="38100" dir="2700000" algn="tl" rotWithShape="0">
                <a:schemeClr val="bg1">
                  <a:lumMod val="75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bg1"/>
                </a:solidFill>
              </a:ln>
              <a:effectLst>
                <a:outerShdw blurRad="50800" dist="38100" dir="2700000" algn="tl" rotWithShape="0">
                  <a:schemeClr val="bg1">
                    <a:lumMod val="75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bg1"/>
                </a:solidFill>
              </a:ln>
              <a:effectLst>
                <a:outerShdw blurRad="50800" dist="38100" dir="2700000" algn="tl" rotWithShape="0">
                  <a:schemeClr val="bg1">
                    <a:lumMod val="75000"/>
                    <a:alpha val="40000"/>
                  </a:schemeClr>
                </a:outerShdw>
              </a:effectLst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bg1"/>
                </a:solidFill>
              </a:ln>
              <a:effectLst>
                <a:outerShdw blurRad="50800" dist="38100" dir="2700000" algn="tl" rotWithShape="0">
                  <a:schemeClr val="bg1">
                    <a:lumMod val="75000"/>
                    <a:alpha val="40000"/>
                  </a:schemeClr>
                </a:outerShdw>
              </a:effectLst>
            </c:spPr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bg1"/>
                </a:solidFill>
              </a:ln>
              <a:effectLst>
                <a:outerShdw blurRad="50800" dist="38100" dir="2700000" algn="tl" rotWithShape="0">
                  <a:schemeClr val="bg1">
                    <a:lumMod val="75000"/>
                    <a:alpha val="40000"/>
                  </a:schemeClr>
                </a:outerShdw>
              </a:effectLst>
            </c:spPr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bg1"/>
                </a:solidFill>
              </a:ln>
              <a:effectLst>
                <a:outerShdw blurRad="50800" dist="38100" dir="2700000" algn="tl" rotWithShape="0">
                  <a:schemeClr val="bg1">
                    <a:lumMod val="75000"/>
                    <a:alpha val="40000"/>
                  </a:schemeClr>
                </a:outerShdw>
              </a:effectLst>
            </c:spPr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bg1"/>
                </a:solidFill>
              </a:ln>
              <a:effectLst>
                <a:outerShdw blurRad="50800" dist="38100" dir="2700000" algn="tl" rotWithShape="0">
                  <a:schemeClr val="bg1">
                    <a:lumMod val="75000"/>
                    <a:alpha val="40000"/>
                  </a:schemeClr>
                </a:outerShdw>
              </a:effectLst>
            </c:spPr>
          </c:dPt>
          <c:dLbls>
            <c:dLbl>
              <c:idx val="0"/>
              <c:layout/>
              <c:numFmt formatCode="General" sourceLinked="1"/>
              <c:spPr>
                <a:solidFill>
                  <a:schemeClr val="bg1"/>
                </a:solidFill>
                <a:ln w="25400">
                  <a:solidFill>
                    <a:schemeClr val="accent1"/>
                  </a:solidFill>
                </a:ln>
                <a:effectLst/>
              </c:spPr>
              <c:txPr>
                <a:bodyPr rot="0" spcFirstLastPara="0" vertOverflow="ellipsis" vert="horz" wrap="square" lIns="38100" tIns="19050" rIns="38100" bIns="19050" anchor="ctr" anchorCtr="1" forceAA="0"/>
                <a:lstStyle/>
                <a:p>
                  <a:pPr>
                    <a:defRPr lang="zh-CN"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微软雅黑" panose="020B0503020204020204" charset="-122"/>
                      <a:ea typeface="微软雅黑" panose="020B0503020204020204" charset="-122"/>
                      <a:cs typeface="+mn-cs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1"/>
              <c:layout/>
              <c:numFmt formatCode="General" sourceLinked="1"/>
              <c:spPr>
                <a:solidFill>
                  <a:schemeClr val="bg1"/>
                </a:solidFill>
                <a:ln w="25400">
                  <a:solidFill>
                    <a:schemeClr val="accent2"/>
                  </a:solidFill>
                </a:ln>
                <a:effectLst/>
              </c:spPr>
              <c:txPr>
                <a:bodyPr rot="0" spcFirstLastPara="0" vertOverflow="ellipsis" vert="horz" wrap="square" lIns="38100" tIns="19050" rIns="38100" bIns="19050" anchor="ctr" anchorCtr="1" forceAA="0"/>
                <a:lstStyle/>
                <a:p>
                  <a:pPr>
                    <a:defRPr lang="zh-CN"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微软雅黑" panose="020B0503020204020204" charset="-122"/>
                      <a:ea typeface="微软雅黑" panose="020B0503020204020204" charset="-122"/>
                      <a:cs typeface="+mn-cs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2"/>
              <c:layout/>
              <c:numFmt formatCode="General" sourceLinked="1"/>
              <c:spPr>
                <a:solidFill>
                  <a:schemeClr val="bg1"/>
                </a:solidFill>
                <a:ln w="25400">
                  <a:solidFill>
                    <a:schemeClr val="accent3"/>
                  </a:solidFill>
                </a:ln>
                <a:effectLst/>
              </c:spPr>
              <c:txPr>
                <a:bodyPr rot="0" spcFirstLastPara="0" vertOverflow="ellipsis" vert="horz" wrap="square" lIns="38100" tIns="19050" rIns="38100" bIns="19050" anchor="ctr" anchorCtr="1" forceAA="0"/>
                <a:lstStyle/>
                <a:p>
                  <a:pPr>
                    <a:defRPr lang="zh-CN"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微软雅黑" panose="020B0503020204020204" charset="-122"/>
                      <a:ea typeface="微软雅黑" panose="020B0503020204020204" charset="-122"/>
                      <a:cs typeface="+mn-cs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3"/>
              <c:layout/>
              <c:numFmt formatCode="General" sourceLinked="1"/>
              <c:spPr>
                <a:solidFill>
                  <a:schemeClr val="bg1"/>
                </a:solidFill>
                <a:ln w="25400">
                  <a:solidFill>
                    <a:schemeClr val="accent4"/>
                  </a:solidFill>
                </a:ln>
                <a:effectLst/>
              </c:spPr>
              <c:txPr>
                <a:bodyPr rot="0" spcFirstLastPara="0" vertOverflow="ellipsis" vert="horz" wrap="square" lIns="38100" tIns="19050" rIns="38100" bIns="19050" anchor="ctr" anchorCtr="1" forceAA="0"/>
                <a:lstStyle/>
                <a:p>
                  <a:pPr>
                    <a:defRPr lang="zh-CN"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微软雅黑" panose="020B0503020204020204" charset="-122"/>
                      <a:ea typeface="微软雅黑" panose="020B0503020204020204" charset="-122"/>
                      <a:cs typeface="+mn-cs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4"/>
              <c:layout/>
              <c:numFmt formatCode="General" sourceLinked="1"/>
              <c:spPr>
                <a:solidFill>
                  <a:schemeClr val="bg1"/>
                </a:solidFill>
                <a:ln w="25400">
                  <a:solidFill>
                    <a:schemeClr val="accent5"/>
                  </a:solidFill>
                </a:ln>
                <a:effectLst/>
              </c:spPr>
              <c:txPr>
                <a:bodyPr rot="0" spcFirstLastPara="0" vertOverflow="ellipsis" vert="horz" wrap="square" lIns="38100" tIns="19050" rIns="38100" bIns="19050" anchor="ctr" anchorCtr="1" forceAA="0"/>
                <a:lstStyle/>
                <a:p>
                  <a:pPr>
                    <a:defRPr lang="zh-CN"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微软雅黑" panose="020B0503020204020204" charset="-122"/>
                      <a:ea typeface="微软雅黑" panose="020B0503020204020204" charset="-122"/>
                      <a:cs typeface="+mn-cs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5"/>
              <c:layout/>
              <c:numFmt formatCode="General" sourceLinked="1"/>
              <c:spPr>
                <a:solidFill>
                  <a:schemeClr val="bg1"/>
                </a:solidFill>
                <a:ln w="25400">
                  <a:solidFill>
                    <a:schemeClr val="accent6"/>
                  </a:solidFill>
                </a:ln>
                <a:effectLst/>
              </c:spPr>
              <c:txPr>
                <a:bodyPr rot="0" spcFirstLastPara="0" vertOverflow="ellipsis" vert="horz" wrap="square" lIns="38100" tIns="19050" rIns="38100" bIns="19050" anchor="ctr" anchorCtr="1" forceAA="0"/>
                <a:lstStyle/>
                <a:p>
                  <a:pPr>
                    <a:defRPr lang="zh-CN"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微软雅黑" panose="020B0503020204020204" charset="-122"/>
                      <a:ea typeface="微软雅黑" panose="020B0503020204020204" charset="-122"/>
                      <a:cs typeface="+mn-cs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</c:extLst>
            </c:dLbl>
            <c:numFmt formatCode="General" sourceLinked="1"/>
            <c:spPr>
              <a:solidFill>
                <a:schemeClr val="bg1"/>
              </a:solidFill>
              <a:ln w="25400">
                <a:solidFill>
                  <a:schemeClr val="accent1"/>
                </a:solidFill>
              </a:ln>
              <a:effectLst/>
            </c:spPr>
            <c:txPr>
              <a:bodyPr rot="0" spcFirstLastPara="0" vertOverflow="ellipsis" vert="horz" wrap="square" lIns="38100" tIns="19050" rIns="38100" bIns="19050" anchor="ctr" anchorCtr="1" forceAA="0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+mn-cs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{"基础补给+ 用餐 / 临时停放配套","片区到访精准指引（临停 / 取送规则 / 交通信息）","读者权益保障 + 本地生活便民信息","治理联动扫码反馈 + 社区服务报名通道","自助设备简易维修工具 / 应急物资补充","其他"}</c:f>
              <c:strCache>
                <c:ptCount val="6"/>
                <c:pt idx="0">
                  <c:v>基础补给+ 用餐 / 临时停放配套</c:v>
                </c:pt>
                <c:pt idx="1">
                  <c:v>片区到访精准指引（临停 / 取送规则 / 交通信息）</c:v>
                </c:pt>
                <c:pt idx="2">
                  <c:v>读者权益保障 + 本地生活便民信息</c:v>
                </c:pt>
                <c:pt idx="3">
                  <c:v>治理联动扫码反馈 + 社区服务报名通道</c:v>
                </c:pt>
                <c:pt idx="4">
                  <c:v>自助设备简易维修工具 / 应急物资补充</c:v>
                </c:pt>
                <c:pt idx="5">
                  <c:v>其他</c:v>
                </c:pt>
              </c:strCache>
            </c:strRef>
          </c:cat>
          <c:val>
            <c:numRef>
              <c:f>{169,149,122,202,123,118}</c:f>
              <c:numCache>
                <c:formatCode>General</c:formatCode>
                <c:ptCount val="6"/>
                <c:pt idx="0">
                  <c:v>169</c:v>
                </c:pt>
                <c:pt idx="1">
                  <c:v>149</c:v>
                </c:pt>
                <c:pt idx="2">
                  <c:v>122</c:v>
                </c:pt>
                <c:pt idx="3">
                  <c:v>202</c:v>
                </c:pt>
                <c:pt idx="4">
                  <c:v>123</c:v>
                </c:pt>
                <c:pt idx="5">
                  <c:v>118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77"/>
      </c:doughnutChart>
      <c:spPr>
        <a:noFill/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微软雅黑" panose="020B0503020204020204" charset="-122"/>
              <a:ea typeface="微软雅黑" panose="020B0503020204020204" charset="-122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3db37e59-b1fc-4836-bfb7-9051aa8497d6}"/>
      </c:ext>
    </c:extLst>
  </c:chart>
  <c:spPr>
    <a:solidFill>
      <a:schemeClr val="bg1"/>
    </a:solidFill>
    <a:ln w="6350" cap="flat" cmpd="sng" algn="ctr">
      <a:noFill/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latin typeface="微软雅黑" panose="020B0503020204020204" charset="-122"/>
          <a:ea typeface="微软雅黑" panose="020B0503020204020204" charset="-122"/>
        </a:defRPr>
      </a:pPr>
    </a:p>
  </c:txPr>
  <c:externalData r:id="rId1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67253121868073"/>
          <c:y val="0.191230207064555"/>
          <c:w val="0.798671514371201"/>
          <c:h val="0.393520097442144"/>
        </c:manualLayout>
      </c:layout>
      <c:barChart>
        <c:barDir val="col"/>
        <c:grouping val="clustered"/>
        <c:varyColors val="0"/>
        <c:ser>
          <c:idx val="0"/>
          <c:order val="0"/>
          <c:spPr>
            <a:gradFill>
              <a:gsLst>
                <a:gs pos="25000">
                  <a:srgbClr val="FF6952"/>
                </a:gs>
                <a:gs pos="75000">
                  <a:srgbClr val="FFD2AC"/>
                </a:gs>
                <a:gs pos="0">
                  <a:srgbClr val="FF3E35"/>
                </a:gs>
                <a:gs pos="100000">
                  <a:srgbClr val="FFE3BE"/>
                </a:gs>
              </a:gsLst>
              <a:lin ang="18900000" scaled="1"/>
            </a:gradFill>
            <a:ln w="12700">
              <a:solidFill>
                <a:schemeClr val="accent1"/>
              </a:solidFill>
            </a:ln>
            <a:effectLst/>
            <a:sp3d contourW="12700"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+mn-cs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{"临停 / 设备补给 / 补给/休息点位精准导航","社区 / 商圈取送单规则实时查询","读者维权 / 纠纷处理通道","合作合作书店优惠餐饮信息","服务权益保障求助通道","一键反馈城市公共问题","社区社区服务报名入口","本地交通 / 工作/生活信息实时更新","其他"}</c:f>
              <c:strCache>
                <c:ptCount val="9"/>
                <c:pt idx="0">
                  <c:v>临停 / 设备补给 / 补给/休息点位精准导航</c:v>
                </c:pt>
                <c:pt idx="1">
                  <c:v>社区 / 商圈取送单规则实时查询</c:v>
                </c:pt>
                <c:pt idx="2">
                  <c:v>读者维权 / 纠纷处理通道</c:v>
                </c:pt>
                <c:pt idx="3">
                  <c:v>合作合作书店优惠餐饮信息</c:v>
                </c:pt>
                <c:pt idx="4">
                  <c:v>服务权益保障求助通道</c:v>
                </c:pt>
                <c:pt idx="5">
                  <c:v>一键反馈城市公共问题</c:v>
                </c:pt>
                <c:pt idx="6">
                  <c:v>社区社区服务报名入口</c:v>
                </c:pt>
                <c:pt idx="7">
                  <c:v>本地交通 / 工作/生活信息实时更新</c:v>
                </c:pt>
                <c:pt idx="8">
                  <c:v>其他</c:v>
                </c:pt>
              </c:strCache>
            </c:strRef>
          </c:cat>
          <c:val>
            <c:numRef>
              <c:f>{104,114,259,99,198,213,56,65,4}</c:f>
              <c:numCache>
                <c:formatCode>General</c:formatCode>
                <c:ptCount val="9"/>
                <c:pt idx="0">
                  <c:v>104</c:v>
                </c:pt>
                <c:pt idx="1">
                  <c:v>114</c:v>
                </c:pt>
                <c:pt idx="2">
                  <c:v>259</c:v>
                </c:pt>
                <c:pt idx="3">
                  <c:v>99</c:v>
                </c:pt>
                <c:pt idx="4">
                  <c:v>198</c:v>
                </c:pt>
                <c:pt idx="5">
                  <c:v>213</c:v>
                </c:pt>
                <c:pt idx="6">
                  <c:v>56</c:v>
                </c:pt>
                <c:pt idx="7">
                  <c:v>65</c:v>
                </c:pt>
                <c:pt idx="8">
                  <c:v>4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448"/>
        <c:overlap val="-71"/>
        <c:axId val="588400416"/>
        <c:axId val="585612464"/>
      </c:barChart>
      <c:catAx>
        <c:axId val="5884004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0" cap="flat" cmpd="sng" algn="ctr">
            <a:noFill/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+mn-cs"/>
              </a:defRPr>
            </a:pPr>
          </a:p>
        </c:txPr>
        <c:crossAx val="585612464"/>
        <c:crosses val="autoZero"/>
        <c:auto val="1"/>
        <c:lblAlgn val="ctr"/>
        <c:lblOffset val="100"/>
        <c:noMultiLvlLbl val="0"/>
      </c:catAx>
      <c:valAx>
        <c:axId val="58561246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+mn-cs"/>
              </a:defRPr>
            </a:pPr>
          </a:p>
        </c:txPr>
        <c:crossAx val="588400416"/>
        <c:crosses val="autoZero"/>
        <c:crossBetween val="between"/>
      </c:valAx>
      <c:spPr>
        <a:blipFill>
          <a:blip xmlns:r="http://schemas.openxmlformats.org/officeDocument/2006/relationships" r:embed="rId3"/>
          <a:stretch>
            <a:fillRect/>
          </a:stretch>
        </a:blipFill>
        <a:ln>
          <a:noFill/>
        </a:ln>
        <a:effectLst>
          <a:outerShdw blurRad="88900" algn="ctr" rotWithShape="0">
            <a:srgbClr val="5F5F5F">
              <a:alpha val="45000"/>
            </a:srgbClr>
          </a:outerShdw>
        </a:effectLst>
      </c:spPr>
    </c:plotArea>
    <c:plotVisOnly val="1"/>
    <c:dispBlanksAs val="gap"/>
    <c:showDLblsOverMax val="0"/>
    <c:extLst>
      <c:ext uri="{0b15fc19-7d7d-44ad-8c2d-2c3a37ce22c3}">
        <chartProps xmlns="https://web.wps.cn/et/2018/main" chartId="{f7fc2449-d5ef-4227-a366-03ec06181158}"/>
      </c:ext>
    </c:extLst>
  </c:chart>
  <c:spPr>
    <a:solidFill>
      <a:srgbClr val="FFFFFF"/>
    </a:solidFill>
    <a:ln w="6350" cap="flat" cmpd="sng" algn="ctr">
      <a:noFill/>
      <a:round/>
    </a:ln>
    <a:effectLst/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</a:defRPr>
      </a:pPr>
    </a:p>
  </c:txPr>
  <c:externalData r:id="rId1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numFmt formatCode="General" sourceLinked="1"/>
            <c:spPr>
              <a:noFill/>
              <a:ln w="6350">
                <a:solidFill>
                  <a:schemeClr val="accent1"/>
                </a:solidFill>
              </a:ln>
              <a:effectLst/>
            </c:spPr>
            <c:txPr>
              <a:bodyPr rot="0" spcFirstLastPara="0" vertOverflow="ellipsis" vert="horz" wrap="square" lIns="38100" tIns="19050" rIns="38100" bIns="19050" anchor="ctr" anchorCtr="1" forceAA="0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accent1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{"读者综合服务服务平台一键提交 / 报名","读者书房或社区补给站二维码扫码参与","微信群按模板发送信息","专属热线反馈","其他"}</c:f>
              <c:strCache>
                <c:ptCount val="5"/>
                <c:pt idx="0">
                  <c:v>读者综合服务服务平台一键提交 / 报名</c:v>
                </c:pt>
                <c:pt idx="1">
                  <c:v>读者书房或社区补给站二维码扫码参与</c:v>
                </c:pt>
                <c:pt idx="2">
                  <c:v>微信群按模板发送信息</c:v>
                </c:pt>
                <c:pt idx="3">
                  <c:v>专属热线反馈</c:v>
                </c:pt>
                <c:pt idx="4">
                  <c:v>其他</c:v>
                </c:pt>
              </c:strCache>
            </c:strRef>
          </c:cat>
          <c:val>
            <c:numRef>
              <c:f>{88,164,112,109,30}</c:f>
              <c:numCache>
                <c:formatCode>General</c:formatCode>
                <c:ptCount val="5"/>
                <c:pt idx="0">
                  <c:v>88</c:v>
                </c:pt>
                <c:pt idx="1">
                  <c:v>164</c:v>
                </c:pt>
                <c:pt idx="2">
                  <c:v>112</c:v>
                </c:pt>
                <c:pt idx="3">
                  <c:v>109</c:v>
                </c:pt>
                <c:pt idx="4">
                  <c:v>30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380"/>
        <c:overlap val="-71"/>
        <c:axId val="588400416"/>
        <c:axId val="585612464"/>
      </c:barChart>
      <c:catAx>
        <c:axId val="588400416"/>
        <c:scaling>
          <c:orientation val="minMax"/>
        </c:scaling>
        <c:delete val="0"/>
        <c:axPos val="l"/>
        <c:majorGridlines>
          <c:spPr>
            <a:ln w="6350" cap="flat" cmpd="sng" algn="ctr">
              <a:solidFill>
                <a:schemeClr val="tx1">
                  <a:lumMod val="50000"/>
                  <a:lumOff val="50000"/>
                  <a:alpha val="2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chemeClr val="tx1">
                <a:lumMod val="50000"/>
                <a:lumOff val="50000"/>
                <a:alpha val="2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585612464"/>
        <c:crosses val="autoZero"/>
        <c:auto val="1"/>
        <c:lblAlgn val="ctr"/>
        <c:lblOffset val="100"/>
        <c:noMultiLvlLbl val="0"/>
      </c:catAx>
      <c:valAx>
        <c:axId val="585612464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588400416"/>
        <c:crosses val="autoZero"/>
        <c:crossBetween val="between"/>
      </c:valAx>
      <c:spPr>
        <a:noFill/>
        <a:ln w="25400"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7a659575-2062-49c1-84c6-7f5e306fed53}"/>
      </c:ext>
    </c:extLst>
  </c:chart>
  <c:spPr>
    <a:solidFill>
      <a:schemeClr val="bg1"/>
    </a:solidFill>
    <a:ln w="6350" cap="flat" cmpd="sng" algn="ctr">
      <a:noFill/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10296">
  <cs:axisTitle>
    <cs:lnRef idx="0"/>
    <cs:fillRef idx="0"/>
    <cs:effectRef idx="0"/>
    <cs:fontRef idx="minor">
      <a:schemeClr val="dk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lt1">
          <a:lumMod val="96000"/>
        </a:schemeClr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dk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>
              <a:alpha val="80000"/>
              <a:hueOff val="-1670000"/>
            </a:schemeClr>
          </a:gs>
          <a:gs pos="100000">
            <a:schemeClr val="phClr">
              <a:alpha val="80000"/>
            </a:schemeClr>
          </a:gs>
        </a:gsLst>
        <a:lin ang="5400000" scaled="0"/>
      </a:gradFill>
      <a:ln>
        <a:gradFill>
          <a:gsLst>
            <a:gs pos="0">
              <a:schemeClr val="phClr">
                <a:lumMod val="75000"/>
                <a:hueOff val="-1670000"/>
              </a:schemeClr>
            </a:gs>
            <a:gs pos="100000">
              <a:schemeClr val="phClr">
                <a:lumMod val="75000"/>
              </a:schemeClr>
            </a:gs>
          </a:gsLst>
          <a:lin ang="5160000" scaled="1"/>
        </a:gradFill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>
              <a:alpha val="80000"/>
              <a:hueOff val="-1670000"/>
            </a:schemeClr>
          </a:gs>
          <a:gs pos="100000">
            <a:schemeClr val="phClr">
              <a:alpha val="80000"/>
            </a:schemeClr>
          </a:gs>
        </a:gsLst>
        <a:lin ang="5400000" scaled="0"/>
      </a:gradFill>
      <a:ln>
        <a:gradFill>
          <a:gsLst>
            <a:gs pos="0">
              <a:schemeClr val="phClr">
                <a:lumMod val="75000"/>
                <a:hueOff val="-1670000"/>
              </a:schemeClr>
            </a:gs>
            <a:gs pos="100000">
              <a:schemeClr val="phClr">
                <a:lumMod val="75000"/>
              </a:schemeClr>
            </a:gs>
          </a:gsLst>
          <a:lin ang="5160000" scaled="1"/>
        </a:gradFill>
      </a:ln>
      <a:effectLst/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noFill/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dk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dk1">
            <a:lumMod val="75000"/>
            <a:lumOff val="25000"/>
          </a:schemeClr>
        </a:solidFill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dk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>
        <a:solidFill>
          <a:schemeClr val="dk1">
            <a:lumMod val="35000"/>
            <a:lumOff val="65000"/>
          </a:schemeClr>
        </a:solidFill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1015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>
              <a:lumMod val="40000"/>
              <a:lumOff val="60000"/>
            </a:schemeClr>
          </a:gs>
          <a:gs pos="90000">
            <a:schemeClr val="phClr"/>
          </a:gs>
        </a:gsLst>
        <a:lin ang="10800000" scaled="0"/>
      </a:gradFill>
      <a:ln>
        <a:gradFill>
          <a:gsLst>
            <a:gs pos="0">
              <a:schemeClr val="phClr"/>
            </a:gs>
            <a:gs pos="100000">
              <a:schemeClr val="phClr">
                <a:lumMod val="75000"/>
              </a:schemeClr>
            </a:gs>
          </a:gsLst>
          <a:lin ang="10800000" scaled="0"/>
        </a:gradFill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101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5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5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5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5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5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5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5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5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word/theme/themeOverride1.xml><?xml version="1.0" encoding="utf-8"?>
<a:themeOverride xmlns:a="http://schemas.openxmlformats.org/drawingml/2006/main">
  <a:clrScheme name="自定义 2">
    <a:dk1>
      <a:srgbClr val="000000"/>
    </a:dk1>
    <a:lt1>
      <a:srgbClr val="FFFFFF"/>
    </a:lt1>
    <a:dk2>
      <a:srgbClr val="44546A"/>
    </a:dk2>
    <a:lt2>
      <a:srgbClr val="E7E6E6"/>
    </a:lt2>
    <a:accent1>
      <a:srgbClr val="73ACD0"/>
    </a:accent1>
    <a:accent2>
      <a:srgbClr val="9DD0E7"/>
    </a:accent2>
    <a:accent3>
      <a:srgbClr val="3384B3"/>
    </a:accent3>
    <a:accent4>
      <a:srgbClr val="65A7CD"/>
    </a:accent4>
    <a:accent5>
      <a:srgbClr val="387DB8"/>
    </a:accent5>
    <a:accent6>
      <a:srgbClr val="5F9CCF"/>
    </a:accent6>
    <a:hlink>
      <a:srgbClr val="0026E5"/>
    </a:hlink>
    <a:folHlink>
      <a:srgbClr val="7E1FAD"/>
    </a:folHlink>
  </a:clrScheme>
  <a:fontScheme name="Office">
    <a:majorFont>
      <a:latin typeface="Calibri Light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自定义 188">
    <a:dk1>
      <a:srgbClr val="000000"/>
    </a:dk1>
    <a:lt1>
      <a:srgbClr val="FFFFFF"/>
    </a:lt1>
    <a:dk2>
      <a:srgbClr val="44546A"/>
    </a:dk2>
    <a:lt2>
      <a:srgbClr val="E7E6E6"/>
    </a:lt2>
    <a:accent1>
      <a:srgbClr val="FFC32E"/>
    </a:accent1>
    <a:accent2>
      <a:srgbClr val="FF9E33"/>
    </a:accent2>
    <a:accent3>
      <a:srgbClr val="FF4454"/>
    </a:accent3>
    <a:accent4>
      <a:srgbClr val="006DA0"/>
    </a:accent4>
    <a:accent5>
      <a:srgbClr val="00BFE6"/>
    </a:accent5>
    <a:accent6>
      <a:srgbClr val="00D1DC"/>
    </a:accent6>
    <a:hlink>
      <a:srgbClr val="0026E5"/>
    </a:hlink>
    <a:folHlink>
      <a:srgbClr val="7E1FAD"/>
    </a:folHlink>
  </a:clrScheme>
  <a:fontScheme name="Office">
    <a:majorFont>
      <a:latin typeface="Calibri Light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自定义 52">
    <a:dk1>
      <a:srgbClr val="000000"/>
    </a:dk1>
    <a:lt1>
      <a:srgbClr val="FFFFFF"/>
    </a:lt1>
    <a:dk2>
      <a:srgbClr val="44546A"/>
    </a:dk2>
    <a:lt2>
      <a:srgbClr val="E7E6E6"/>
    </a:lt2>
    <a:accent1>
      <a:srgbClr val="7D6CFF"/>
    </a:accent1>
    <a:accent2>
      <a:srgbClr val="FFA135"/>
    </a:accent2>
    <a:accent3>
      <a:srgbClr val="FF7140"/>
    </a:accent3>
    <a:accent4>
      <a:srgbClr val="FFC413"/>
    </a:accent4>
    <a:accent5>
      <a:srgbClr val="52DAFF"/>
    </a:accent5>
    <a:accent6>
      <a:srgbClr val="54EEBD"/>
    </a:accent6>
    <a:hlink>
      <a:srgbClr val="0026E5"/>
    </a:hlink>
    <a:folHlink>
      <a:srgbClr val="7E1FAD"/>
    </a:folHlink>
  </a:clrScheme>
  <a:fontScheme name="MiSans">
    <a:majorFont>
      <a:latin typeface="MiSans Heavy"/>
      <a:ea typeface="MiSans Heavy"/>
      <a:cs typeface=""/>
    </a:majorFont>
    <a:minorFont>
      <a:latin typeface="MiSans Normal"/>
      <a:ea typeface="MiSans Normal"/>
      <a:cs typeface="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自定义 497">
    <a:dk1>
      <a:srgbClr val="000000"/>
    </a:dk1>
    <a:lt1>
      <a:srgbClr val="FFFFFF"/>
    </a:lt1>
    <a:dk2>
      <a:srgbClr val="44546A"/>
    </a:dk2>
    <a:lt2>
      <a:srgbClr val="E7E6E6"/>
    </a:lt2>
    <a:accent1>
      <a:srgbClr val="3DB8BF"/>
    </a:accent1>
    <a:accent2>
      <a:srgbClr val="7A7D85"/>
    </a:accent2>
    <a:accent3>
      <a:srgbClr val="4D4F57"/>
    </a:accent3>
    <a:accent4>
      <a:srgbClr val="3DB8BF"/>
    </a:accent4>
    <a:accent5>
      <a:srgbClr val="7A7D85"/>
    </a:accent5>
    <a:accent6>
      <a:srgbClr val="4D4F57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彩色2">
    <a:dk1>
      <a:srgbClr val="000000"/>
    </a:dk1>
    <a:lt1>
      <a:srgbClr val="FFFFFF"/>
    </a:lt1>
    <a:dk2>
      <a:srgbClr val="44546A"/>
    </a:dk2>
    <a:lt2>
      <a:srgbClr val="E7E6E6"/>
    </a:lt2>
    <a:accent1>
      <a:srgbClr val="FF5958"/>
    </a:accent1>
    <a:accent2>
      <a:srgbClr val="FABB00"/>
    </a:accent2>
    <a:accent3>
      <a:srgbClr val="AC68FB"/>
    </a:accent3>
    <a:accent4>
      <a:srgbClr val="F75090"/>
    </a:accent4>
    <a:accent5>
      <a:srgbClr val="FF920C"/>
    </a:accent5>
    <a:accent6>
      <a:srgbClr val="ABD500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6.xml><?xml version="1.0" encoding="utf-8"?>
<a:themeOverride xmlns:a="http://schemas.openxmlformats.org/drawingml/2006/main">
  <a:clrScheme name="自定义 48">
    <a:dk1>
      <a:srgbClr val="000000"/>
    </a:dk1>
    <a:lt1>
      <a:srgbClr val="FFFFFF"/>
    </a:lt1>
    <a:dk2>
      <a:srgbClr val="44546A"/>
    </a:dk2>
    <a:lt2>
      <a:srgbClr val="E7E6E6"/>
    </a:lt2>
    <a:accent1>
      <a:srgbClr val="FF7F33"/>
    </a:accent1>
    <a:accent2>
      <a:srgbClr val="6FBDFF"/>
    </a:accent2>
    <a:accent3>
      <a:srgbClr val="4F7FFF"/>
    </a:accent3>
    <a:accent4>
      <a:srgbClr val="FFC619"/>
    </a:accent4>
    <a:accent5>
      <a:srgbClr val="F0423E"/>
    </a:accent5>
    <a:accent6>
      <a:srgbClr val="918AEA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7.xml><?xml version="1.0" encoding="utf-8"?>
<a:themeOverride xmlns:a="http://schemas.openxmlformats.org/drawingml/2006/main">
  <a:clrScheme name="自定义 14">
    <a:dk1>
      <a:srgbClr val="000000"/>
    </a:dk1>
    <a:lt1>
      <a:srgbClr val="FFFFFF"/>
    </a:lt1>
    <a:dk2>
      <a:srgbClr val="44546A"/>
    </a:dk2>
    <a:lt2>
      <a:srgbClr val="E7E6E6"/>
    </a:lt2>
    <a:accent1>
      <a:srgbClr val="FD2131"/>
    </a:accent1>
    <a:accent2>
      <a:srgbClr val="EF7347"/>
    </a:accent2>
    <a:accent3>
      <a:srgbClr val="37BBAA"/>
    </a:accent3>
    <a:accent4>
      <a:srgbClr val="4A83D0"/>
    </a:accent4>
    <a:accent5>
      <a:srgbClr val="984EFC"/>
    </a:accent5>
    <a:accent6>
      <a:srgbClr val="FFD02D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8.xml><?xml version="1.0" encoding="utf-8"?>
<a:themeOverride xmlns:a="http://schemas.openxmlformats.org/drawingml/2006/main">
  <a:clrScheme name="自定义 241">
    <a:dk1>
      <a:srgbClr val="000000"/>
    </a:dk1>
    <a:lt1>
      <a:srgbClr val="FFFFFF"/>
    </a:lt1>
    <a:dk2>
      <a:srgbClr val="44546A"/>
    </a:dk2>
    <a:lt2>
      <a:srgbClr val="E7E6E6"/>
    </a:lt2>
    <a:accent1>
      <a:srgbClr val="F577A1"/>
    </a:accent1>
    <a:accent2>
      <a:srgbClr val="FBBC41"/>
    </a:accent2>
    <a:accent3>
      <a:srgbClr val="92D8DA"/>
    </a:accent3>
    <a:accent4>
      <a:srgbClr val="FD7A5B"/>
    </a:accent4>
    <a:accent5>
      <a:srgbClr val="DCD564"/>
    </a:accent5>
    <a:accent6>
      <a:srgbClr val="8AD5BB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9.xml><?xml version="1.0" encoding="utf-8"?>
<a:themeOverride xmlns:a="http://schemas.openxmlformats.org/drawingml/2006/main">
  <a:clrScheme name="自定义 68">
    <a:dk1>
      <a:srgbClr val="000000"/>
    </a:dk1>
    <a:lt1>
      <a:srgbClr val="FFFFFF"/>
    </a:lt1>
    <a:dk2>
      <a:srgbClr val="44546A"/>
    </a:dk2>
    <a:lt2>
      <a:srgbClr val="E7E6E6"/>
    </a:lt2>
    <a:accent1>
      <a:srgbClr val="FE7B89"/>
    </a:accent1>
    <a:accent2>
      <a:srgbClr val="FFCC25"/>
    </a:accent2>
    <a:accent3>
      <a:srgbClr val="83D686"/>
    </a:accent3>
    <a:accent4>
      <a:srgbClr val="50A2F6"/>
    </a:accent4>
    <a:accent5>
      <a:srgbClr val="27CBBB"/>
    </a:accent5>
    <a:accent6>
      <a:srgbClr val="FE9F2E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0.xml><?xml version="1.0" encoding="utf-8"?>
<a:themeOverride xmlns:a="http://schemas.openxmlformats.org/drawingml/2006/main">
  <a:clrScheme name="自定义 15">
    <a:dk1>
      <a:srgbClr val="000000"/>
    </a:dk1>
    <a:lt1>
      <a:srgbClr val="FFFFFF"/>
    </a:lt1>
    <a:dk2>
      <a:srgbClr val="44546A"/>
    </a:dk2>
    <a:lt2>
      <a:srgbClr val="E7E6E6"/>
    </a:lt2>
    <a:accent1>
      <a:srgbClr val="FFC000"/>
    </a:accent1>
    <a:accent2>
      <a:srgbClr val="9CCC68"/>
    </a:accent2>
    <a:accent3>
      <a:srgbClr val="F06E65"/>
    </a:accent3>
    <a:accent4>
      <a:srgbClr val="5BC5E9"/>
    </a:accent4>
    <a:accent5>
      <a:srgbClr val="53B6B6"/>
    </a:accent5>
    <a:accent6>
      <a:srgbClr val="9B91FF"/>
    </a:accent6>
    <a:hlink>
      <a:srgbClr val="0026E5"/>
    </a:hlink>
    <a:folHlink>
      <a:srgbClr val="7E1FAD"/>
    </a:folHlink>
  </a:clrScheme>
  <a:fontScheme name="Office">
    <a:majorFont>
      <a:latin typeface="Aptos Display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Aptos Narrow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1.xml><?xml version="1.0" encoding="utf-8"?>
<a:themeOverride xmlns:a="http://schemas.openxmlformats.org/drawingml/2006/main">
  <a:clrScheme name="自定义 15">
    <a:dk1>
      <a:srgbClr val="000000"/>
    </a:dk1>
    <a:lt1>
      <a:srgbClr val="FFFFFF"/>
    </a:lt1>
    <a:dk2>
      <a:srgbClr val="44546A"/>
    </a:dk2>
    <a:lt2>
      <a:srgbClr val="E7E6E6"/>
    </a:lt2>
    <a:accent1>
      <a:srgbClr val="FFC000"/>
    </a:accent1>
    <a:accent2>
      <a:srgbClr val="9CCC68"/>
    </a:accent2>
    <a:accent3>
      <a:srgbClr val="F06E65"/>
    </a:accent3>
    <a:accent4>
      <a:srgbClr val="9B91FF"/>
    </a:accent4>
    <a:accent5>
      <a:srgbClr val="5BC5E9"/>
    </a:accent5>
    <a:accent6>
      <a:srgbClr val="53B6B6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2.xml><?xml version="1.0" encoding="utf-8"?>
<a:themeOverride xmlns:a="http://schemas.openxmlformats.org/drawingml/2006/main">
  <a:clrScheme name="党政风">
    <a:dk1>
      <a:srgbClr val="000000"/>
    </a:dk1>
    <a:lt1>
      <a:srgbClr val="FFFFFF"/>
    </a:lt1>
    <a:dk2>
      <a:srgbClr val="44546A"/>
    </a:dk2>
    <a:lt2>
      <a:srgbClr val="E7E6E6"/>
    </a:lt2>
    <a:accent1>
      <a:srgbClr val="DA3B2E"/>
    </a:accent1>
    <a:accent2>
      <a:srgbClr val="A00101"/>
    </a:accent2>
    <a:accent3>
      <a:srgbClr val="F7BF48"/>
    </a:accent3>
    <a:accent4>
      <a:srgbClr val="E8DEB4"/>
    </a:accent4>
    <a:accent5>
      <a:srgbClr val="DD6969"/>
    </a:accent5>
    <a:accent6>
      <a:srgbClr val="BC262A"/>
    </a:accent6>
    <a:hlink>
      <a:srgbClr val="0026E5"/>
    </a:hlink>
    <a:folHlink>
      <a:srgbClr val="7E1FAD"/>
    </a:folHlink>
  </a:clrScheme>
  <a:fontScheme name="Office">
    <a:majorFont>
      <a:latin typeface="Aptos Display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Aptos Narrow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3.xml><?xml version="1.0" encoding="utf-8"?>
<a:themeOverride xmlns:a="http://schemas.openxmlformats.org/drawingml/2006/main">
  <a:clrScheme name="自定义 1">
    <a:dk1>
      <a:srgbClr val="000000"/>
    </a:dk1>
    <a:lt1>
      <a:srgbClr val="FFFFFF"/>
    </a:lt1>
    <a:dk2>
      <a:srgbClr val="212745"/>
    </a:dk2>
    <a:lt2>
      <a:srgbClr val="B4DCFA"/>
    </a:lt2>
    <a:accent1>
      <a:srgbClr val="4E67C8"/>
    </a:accent1>
    <a:accent2>
      <a:srgbClr val="5ECCF3"/>
    </a:accent2>
    <a:accent3>
      <a:srgbClr val="A7EA52"/>
    </a:accent3>
    <a:accent4>
      <a:srgbClr val="5DCEAF"/>
    </a:accent4>
    <a:accent5>
      <a:srgbClr val="FF8021"/>
    </a:accent5>
    <a:accent6>
      <a:srgbClr val="F14124"/>
    </a:accent6>
    <a:hlink>
      <a:srgbClr val="56C7AA"/>
    </a:hlink>
    <a:folHlink>
      <a:srgbClr val="59A8D1"/>
    </a:folHlink>
  </a:clrScheme>
  <a:fontScheme name="Office">
    <a:majorFont>
      <a:latin typeface="Calibri Light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4.xml><?xml version="1.0" encoding="utf-8"?>
<a:themeOverride xmlns:a="http://schemas.openxmlformats.org/drawingml/2006/main">
  <a:clrScheme name="彩色2">
    <a:dk1>
      <a:srgbClr val="000000"/>
    </a:dk1>
    <a:lt1>
      <a:srgbClr val="FFFFFF"/>
    </a:lt1>
    <a:dk2>
      <a:srgbClr val="44546A"/>
    </a:dk2>
    <a:lt2>
      <a:srgbClr val="E7E6E6"/>
    </a:lt2>
    <a:accent1>
      <a:srgbClr val="FF5958"/>
    </a:accent1>
    <a:accent2>
      <a:srgbClr val="FABB00"/>
    </a:accent2>
    <a:accent3>
      <a:srgbClr val="AC68FB"/>
    </a:accent3>
    <a:accent4>
      <a:srgbClr val="F75090"/>
    </a:accent4>
    <a:accent5>
      <a:srgbClr val="FF920C"/>
    </a:accent5>
    <a:accent6>
      <a:srgbClr val="ABD500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5.xml><?xml version="1.0" encoding="utf-8"?>
<a:themeOverride xmlns:a="http://schemas.openxmlformats.org/drawingml/2006/main">
  <a:clrScheme name="科研1">
    <a:dk1>
      <a:srgbClr val="000000"/>
    </a:dk1>
    <a:lt1>
      <a:srgbClr val="FFFFFF"/>
    </a:lt1>
    <a:dk2>
      <a:srgbClr val="44546A"/>
    </a:dk2>
    <a:lt2>
      <a:srgbClr val="E7E6E6"/>
    </a:lt2>
    <a:accent1>
      <a:srgbClr val="264653"/>
    </a:accent1>
    <a:accent2>
      <a:srgbClr val="299E8C"/>
    </a:accent2>
    <a:accent3>
      <a:srgbClr val="E9C46B"/>
    </a:accent3>
    <a:accent4>
      <a:srgbClr val="F2A360"/>
    </a:accent4>
    <a:accent5>
      <a:srgbClr val="E77052"/>
    </a:accent5>
    <a:accent6>
      <a:srgbClr val="2959B6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webExtensions/_rels/webExtension1.xml.rels><?xml version="1.0" encoding="UTF-8" standalone="yes"?>
<Relationships xmlns="http://schemas.openxmlformats.org/package/2006/relationships"><Relationship Id="rId2" Type="http://schemas.openxmlformats.org/officeDocument/2006/relationships/image" Target="../media/image9.png"/><Relationship Id="rId1" Type="http://schemas.openxmlformats.org/officeDocument/2006/relationships/package" Target="../embeddings/Workbook6.xlsx"/></Relationships>
</file>

<file path=word/webExtensions/webExtension1.xml><?xml version="1.0" encoding="utf-8"?>
<wpswe:webExtension xmlns:wpswe="http://www.wps.cn/officeDocument/2018/webExtension" xmlns:webet="https://web.wps.cn/et/2018/main" webet:type="Normal" type="0" webet:id="">
  <wpswe:extSource id="webchart" version="3.0"/>
  <wpswe:properties>
    <wpswe:property key="demoData" value="{&quot;category&quot;:[&quot;第一季度&quot;,&quot;第二季度&quot;,&quot;第三季度&quot;,&quot;第四季度&quot;],&quot;data&quot;:[[&quot;&quot;,&quot;销售额&quot;],[&quot;第一季度&quot;,8.2],[&quot;第二季度&quot;,5.2],[&quot;第三季度&quot;,4.2],[&quot;第四季度&quot;,3.1]],&quot;series&quot;:[&quot;&quot;,&quot;销售额&quot;]}"/>
    <wpswe:property key="extStyle" value="{&quot;series&quot;:[{&quot;emphasis&quot;:{&quot;itemStyle&quot;:{&quot;shadowBlur&quot;:0,&quot;shadowColor&quot;:&quot;rgba(0, 0, 0, 0.5)&quot;,&quot;shadowOffsetX&quot;:0}},&quot;itemStyle&quot;:{&quot;borderColor&quot;:&quot;#ffffff&quot;,&quot;borderWidth&quot;:1.8},&quot;labelLayout&quot;:{&quot;hideOverlap&quot;:false},&quot;roseType&quot;:&quot;radius&quot;,&quot;type&quot;:&quot;pie&quot;}],&quot;tooltip&quot;:{&quot;backgroundColor&quot;:{&quot;rgb&quot;:&quot;rgba(51,51,51,0.7)&quot;,&quot;row&quot;:-1,&quot;themeIndex&quot;:-1,&quot;type&quot;:0},&quot;borderWidth&quot;:0,&quot;confine&quot;:true,&quot;extraCssText&quot;:&quot;max-width: calc(100vw - 36px); overflow: hidden; white-space: nowrap; text-overflow: ellipsis; margin-left: 8px;&quot;}}"/>
    <wpswe:property key="isUseCommonErrorPage" value="false"/>
    <wpswe:property key="loadingImage" value="res:/icons/WebChartLoading_wps.svg"/>
    <wpswe:property key="renderer" value="echarts"/>
    <wpswe:property key="resId" value="40000061"/>
    <wpswe:property key="sourceTheme" value="{&quot;colors&quot;:[&quot;#000000&quot;,&quot;#ffffff&quot;,&quot;#0e2841&quot;,&quot;#e8e8e8&quot;,&quot;#156082&quot;,&quot;#e97132&quot;,&quot;#196b24&quot;,&quot;#0f9ed5&quot;,&quot;#a02b93&quot;,&quot;#4ea72e&quot;,&quot;#467886&quot;,&quot;#96607d&quot;,&quot;#000000&quot;,&quot;#ffffff&quot;,&quot;#0e2841&quot;,&quot;#e8e8e8&quot;],&quot;fonts&quot;:[&quot;等线 Light&quot;,&quot;等线 Light&quot;,&quot;等线&quot;,&quot;等线&quot;]}"/>
    <wpswe:property key="style" value="{&quot;animation&quot;:false,&quot;backgroundColor&quot;:{&quot;rgb&quot;:&quot;#FFFFFF&quot;,&quot;row&quot;:0,&quot;themeIndex&quot;:13,&quot;type&quot;:1},&quot;borderColor&quot;:{&quot;rgb&quot;:&quot;#D9D9D9&quot;,&quot;row&quot;:2,&quot;themeIndex&quot;:13,&quot;type&quot;:1},&quot;global&quot;:{&quot;text&quot;:{&quot;bold&quot;:0,&quot;font&quot;:{&quot;name&quot;:&quot;宋体&quot;,&quot;nameType&quot;:2,&quot;langType&quot;:3},&quot;fontSize&quot;:10,&quot;italic&quot;:0}},&quot;label&quot;:{&quot;formatter&quot;:[&quot;rate&quot;],&quot;position&quot;:&quot;inner&quot;,&quot;show&quot;:true,&quot;textStyle&quot;:{&quot;fontFamily&quot;:{&quot;type&quot;:1,&quot;name&quot;:&quot;&quot;,&quot;themeIndex&quot;:&quot;3&quot;},&quot;fontSize&quot;:10,&quot;fontStyle&quot;:&quot;normal&quot;,&quot;fontWeight&quot;:&quot;normal&quot;,&quot;color&quot;:{&quot;rgb&quot;:&quot;#404040&quot;,&quot;row&quot;:3,&quot;themeIndex&quot;:12,&quot;type&quot;:1}}},&quot;legend&quot;:{&quot;position&quot;:&quot;leftCenter&quot;,&quot;show&quot;:true,&quot;textStyle&quot;:{&quot;fontFamily&quot;:{&quot;type&quot;:1,&quot;name&quot;:&quot;&quot;,&quot;themeIndex&quot;:&quot;3&quot;},&quot;fontSize&quot;:8,&quot;fontStyle&quot;:&quot;normal&quot;,&quot;fontWeight&quot;:&quot;normal&quot;,&quot;color&quot;:{&quot;rgb&quot;:&quot;#595959&quot;,&quot;row&quot;:2,&quot;themeIndex&quot;:12,&quot;type&quot;:1}}},&quot;pieType&quot;:&quot;doughnut-rose&quot;,&quot;propWin&quot;:{&quot;hide&quot;:[&quot;axis&quot;]},&quot;radius&quot;:[&quot;20%&quot;,&quot;100%&quot;],&quot;selectedOffset&quot;:0,&quot;seriesThemeColor&quot;:[&quot;#906BE9&quot;,&quot;#06C0D5&quot;,&quot;#558BF7&quot;,&quot;#FFC800&quot;,&quot;#9ADB00&quot;,&quot;#32C267&quot;],&quot;startAngle&quot;:0,&quot;title&quot;:{&quot;position&quot;:&quot;topCenter&quot;,&quot;show&quot;:true,&quot;text&quot;:&quot;社区共建参与——积分兑换福利偏好&quot;,&quot;textStyle&quot;:{&quot;color&quot;:{&quot;rgb&quot;:&quot;#404040&quot;,&quot;row&quot;:3,&quot;themeIndex&quot;:12,&quot;type&quot;:1},&quot;fontFamily&quot;:{&quot;name&quot;:&quot;宋体&quot;,&quot;themeIndex&quot;:3,&quot;type&quot;:1},&quot;fontSize&quot;:14,&quot;fontStyle&quot;:&quot;normal&quot;,&quot;fontWeight&quot;:&quot;bold&quot;}},&quot;tooltip&quot;:{&quot;show&quot;:true,&quot;textStyle&quot;:{&quot;color&quot;:{&quot;rgb&quot;:&quot;#FFFFFF&quot;,&quot;row&quot;:-1,&quot;themeIndex&quot;:-1,&quot;type&quot;:0},&quot;fontFamily&quot;:{&quot;name&quot;:&quot;宋体&quot;,&quot;themeIndex&quot;:3,&quot;type&quot;:1},&quot;fontSize&quot;:9,&quot;fontStyle&quot;:&quot;normal&quot;,&quot;fontWeight&quot;:&quot;normal&quot;}},&quot;animationDurationUpdate&quot;:1500,&quot;animationDuration&quot;:1500,&quot;animationLoop&quot;:false,&quot;selectedSeriesData&quot;:[0,1,2,3,4,5,6,7,8,9,10,11,12],&quot;selectedCategoryData&quot;:[0],&quot;seriesDir&quot;:&quot;row&quot;,&quot;divideType&quot;:&quot;portrait&quot;,&quot;seriesColor&quot;:{&quot;6&quot;:{&quot;type&quot;:0,&quot;rgb&quot;:&quot;#f6c6ad&quot;,&quot;themeIndex&quot;:5,&quot;row&quot;:2}}}"/>
    <wpswe:property key="themeOverride" value="false"/>
    <wpswe:property key="type" value="2d-pie"/>
  </wpswe:properties>
  <wpswe:watchingCache>
    <wpswe:linkPath>C:/Users/EDY/AppData/Local/Temp/wps.nHprMx/Workbook6.xlsx</wpswe:linkPath>
    <wpswe:dataRange>
      <wpswe:key>webchart</wpswe:key>
      <wpswe:context>Sheet1!$A$2:$B$14</wpswe:context>
      <wpswe:count>13</wpswe:count>
      <wpswe:cells wpswe:idx="0">
        <wpswe:count>2</wpswe:count>
        <wpswe:formatCode>General</wpswe:formatCode>
        <wpswe:cell wpswe:idx="0">
          <wpswe:value>设备补给 / 换电优惠券</wpswe:value>
        </wpswe:cell>
        <wpswe:cell wpswe:idx="1">
          <wpswe:value>101</wpswe:value>
        </wpswe:cell>
      </wpswe:cells>
      <wpswe:cells wpswe:idx="1">
        <wpswe:count>2</wpswe:count>
        <wpswe:formatCode>General</wpswe:formatCode>
        <wpswe:cell wpswe:idx="0">
          <wpswe:value>合作合作书店餐饮优惠券</wpswe:value>
        </wpswe:cell>
        <wpswe:cell wpswe:idx="1">
          <wpswe:value>178</wpswe:value>
        </wpswe:cell>
      </wpswe:cells>
      <wpswe:cells wpswe:idx="2">
        <wpswe:count>2</wpswe:count>
        <wpswe:formatCode>General</wpswe:formatCode>
        <wpswe:cell wpswe:idx="0">
          <wpswe:value>饮用水 / 饮料兑换券</wpswe:value>
        </wpswe:cell>
        <wpswe:cell wpswe:idx="1">
          <wpswe:value>110</wpswe:value>
        </wpswe:cell>
      </wpswe:cells>
      <wpswe:cells wpswe:idx="3">
        <wpswe:count>2</wpswe:count>
        <wpswe:formatCode>General</wpswe:formatCode>
        <wpswe:cell wpswe:idx="0">
          <wpswe:value>雨衣 / 急救包等应急物资</wpswe:value>
        </wpswe:cell>
        <wpswe:cell wpswe:idx="1">
          <wpswe:value>77</wpswe:value>
        </wpswe:cell>
      </wpswe:cells>
      <wpswe:cells wpswe:idx="4">
        <wpswe:count>2</wpswe:count>
        <wpswe:formatCode>General</wpswe:formatCode>
        <wpswe:cell wpswe:idx="0">
          <wpswe:value>手机话费充值券</wpswe:value>
        </wpswe:cell>
        <wpswe:cell wpswe:idx="1">
          <wpswe:value>149</wpswe:value>
        </wpswe:cell>
      </wpswe:cells>
      <wpswe:cells wpswe:idx="5">
        <wpswe:count>2</wpswe:count>
        <wpswe:formatCode>General</wpswe:formatCode>
        <wpswe:cell wpswe:idx="0">
          <wpswe:value>车辆维修 / 打气优惠券</wpswe:value>
        </wpswe:cell>
        <wpswe:cell wpswe:idx="1">
          <wpswe:value>98</wpswe:value>
        </wpswe:cell>
      </wpswe:cells>
      <wpswe:cells wpswe:idx="6">
        <wpswe:count>2</wpswe:count>
        <wpswe:formatCode>General</wpswe:formatCode>
        <wpswe:cell wpswe:idx="0">
          <wpswe:value>商超小额购物券</wpswe:value>
        </wpswe:cell>
        <wpswe:cell wpswe:idx="1">
          <wpswe:value>230</wpswe:value>
        </wpswe:cell>
      </wpswe:cells>
      <wpswe:cells wpswe:idx="7">
        <wpswe:count>2</wpswe:count>
        <wpswe:formatCode>General</wpswe:formatCode>
        <wpswe:cell wpswe:idx="0">
          <wpswe:value>阅读服务平台到访补贴券 ；自助设备免费保养券</wpswe:value>
        </wpswe:cell>
        <wpswe:cell wpswe:idx="1">
          <wpswe:value>111</wpswe:value>
        </wpswe:cell>
      </wpswe:cells>
      <wpswe:cells wpswe:idx="8">
        <wpswe:count>2</wpswe:count>
        <wpswe:formatCode>General</wpswe:formatCode>
        <wpswe:cell wpswe:idx="0">
          <wpswe:value>基础理发优惠券</wpswe:value>
        </wpswe:cell>
        <wpswe:cell wpswe:idx="1">
          <wpswe:value>64</wpswe:value>
        </wpswe:cell>
      </wpswe:cells>
      <wpswe:cells wpswe:idx="9">
        <wpswe:count>2</wpswe:count>
        <wpswe:formatCode>General</wpswe:formatCode>
        <wpswe:cell wpswe:idx="0">
          <wpswe:value>读者意外险抵扣券</wpswe:value>
        </wpswe:cell>
        <wpswe:cell wpswe:idx="1">
          <wpswe:value>56</wpswe:value>
        </wpswe:cell>
      </wpswe:cells>
      <wpswe:cells wpswe:idx="10">
        <wpswe:count>2</wpswe:count>
        <wpswe:formatCode>General</wpswe:formatCode>
        <wpswe:cell wpswe:idx="0">
          <wpswe:value>基础健康检查或咨询服务</wpswe:value>
        </wpswe:cell>
        <wpswe:cell wpswe:idx="1">
          <wpswe:value>120</wpswe:value>
        </wpswe:cell>
      </wpswe:cells>
      <wpswe:cells wpswe:idx="11">
        <wpswe:count>2</wpswe:count>
        <wpswe:formatCode>General</wpswe:formatCode>
        <wpswe:cell wpswe:idx="0">
          <wpswe:value>职业技能培训服务（如短视频、电商基础课）</wpswe:value>
        </wpswe:cell>
        <wpswe:cell wpswe:idx="1">
          <wpswe:value>66</wpswe:value>
        </wpswe:cell>
      </wpswe:cells>
      <wpswe:cells wpswe:idx="12">
        <wpswe:count>2</wpswe:count>
        <wpswe:formatCode>General</wpswe:formatCode>
        <wpswe:cell wpswe:idx="0">
          <wpswe:value>其他</wpswe:value>
        </wpswe:cell>
        <wpswe:cell wpswe:idx="1">
          <wpswe:value>95</wpswe:value>
        </wpswe:cell>
      </wpswe:cells>
    </wpswe:dataRange>
  </wpswe:watchingCache>
  <wpswe:snapshot xmlns:r="http://schemas.openxmlformats.org/officeDocument/2006/relationships" r:embed="rId2"/>
  <wpswe:externalData xmlns:r="http://schemas.openxmlformats.org/officeDocument/2006/relationships" r:id="rId1"/>
  <wpswe:url>https://clientweb.docer.wps.cn/web-chart/v1/web-shape.html#/home</wpswe:url>
  <wpswe:constantSnapshot>false</wpswe:constantSnapshot>
</wpswe:webExtension>
</file>

<file path=docProps/app.xml><?xml version="1.0" encoding="utf-8"?>
<Properties xmlns="http://schemas.openxmlformats.org/officeDocument/2006/extended-properties" xmlns:vt="http://schemas.openxmlformats.org/officeDocument/2006/docPropsVTypes">
  <Template/>
  <Pages>55</Pages>
  <Words>19980</Words>
  <Characters>20414</Characters>
  <Lines>1</Lines>
  <Paragraphs>1</Paragraphs>
  <TotalTime>72</TotalTime>
  <ScaleCrop>false</ScaleCrop>
  <LinksUpToDate>false</LinksUpToDate>
  <CharactersWithSpaces>20548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